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641985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January 3, 2014</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05" w:lineRule="exact"/>
        <w:rPr>
          <w:sz w:val="24"/>
          <w:szCs w:val="24"/>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(17-CFR 240.14a-12)</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620" w:hanging="585"/>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359" w:right="359" w:bottom="1440" w:gutter="0" w:footer="0" w:header="0"/>
        </w:sectPr>
      </w:pPr>
    </w:p>
    <w:bookmarkStart w:id="1" w:name="page2"/>
    <w:bookmarkEnd w:id="1"/>
    <w:p>
      <w:pPr>
        <w:jc w:val="right"/>
        <w:ind w:right="353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 Sales Release and Charts Dated January 3, 2014</w:t>
      </w:r>
    </w:p>
    <w:p>
      <w:pPr>
        <w:sectPr>
          <w:pgSz w:w="11900" w:h="16838" w:orient="portrait"/>
          <w:cols w:equalWidth="0" w:num="1">
            <w:col w:w="10219"/>
          </w:cols>
          <w:pgMar w:left="240" w:top="580"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8.01 Other Events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January 3, 2014, General Motors Company issued a news release announcing December 2013 U.S. sales. The release and charts are attached as Exhibit 99.1.</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8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74"/>
        </w:trPr>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4000" w:type="dxa"/>
            <w:vAlign w:val="bottom"/>
            <w:gridSpan w:val="4"/>
          </w:tcPr>
          <w:p>
            <w:pPr>
              <w:spacing w:after="0"/>
              <w:rPr>
                <w:sz w:val="20"/>
                <w:szCs w:val="20"/>
                <w:color w:val="auto"/>
              </w:rPr>
            </w:pPr>
            <w:r>
              <w:rPr>
                <w:rFonts w:ascii="Arial" w:cs="Arial" w:eastAsia="Arial" w:hAnsi="Arial"/>
                <w:sz w:val="18"/>
                <w:szCs w:val="18"/>
                <w:color w:val="auto"/>
              </w:rPr>
              <w:t>Description</w:t>
            </w: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00"/>
        </w:trPr>
        <w:tc>
          <w:tcPr>
            <w:tcW w:w="388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4"/>
          </w:tcPr>
          <w:p>
            <w:pPr>
              <w:spacing w:after="0"/>
              <w:rPr>
                <w:sz w:val="20"/>
                <w:szCs w:val="20"/>
                <w:color w:val="auto"/>
              </w:rPr>
            </w:pPr>
            <w:r>
              <w:rPr>
                <w:rFonts w:ascii="Arial" w:cs="Arial" w:eastAsia="Arial" w:hAnsi="Arial"/>
                <w:sz w:val="18"/>
                <w:szCs w:val="18"/>
                <w:color w:val="auto"/>
              </w:rPr>
              <w:t>U.S. Sales Release and Charts</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Dated January 3, 2014</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ectPr>
          <w:pgSz w:w="11900" w:h="16838" w:orient="portrait"/>
          <w:cols w:equalWidth="0" w:num="1">
            <w:col w:w="11180"/>
          </w:cols>
          <w:pgMar w:left="240" w:top="796" w:right="47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5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GENERAL MOTORS COMPANY</w:t>
            </w:r>
          </w:p>
        </w:tc>
        <w:tc>
          <w:tcPr>
            <w:tcW w:w="0" w:type="dxa"/>
            <w:vAlign w:val="bottom"/>
          </w:tcPr>
          <w:p>
            <w:pPr>
              <w:spacing w:after="0"/>
              <w:rPr>
                <w:sz w:val="1"/>
                <w:szCs w:val="1"/>
                <w:color w:val="auto"/>
              </w:rPr>
            </w:pPr>
          </w:p>
        </w:tc>
      </w:tr>
      <w:tr>
        <w:trPr>
          <w:trHeight w:val="237"/>
        </w:trPr>
        <w:tc>
          <w:tcPr>
            <w:tcW w:w="35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(Registrant)</w:t>
            </w: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35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 THOMAS S. TIMKO</w:t>
            </w:r>
          </w:p>
        </w:tc>
        <w:tc>
          <w:tcPr>
            <w:tcW w:w="0" w:type="dxa"/>
            <w:vAlign w:val="bottom"/>
          </w:tcPr>
          <w:p>
            <w:pPr>
              <w:spacing w:after="0"/>
              <w:rPr>
                <w:sz w:val="1"/>
                <w:szCs w:val="1"/>
                <w:color w:val="auto"/>
              </w:rPr>
            </w:pPr>
          </w:p>
        </w:tc>
      </w:tr>
      <w:tr>
        <w:trPr>
          <w:trHeight w:val="27"/>
        </w:trPr>
        <w:tc>
          <w:tcPr>
            <w:tcW w:w="3520" w:type="dxa"/>
            <w:vAlign w:val="bottom"/>
            <w:vMerge w:val="restart"/>
          </w:tcPr>
          <w:p>
            <w:pPr>
              <w:spacing w:after="0"/>
              <w:rPr>
                <w:sz w:val="20"/>
                <w:szCs w:val="20"/>
                <w:color w:val="auto"/>
              </w:rPr>
            </w:pPr>
            <w:r>
              <w:rPr>
                <w:rFonts w:ascii="Arial" w:cs="Arial" w:eastAsia="Arial" w:hAnsi="Arial"/>
                <w:sz w:val="18"/>
                <w:szCs w:val="18"/>
                <w:color w:val="auto"/>
              </w:rPr>
              <w:t>Date: January 7, 2014</w:t>
            </w:r>
          </w:p>
        </w:tc>
        <w:tc>
          <w:tcPr>
            <w:tcW w:w="2620" w:type="dxa"/>
            <w:vAlign w:val="bottom"/>
            <w:vMerge w:val="restart"/>
          </w:tcPr>
          <w:p>
            <w:pPr>
              <w:ind w:left="1960"/>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520" w:type="dxa"/>
            <w:vAlign w:val="bottom"/>
            <w:vMerge w:val="continue"/>
          </w:tcPr>
          <w:p>
            <w:pPr>
              <w:spacing w:after="0"/>
              <w:rPr>
                <w:sz w:val="19"/>
                <w:szCs w:val="19"/>
                <w:color w:val="auto"/>
              </w:rPr>
            </w:pPr>
          </w:p>
        </w:tc>
        <w:tc>
          <w:tcPr>
            <w:tcW w:w="26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Thomas S. Timko</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420"/>
          </w:cols>
          <w:pgMar w:left="240" w:top="796"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436245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25400</wp:posOffset>
            </wp:positionV>
            <wp:extent cx="2813050" cy="977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13050" cy="977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color w:val="auto"/>
        </w:rPr>
        <w:t>For Release: Friday, Jan. 3, 2014, 10 a.m. EST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GM’s U.S. Dealers Deliver 2.8 Million Vehicles in 2013</w:t>
      </w:r>
    </w:p>
    <w:p>
      <w:pPr>
        <w:spacing w:after="0" w:line="41" w:lineRule="exact"/>
        <w:rPr>
          <w:sz w:val="20"/>
          <w:szCs w:val="20"/>
          <w:color w:val="auto"/>
        </w:rPr>
      </w:pPr>
    </w:p>
    <w:p>
      <w:pPr>
        <w:jc w:val="center"/>
        <w:spacing w:after="0"/>
        <w:rPr>
          <w:sz w:val="20"/>
          <w:szCs w:val="20"/>
          <w:color w:val="auto"/>
        </w:rPr>
      </w:pPr>
      <w:r>
        <w:rPr>
          <w:rFonts w:ascii="Arial" w:cs="Arial" w:eastAsia="Arial" w:hAnsi="Arial"/>
          <w:sz w:val="25"/>
          <w:szCs w:val="25"/>
          <w:i w:val="1"/>
          <w:iCs w:val="1"/>
          <w:color w:val="auto"/>
        </w:rPr>
        <w:t>All Four GM Brands Gained Retail Market Share for the Year</w:t>
      </w:r>
    </w:p>
    <w:p>
      <w:pPr>
        <w:spacing w:after="0" w:line="198" w:lineRule="exact"/>
        <w:rPr>
          <w:sz w:val="20"/>
          <w:szCs w:val="20"/>
          <w:color w:val="auto"/>
        </w:rPr>
      </w:pPr>
    </w:p>
    <w:p>
      <w:pPr>
        <w:ind w:right="320"/>
        <w:spacing w:after="0" w:line="267" w:lineRule="auto"/>
        <w:rPr>
          <w:sz w:val="20"/>
          <w:szCs w:val="20"/>
          <w:color w:val="auto"/>
        </w:rPr>
      </w:pPr>
      <w:r>
        <w:rPr>
          <w:rFonts w:ascii="Arial" w:cs="Arial" w:eastAsia="Arial" w:hAnsi="Arial"/>
          <w:sz w:val="20"/>
          <w:szCs w:val="20"/>
          <w:b w:val="1"/>
          <w:bCs w:val="1"/>
          <w:color w:val="auto"/>
        </w:rPr>
        <w:t xml:space="preserve">DETROIT </w:t>
      </w:r>
      <w:r>
        <w:rPr>
          <w:rFonts w:ascii="Arial" w:cs="Arial" w:eastAsia="Arial" w:hAnsi="Arial"/>
          <w:sz w:val="20"/>
          <w:szCs w:val="20"/>
          <w:color w:val="auto"/>
        </w:rPr>
        <w:t>- General Motors Co. (NYSE: GM) dealers delivered 2.8 million vehicles in the United States in 2013. Retail sales increased 11</w:t>
      </w:r>
      <w:r>
        <w:rPr>
          <w:rFonts w:ascii="Arial" w:cs="Arial" w:eastAsia="Arial" w:hAnsi="Arial"/>
          <w:sz w:val="20"/>
          <w:szCs w:val="20"/>
          <w:b w:val="1"/>
          <w:bCs w:val="1"/>
          <w:color w:val="auto"/>
        </w:rPr>
        <w:t xml:space="preserve"> </w:t>
      </w:r>
      <w:r>
        <w:rPr>
          <w:rFonts w:ascii="Arial" w:cs="Arial" w:eastAsia="Arial" w:hAnsi="Arial"/>
          <w:sz w:val="20"/>
          <w:szCs w:val="20"/>
          <w:color w:val="auto"/>
        </w:rPr>
        <w:t>percent and total sales were up 7 percent compared with 2012.</w:t>
      </w:r>
    </w:p>
    <w:p>
      <w:pPr>
        <w:spacing w:after="0" w:line="170" w:lineRule="exact"/>
        <w:rPr>
          <w:sz w:val="20"/>
          <w:szCs w:val="20"/>
          <w:color w:val="auto"/>
        </w:rPr>
      </w:pPr>
    </w:p>
    <w:p>
      <w:pPr>
        <w:ind w:right="40"/>
        <w:spacing w:after="0" w:line="260" w:lineRule="auto"/>
        <w:rPr>
          <w:sz w:val="20"/>
          <w:szCs w:val="20"/>
          <w:color w:val="auto"/>
        </w:rPr>
      </w:pPr>
      <w:r>
        <w:rPr>
          <w:rFonts w:ascii="Arial" w:cs="Arial" w:eastAsia="Arial" w:hAnsi="Arial"/>
          <w:sz w:val="20"/>
          <w:szCs w:val="20"/>
          <w:color w:val="auto"/>
        </w:rPr>
        <w:t>Dealers delivered 230,157 vehicles in December, down 6 percent versus a year ago. Retail sales were down 6 percent and fleet sales were down 9 percent.</w:t>
      </w:r>
    </w:p>
    <w:p>
      <w:pPr>
        <w:spacing w:after="0" w:line="177" w:lineRule="exact"/>
        <w:rPr>
          <w:sz w:val="20"/>
          <w:szCs w:val="20"/>
          <w:color w:val="auto"/>
        </w:rPr>
      </w:pPr>
    </w:p>
    <w:p>
      <w:pPr>
        <w:spacing w:after="0" w:line="244" w:lineRule="auto"/>
        <w:rPr>
          <w:sz w:val="20"/>
          <w:szCs w:val="20"/>
          <w:color w:val="auto"/>
        </w:rPr>
      </w:pPr>
      <w:r>
        <w:rPr>
          <w:rFonts w:ascii="Arial" w:cs="Arial" w:eastAsia="Arial" w:hAnsi="Arial"/>
          <w:sz w:val="20"/>
          <w:szCs w:val="20"/>
          <w:color w:val="auto"/>
        </w:rPr>
        <w:t>“2013 was the year that GM and the auto industry put the last traces of the recession in the rearview mirror, so now we can devote our full attention to the things that matter most to customers: compelling design, world-class quality and delivering the best ownership experience in the business,” said Kurt McNeil, vice president, U.S. sales operations. “GM has laid a strong foundation to pursue all of these goals. We have announced more than $10 billion in capital investments in the United States since 2009 and plowed billions more into R&amp;D to refresh our product portfolio at twice the rate of the last few years.”</w:t>
      </w:r>
    </w:p>
    <w:p>
      <w:pPr>
        <w:spacing w:after="0" w:line="195" w:lineRule="exact"/>
        <w:rPr>
          <w:sz w:val="20"/>
          <w:szCs w:val="20"/>
          <w:color w:val="auto"/>
        </w:rPr>
      </w:pPr>
    </w:p>
    <w:p>
      <w:pPr>
        <w:ind w:right="120"/>
        <w:spacing w:after="0" w:line="260" w:lineRule="auto"/>
        <w:rPr>
          <w:sz w:val="20"/>
          <w:szCs w:val="20"/>
          <w:color w:val="auto"/>
        </w:rPr>
      </w:pPr>
      <w:r>
        <w:rPr>
          <w:rFonts w:ascii="Arial" w:cs="Arial" w:eastAsia="Arial" w:hAnsi="Arial"/>
          <w:sz w:val="20"/>
          <w:szCs w:val="20"/>
          <w:color w:val="auto"/>
        </w:rPr>
        <w:t>Major upcoming launches include all-new large SUVs for Cadillac, GMC and Chevrolet, the award-winning Cadillac ELR and all-new heavy-duty and mid-size pickups for Chevrolet and GMC.</w:t>
      </w:r>
    </w:p>
    <w:p>
      <w:pPr>
        <w:spacing w:after="0" w:line="177"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In addition, GM will begin the industry’s largest deployment of high-speed mobile broadband later this year. Additional details will be released at the Consumer Electronics Show in Las Vegas next week.</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2013 Highlights (versus 2012)</w:t>
      </w:r>
    </w:p>
    <w:p>
      <w:pPr>
        <w:spacing w:after="0" w:line="22" w:lineRule="exact"/>
        <w:rPr>
          <w:sz w:val="20"/>
          <w:szCs w:val="20"/>
          <w:color w:val="auto"/>
        </w:rPr>
      </w:pPr>
    </w:p>
    <w:p>
      <w:pPr>
        <w:ind w:left="660" w:right="66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GM became the first American auto company in history to top the J.D. Power Initial Quality Study, with eight individual model awards, including five for Chevrolet.</w:t>
      </w:r>
    </w:p>
    <w:p>
      <w:pPr>
        <w:spacing w:after="0" w:line="1" w:lineRule="exact"/>
        <w:rPr>
          <w:rFonts w:ascii="Arial" w:cs="Arial" w:eastAsia="Arial" w:hAnsi="Arial"/>
          <w:sz w:val="18"/>
          <w:szCs w:val="18"/>
          <w:color w:val="auto"/>
        </w:rPr>
      </w:pPr>
    </w:p>
    <w:p>
      <w:pPr>
        <w:ind w:left="660" w:right="56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Chevrolet redesigned iconic products, including the Silverado 1500, Corvette and Impala, all of which won numerous awards for product excellence.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Cadillac finished the year as the industry’s fastest-growing full-line luxury brand.</w:t>
      </w:r>
    </w:p>
    <w:p>
      <w:pPr>
        <w:ind w:left="660" w:right="78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Buick had its best sales year since 2006 as the brand expanded into new segments with the Verano sedan and the Encore small crossover.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6"/>
          <w:szCs w:val="16"/>
          <w:color w:val="auto"/>
        </w:rPr>
      </w:pPr>
      <w:r>
        <w:rPr>
          <w:rFonts w:ascii="Arial" w:cs="Arial" w:eastAsia="Arial" w:hAnsi="Arial"/>
          <w:sz w:val="18"/>
          <w:szCs w:val="18"/>
          <w:color w:val="auto"/>
        </w:rPr>
        <w:t>The all-new Chevrolet Silverado 1500 and GMC Sierra 1500 helped the company increase its full-size pickup sales by 14 percent.</w:t>
      </w:r>
    </w:p>
    <w:p>
      <w:pPr>
        <w:spacing w:after="0" w:line="22" w:lineRule="exact"/>
        <w:rPr>
          <w:rFonts w:ascii="Arial" w:cs="Arial" w:eastAsia="Arial" w:hAnsi="Arial"/>
          <w:sz w:val="16"/>
          <w:szCs w:val="16"/>
          <w:color w:val="auto"/>
        </w:rPr>
      </w:pPr>
    </w:p>
    <w:p>
      <w:pPr>
        <w:ind w:left="660" w:right="28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GMC sales were the strongest since 2007, and the Sierra now has the highest average transaction prices of any full-size pickup truck line in the industry, according to J.D. Power PIN estimates.</w:t>
      </w:r>
    </w:p>
    <w:p>
      <w:pPr>
        <w:spacing w:after="0" w:line="1" w:lineRule="exact"/>
        <w:rPr>
          <w:rFonts w:ascii="Arial" w:cs="Arial" w:eastAsia="Arial" w:hAnsi="Arial"/>
          <w:sz w:val="18"/>
          <w:szCs w:val="18"/>
          <w:color w:val="auto"/>
        </w:rPr>
      </w:pPr>
    </w:p>
    <w:p>
      <w:pPr>
        <w:ind w:left="660" w:right="800" w:hanging="328"/>
        <w:spacing w:after="0" w:line="23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Overall, GM’s share of the $40,000 and up light-duty pickup segment, which is about one-third of the market, has increased 7 percentage points to 36 percent.</w:t>
      </w:r>
    </w:p>
    <w:p>
      <w:pPr>
        <w:spacing w:after="0" w:line="1" w:lineRule="exact"/>
        <w:rPr>
          <w:rFonts w:ascii="Arial" w:cs="Arial" w:eastAsia="Arial" w:hAnsi="Arial"/>
          <w:sz w:val="18"/>
          <w:szCs w:val="18"/>
          <w:color w:val="auto"/>
        </w:rPr>
      </w:pPr>
    </w:p>
    <w:p>
      <w:pPr>
        <w:ind w:left="660" w:right="60" w:hanging="328"/>
        <w:spacing w:after="0" w:line="24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Combined sales of GM’s mini, small and compact cars increased by 10 percent, bolstered by best-ever sales of the Chevrolet Sonic and Cruze, and a remarkable year for the new Chevrolet Spark, which saw more than 34,000 deliveries.</w:t>
      </w:r>
    </w:p>
    <w:p>
      <w:pPr>
        <w:sectPr>
          <w:pgSz w:w="11900" w:h="16838" w:orient="portrait"/>
          <w:cols w:equalWidth="0" w:num="1">
            <w:col w:w="11420"/>
          </w:cols>
          <w:pgMar w:left="240" w:top="811" w:right="239" w:bottom="1440" w:gutter="0" w:footer="0" w:header="0"/>
        </w:sectPr>
      </w:pPr>
    </w:p>
    <w:bookmarkStart w:id="5" w:name="page6"/>
    <w:bookmarkEnd w:id="5"/>
    <w:p>
      <w:pPr>
        <w:ind w:left="660" w:right="18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Crossover deliveries were strong all year long, increasing by 14 percent. New products like the Buick Encore drove the growth along with stalwarts like the Chevrolet Equinox and GMC Terrain, which had their best sales years ever. The GMC Acadia and Buick Enclave also had their best years ever.</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December Sales Highlights (vs. 2012)</w:t>
      </w:r>
    </w:p>
    <w:p>
      <w:pPr>
        <w:spacing w:after="0" w:line="21"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color w:val="auto"/>
        </w:rPr>
        <w:t>Sales in the fourth quarter increased 6 percent and December’s volume was the highest since August.</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color w:val="auto"/>
        </w:rPr>
        <w:t>The Chevrolet Corvette had its best December sales since 2006.</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color w:val="auto"/>
        </w:rPr>
        <w:t>The redesigned Chevrolet Malibu and the all-new Impala were up 33 percent and 10 percent, respectively.</w:t>
      </w:r>
    </w:p>
    <w:p>
      <w:pPr>
        <w:ind w:left="660" w:right="120" w:hanging="328"/>
        <w:spacing w:after="0" w:line="23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color w:val="auto"/>
        </w:rPr>
        <w:t>Crossover and SUV sales were strong, with the Chevrolet Traverse and Tahoe, and the GMC Acadia and Yukon XL all posting higher sales. The Acadia was up 53 percent, for its best-ever December.</w:t>
      </w:r>
    </w:p>
    <w:p>
      <w:pPr>
        <w:spacing w:after="0" w:line="1" w:lineRule="exact"/>
        <w:rPr>
          <w:rFonts w:ascii="Arial" w:cs="Arial" w:eastAsia="Arial" w:hAnsi="Arial"/>
          <w:sz w:val="18"/>
          <w:szCs w:val="18"/>
          <w:color w:val="auto"/>
        </w:rPr>
      </w:pPr>
    </w:p>
    <w:p>
      <w:pPr>
        <w:ind w:left="660" w:right="100" w:hanging="328"/>
        <w:spacing w:after="0" w:line="24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20"/>
          <w:szCs w:val="20"/>
          <w:color w:val="auto"/>
        </w:rPr>
        <w:t>Small business customers took delivery of 26,231 vehicles in December up 20 percent. For the year, small business deliveries were up 35 percent.</w:t>
      </w:r>
    </w:p>
    <w:p>
      <w:pPr>
        <w:spacing w:after="0" w:line="192" w:lineRule="exact"/>
        <w:rPr>
          <w:sz w:val="20"/>
          <w:szCs w:val="20"/>
          <w:color w:val="auto"/>
        </w:rPr>
      </w:pPr>
    </w:p>
    <w:p>
      <w:pPr>
        <w:ind w:right="80"/>
        <w:spacing w:after="0" w:line="250" w:lineRule="auto"/>
        <w:rPr>
          <w:sz w:val="20"/>
          <w:szCs w:val="20"/>
          <w:color w:val="auto"/>
        </w:rPr>
      </w:pPr>
      <w:r>
        <w:rPr>
          <w:rFonts w:ascii="Arial" w:cs="Arial" w:eastAsia="Arial" w:hAnsi="Arial"/>
          <w:sz w:val="20"/>
          <w:szCs w:val="20"/>
          <w:color w:val="auto"/>
        </w:rPr>
        <w:t>“December started a little slow but sales were stronger later in the month, especially in the week between Christmas and New Year’s,” McNeil said. “We didn’t make any big changes to our ‘go-to-market’ strategy during the month, which is to offer competitive incentives and market aggressively, and we are carrying good momentum heading into January.”</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7" w:lineRule="exact"/>
        <w:rPr>
          <w:sz w:val="20"/>
          <w:szCs w:val="20"/>
          <w:color w:val="auto"/>
        </w:rPr>
      </w:pPr>
    </w:p>
    <w:p>
      <w:pPr>
        <w:spacing w:after="0" w:line="264" w:lineRule="auto"/>
        <w:rPr>
          <w:sz w:val="20"/>
          <w:szCs w:val="20"/>
          <w:color w:val="auto"/>
        </w:rPr>
      </w:pPr>
      <w:r>
        <w:rPr>
          <w:rFonts w:ascii="Arial" w:cs="Arial" w:eastAsia="Arial" w:hAnsi="Arial"/>
          <w:sz w:val="13"/>
          <w:szCs w:val="13"/>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pacing w:after="0" w:line="181" w:lineRule="exact"/>
        <w:rPr>
          <w:sz w:val="20"/>
          <w:szCs w:val="20"/>
          <w:color w:val="auto"/>
        </w:rPr>
      </w:pPr>
    </w:p>
    <w:p>
      <w:pPr>
        <w:ind w:right="220"/>
        <w:spacing w:after="0" w:line="289" w:lineRule="auto"/>
        <w:rPr>
          <w:sz w:val="20"/>
          <w:szCs w:val="20"/>
          <w:color w:val="auto"/>
        </w:rPr>
      </w:pPr>
      <w:r>
        <w:rPr>
          <w:rFonts w:ascii="Arial" w:cs="Arial" w:eastAsia="Arial" w:hAnsi="Arial"/>
          <w:sz w:val="13"/>
          <w:szCs w:val="13"/>
          <w:b w:val="1"/>
          <w:bCs w:val="1"/>
          <w:color w:val="auto"/>
        </w:rPr>
        <w:t xml:space="preserve">General Motors Co. </w:t>
      </w:r>
      <w:r>
        <w:rPr>
          <w:rFonts w:ascii="Arial" w:cs="Arial" w:eastAsia="Arial" w:hAnsi="Arial"/>
          <w:sz w:val="13"/>
          <w:szCs w:val="13"/>
          <w:color w:val="auto"/>
        </w:rPr>
        <w:t>(NYSE:GM, TSX: GMM) and its partners produce vehicles in 30 countries, and the company has leadership positions in the world's largest and fastest-growing automotive</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markets. GM, its subsidiaries and joint venture entities sell vehicles under the Chevrolet, Cadillac, Baojun, Buick, GMC, Holden, Isuzu, Jiefang, Opel, Vauxhall and Wuling brands. More information on the company and its subsidiaries, including OnStar, a global leader in vehicle safety, security and information services, can be found at </w:t>
      </w:r>
      <w:r>
        <w:rPr>
          <w:rFonts w:ascii="Arial" w:cs="Arial" w:eastAsia="Arial" w:hAnsi="Arial"/>
          <w:sz w:val="13"/>
          <w:szCs w:val="13"/>
          <w:u w:val="single" w:color="auto"/>
          <w:color w:val="0000FF"/>
        </w:rPr>
        <w:t>http://www.gm.com</w:t>
      </w:r>
      <w:r>
        <w:rPr>
          <w:rFonts w:ascii="Arial" w:cs="Arial" w:eastAsia="Arial" w:hAnsi="Arial"/>
          <w:sz w:val="13"/>
          <w:szCs w:val="13"/>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Jim Cain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313-407-2843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james.cain@gm.com</w:t>
      </w:r>
    </w:p>
    <w:p>
      <w:pPr>
        <w:sectPr>
          <w:pgSz w:w="11900" w:h="16838" w:orient="portrait"/>
          <w:cols w:equalWidth="0" w:num="1">
            <w:col w:w="11380"/>
          </w:cols>
          <w:pgMar w:left="240" w:top="582" w:right="27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Sales Tables</w:t>
      </w:r>
    </w:p>
    <w:p>
      <w:pPr>
        <w:spacing w:after="0" w:line="354" w:lineRule="exact"/>
        <w:rPr>
          <w:sz w:val="20"/>
          <w:szCs w:val="20"/>
          <w:color w:val="auto"/>
        </w:rPr>
      </w:pPr>
    </w:p>
    <w:tbl>
      <w:tblPr>
        <w:tblLayout w:type="fixed"/>
        <w:tblInd w:w="410" w:type="dxa"/>
        <w:tblCellMar>
          <w:top w:w="0" w:type="dxa"/>
          <w:left w:w="0" w:type="dxa"/>
          <w:bottom w:w="0" w:type="dxa"/>
          <w:right w:w="0" w:type="dxa"/>
        </w:tblCellMar>
      </w:tblPr>
      <w:tr>
        <w:trPr>
          <w:trHeight w:val="257"/>
        </w:trPr>
        <w:tc>
          <w:tcPr>
            <w:tcW w:w="21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December</w:t>
            </w:r>
          </w:p>
        </w:tc>
        <w:tc>
          <w:tcPr>
            <w:tcW w:w="212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8"/>
                <w:szCs w:val="18"/>
                <w:b w:val="1"/>
                <w:bCs w:val="1"/>
                <w:color w:val="auto"/>
              </w:rPr>
              <w:t>Total Sales</w:t>
            </w:r>
          </w:p>
        </w:tc>
        <w:tc>
          <w:tcPr>
            <w:tcW w:w="2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YOY Change</w:t>
            </w:r>
          </w:p>
        </w:tc>
        <w:tc>
          <w:tcPr>
            <w:tcW w:w="2120" w:type="dxa"/>
            <w:vAlign w:val="bottom"/>
            <w:tcBorders>
              <w:top w:val="single" w:sz="8" w:color="auto"/>
              <w:right w:val="single" w:sz="8" w:color="auto"/>
            </w:tcBorders>
          </w:tcPr>
          <w:p>
            <w:pPr>
              <w:ind w:left="600"/>
              <w:spacing w:after="0"/>
              <w:rPr>
                <w:sz w:val="20"/>
                <w:szCs w:val="20"/>
                <w:color w:val="auto"/>
              </w:rPr>
            </w:pPr>
            <w:r>
              <w:rPr>
                <w:rFonts w:ascii="Arial" w:cs="Arial" w:eastAsia="Arial" w:hAnsi="Arial"/>
                <w:sz w:val="18"/>
                <w:szCs w:val="18"/>
                <w:b w:val="1"/>
                <w:bCs w:val="1"/>
                <w:color w:val="auto"/>
              </w:rPr>
              <w:t>Retail Sales</w:t>
            </w:r>
          </w:p>
        </w:tc>
        <w:tc>
          <w:tcPr>
            <w:tcW w:w="2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YOY Change</w:t>
            </w:r>
          </w:p>
        </w:tc>
      </w:tr>
      <w:tr>
        <w:trPr>
          <w:trHeight w:val="27"/>
        </w:trPr>
        <w:tc>
          <w:tcPr>
            <w:tcW w:w="216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r>
      <w:tr>
        <w:trPr>
          <w:trHeight w:val="237"/>
        </w:trPr>
        <w:tc>
          <w:tcPr>
            <w:tcW w:w="21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Chevrolet</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153,493</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-8.1%</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114,104</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-7.2%</w:t>
            </w:r>
          </w:p>
        </w:tc>
      </w:tr>
      <w:tr>
        <w:trPr>
          <w:trHeight w:val="27"/>
        </w:trPr>
        <w:tc>
          <w:tcPr>
            <w:tcW w:w="216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r>
      <w:tr>
        <w:trPr>
          <w:trHeight w:val="237"/>
        </w:trPr>
        <w:tc>
          <w:tcPr>
            <w:tcW w:w="21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GMC</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43,120</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-1.8%</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36,823</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-2.1%</w:t>
            </w:r>
          </w:p>
        </w:tc>
      </w:tr>
      <w:tr>
        <w:trPr>
          <w:trHeight w:val="27"/>
        </w:trPr>
        <w:tc>
          <w:tcPr>
            <w:tcW w:w="216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r>
      <w:tr>
        <w:trPr>
          <w:trHeight w:val="237"/>
        </w:trPr>
        <w:tc>
          <w:tcPr>
            <w:tcW w:w="21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Buick</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15,379</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-6.6%</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14,544</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-7.1%</w:t>
            </w:r>
          </w:p>
        </w:tc>
      </w:tr>
      <w:tr>
        <w:trPr>
          <w:trHeight w:val="27"/>
        </w:trPr>
        <w:tc>
          <w:tcPr>
            <w:tcW w:w="216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r>
      <w:tr>
        <w:trPr>
          <w:trHeight w:val="237"/>
        </w:trPr>
        <w:tc>
          <w:tcPr>
            <w:tcW w:w="21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Cadillac</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18,165</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-0.5%</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16,591</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-1.1%</w:t>
            </w:r>
          </w:p>
        </w:tc>
      </w:tr>
      <w:tr>
        <w:trPr>
          <w:trHeight w:val="27"/>
        </w:trPr>
        <w:tc>
          <w:tcPr>
            <w:tcW w:w="216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r>
      <w:tr>
        <w:trPr>
          <w:trHeight w:val="237"/>
        </w:trPr>
        <w:tc>
          <w:tcPr>
            <w:tcW w:w="21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Total</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230,157</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-6.3%</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182,062</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-5.7%</w:t>
            </w:r>
          </w:p>
        </w:tc>
      </w:tr>
      <w:tr>
        <w:trPr>
          <w:trHeight w:val="27"/>
        </w:trPr>
        <w:tc>
          <w:tcPr>
            <w:tcW w:w="216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r>
    </w:tbl>
    <w:p>
      <w:pPr>
        <w:spacing w:after="0" w:line="304" w:lineRule="exact"/>
        <w:rPr>
          <w:sz w:val="20"/>
          <w:szCs w:val="20"/>
          <w:color w:val="auto"/>
        </w:rPr>
      </w:pPr>
    </w:p>
    <w:tbl>
      <w:tblPr>
        <w:tblLayout w:type="fixed"/>
        <w:tblInd w:w="410" w:type="dxa"/>
        <w:tblCellMar>
          <w:top w:w="0" w:type="dxa"/>
          <w:left w:w="0" w:type="dxa"/>
          <w:bottom w:w="0" w:type="dxa"/>
          <w:right w:w="0" w:type="dxa"/>
        </w:tblCellMar>
      </w:tblPr>
      <w:tr>
        <w:trPr>
          <w:trHeight w:val="257"/>
        </w:trPr>
        <w:tc>
          <w:tcPr>
            <w:tcW w:w="21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2013CY</w:t>
            </w:r>
          </w:p>
        </w:tc>
        <w:tc>
          <w:tcPr>
            <w:tcW w:w="212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8"/>
                <w:szCs w:val="18"/>
                <w:b w:val="1"/>
                <w:bCs w:val="1"/>
                <w:color w:val="auto"/>
              </w:rPr>
              <w:t>Total Sales</w:t>
            </w:r>
          </w:p>
        </w:tc>
        <w:tc>
          <w:tcPr>
            <w:tcW w:w="212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YOY Change</w:t>
            </w:r>
          </w:p>
        </w:tc>
        <w:tc>
          <w:tcPr>
            <w:tcW w:w="2120" w:type="dxa"/>
            <w:vAlign w:val="bottom"/>
            <w:tcBorders>
              <w:top w:val="single" w:sz="8" w:color="auto"/>
              <w:right w:val="single" w:sz="8" w:color="auto"/>
            </w:tcBorders>
          </w:tcPr>
          <w:p>
            <w:pPr>
              <w:ind w:left="600"/>
              <w:spacing w:after="0"/>
              <w:rPr>
                <w:sz w:val="20"/>
                <w:szCs w:val="20"/>
                <w:color w:val="auto"/>
              </w:rPr>
            </w:pPr>
            <w:r>
              <w:rPr>
                <w:rFonts w:ascii="Arial" w:cs="Arial" w:eastAsia="Arial" w:hAnsi="Arial"/>
                <w:sz w:val="18"/>
                <w:szCs w:val="18"/>
                <w:b w:val="1"/>
                <w:bCs w:val="1"/>
                <w:color w:val="auto"/>
              </w:rPr>
              <w:t>Retail Sales</w:t>
            </w:r>
          </w:p>
        </w:tc>
        <w:tc>
          <w:tcPr>
            <w:tcW w:w="212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YOY Change</w:t>
            </w:r>
          </w:p>
        </w:tc>
      </w:tr>
      <w:tr>
        <w:trPr>
          <w:trHeight w:val="27"/>
        </w:trPr>
        <w:tc>
          <w:tcPr>
            <w:tcW w:w="216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r>
      <w:tr>
        <w:trPr>
          <w:trHeight w:val="237"/>
        </w:trPr>
        <w:tc>
          <w:tcPr>
            <w:tcW w:w="21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Chevrolet</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1,947,125</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5.2%</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1,386,703</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9.2%</w:t>
            </w:r>
          </w:p>
        </w:tc>
      </w:tr>
      <w:tr>
        <w:trPr>
          <w:trHeight w:val="27"/>
        </w:trPr>
        <w:tc>
          <w:tcPr>
            <w:tcW w:w="216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r>
      <w:tr>
        <w:trPr>
          <w:trHeight w:val="237"/>
        </w:trPr>
        <w:tc>
          <w:tcPr>
            <w:tcW w:w="21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GMC</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450,901</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8.9%</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391,210</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12.0%</w:t>
            </w:r>
          </w:p>
        </w:tc>
      </w:tr>
      <w:tr>
        <w:trPr>
          <w:trHeight w:val="27"/>
        </w:trPr>
        <w:tc>
          <w:tcPr>
            <w:tcW w:w="216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r>
      <w:tr>
        <w:trPr>
          <w:trHeight w:val="237"/>
        </w:trPr>
        <w:tc>
          <w:tcPr>
            <w:tcW w:w="21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Buick</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205,509</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13.9%</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184,320</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13.1%</w:t>
            </w:r>
          </w:p>
        </w:tc>
      </w:tr>
      <w:tr>
        <w:trPr>
          <w:trHeight w:val="27"/>
        </w:trPr>
        <w:tc>
          <w:tcPr>
            <w:tcW w:w="216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r>
      <w:tr>
        <w:trPr>
          <w:trHeight w:val="237"/>
        </w:trPr>
        <w:tc>
          <w:tcPr>
            <w:tcW w:w="21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Cadillac</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182,543</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21.9%</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167,505</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19.1%</w:t>
            </w:r>
          </w:p>
        </w:tc>
      </w:tr>
      <w:tr>
        <w:trPr>
          <w:trHeight w:val="27"/>
        </w:trPr>
        <w:tc>
          <w:tcPr>
            <w:tcW w:w="216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r>
      <w:tr>
        <w:trPr>
          <w:trHeight w:val="237"/>
        </w:trPr>
        <w:tc>
          <w:tcPr>
            <w:tcW w:w="21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Total</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2,786,078</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7.3%</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2,129,738</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10.8%</w:t>
            </w:r>
          </w:p>
        </w:tc>
      </w:tr>
      <w:tr>
        <w:trPr>
          <w:trHeight w:val="27"/>
        </w:trPr>
        <w:tc>
          <w:tcPr>
            <w:tcW w:w="216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r>
    </w:tbl>
    <w:p>
      <w:pPr>
        <w:spacing w:after="0" w:line="304" w:lineRule="exact"/>
        <w:rPr>
          <w:sz w:val="20"/>
          <w:szCs w:val="20"/>
          <w:color w:val="auto"/>
        </w:rPr>
      </w:pPr>
    </w:p>
    <w:tbl>
      <w:tblPr>
        <w:tblLayout w:type="fixed"/>
        <w:tblInd w:w="410" w:type="dxa"/>
        <w:tblCellMar>
          <w:top w:w="0" w:type="dxa"/>
          <w:left w:w="0" w:type="dxa"/>
          <w:bottom w:w="0" w:type="dxa"/>
          <w:right w:w="0" w:type="dxa"/>
        </w:tblCellMar>
      </w:tblPr>
      <w:tr>
        <w:trPr>
          <w:trHeight w:val="257"/>
        </w:trPr>
        <w:tc>
          <w:tcPr>
            <w:tcW w:w="21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Fleet Segment</w:t>
            </w:r>
          </w:p>
        </w:tc>
        <w:tc>
          <w:tcPr>
            <w:tcW w:w="2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Month</w:t>
            </w:r>
          </w:p>
        </w:tc>
        <w:tc>
          <w:tcPr>
            <w:tcW w:w="2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YOY Change</w:t>
            </w:r>
          </w:p>
        </w:tc>
        <w:tc>
          <w:tcPr>
            <w:tcW w:w="2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2013 CY</w:t>
            </w:r>
          </w:p>
        </w:tc>
        <w:tc>
          <w:tcPr>
            <w:tcW w:w="2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CY Change</w:t>
            </w:r>
          </w:p>
        </w:tc>
      </w:tr>
      <w:tr>
        <w:trPr>
          <w:trHeight w:val="27"/>
        </w:trPr>
        <w:tc>
          <w:tcPr>
            <w:tcW w:w="216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r>
      <w:tr>
        <w:trPr>
          <w:trHeight w:val="237"/>
        </w:trPr>
        <w:tc>
          <w:tcPr>
            <w:tcW w:w="21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Share of Sales</w:t>
            </w:r>
          </w:p>
        </w:tc>
        <w:tc>
          <w:tcPr>
            <w:tcW w:w="21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color w:val="auto"/>
              </w:rPr>
              <w:t>20.9%</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-0.5 points</w:t>
            </w:r>
          </w:p>
        </w:tc>
        <w:tc>
          <w:tcPr>
            <w:tcW w:w="2120" w:type="dxa"/>
            <w:vAlign w:val="bottom"/>
            <w:tcBorders>
              <w:right w:val="single" w:sz="8" w:color="auto"/>
            </w:tcBorders>
          </w:tcPr>
          <w:p>
            <w:pPr>
              <w:jc w:val="right"/>
              <w:ind w:right="750"/>
              <w:spacing w:after="0"/>
              <w:rPr>
                <w:sz w:val="20"/>
                <w:szCs w:val="20"/>
                <w:color w:val="auto"/>
              </w:rPr>
            </w:pPr>
            <w:r>
              <w:rPr>
                <w:rFonts w:ascii="Arial" w:cs="Arial" w:eastAsia="Arial" w:hAnsi="Arial"/>
                <w:sz w:val="18"/>
                <w:szCs w:val="18"/>
                <w:color w:val="auto"/>
              </w:rPr>
              <w:t>23.6%</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-2.4 points</w:t>
            </w:r>
          </w:p>
        </w:tc>
      </w:tr>
      <w:tr>
        <w:trPr>
          <w:trHeight w:val="27"/>
        </w:trPr>
        <w:tc>
          <w:tcPr>
            <w:tcW w:w="216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r>
      <w:tr>
        <w:trPr>
          <w:trHeight w:val="318"/>
        </w:trPr>
        <w:tc>
          <w:tcPr>
            <w:tcW w:w="21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r>
      <w:tr>
        <w:trPr>
          <w:trHeight w:val="218"/>
        </w:trPr>
        <w:tc>
          <w:tcPr>
            <w:tcW w:w="216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Units at</w:t>
            </w:r>
          </w:p>
        </w:tc>
        <w:tc>
          <w:tcPr>
            <w:tcW w:w="2120" w:type="dxa"/>
            <w:vAlign w:val="bottom"/>
            <w:tcBorders>
              <w:right w:val="single" w:sz="8" w:color="auto"/>
            </w:tcBorders>
          </w:tcPr>
          <w:p>
            <w:pPr>
              <w:spacing w:after="0"/>
              <w:rPr>
                <w:sz w:val="18"/>
                <w:szCs w:val="18"/>
                <w:color w:val="auto"/>
              </w:rPr>
            </w:pPr>
          </w:p>
        </w:tc>
      </w:tr>
      <w:tr>
        <w:trPr>
          <w:trHeight w:val="216"/>
        </w:trPr>
        <w:tc>
          <w:tcPr>
            <w:tcW w:w="2160" w:type="dxa"/>
            <w:vAlign w:val="bottom"/>
            <w:tcBorders>
              <w:left w:val="single" w:sz="8" w:color="auto"/>
              <w:right w:val="single" w:sz="8" w:color="auto"/>
            </w:tcBorders>
          </w:tcPr>
          <w:p>
            <w:pPr>
              <w:spacing w:after="0"/>
              <w:rPr>
                <w:sz w:val="18"/>
                <w:szCs w:val="18"/>
                <w:color w:val="auto"/>
              </w:rPr>
            </w:pP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Units at</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Days Supply</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Previous</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Days Supply</w:t>
            </w:r>
          </w:p>
        </w:tc>
      </w:tr>
      <w:tr>
        <w:trPr>
          <w:trHeight w:val="234"/>
        </w:trPr>
        <w:tc>
          <w:tcPr>
            <w:tcW w:w="21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Inventory</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Month-end</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(selling day adjusted)</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Month-end</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(selling day adjusted)</w:t>
            </w:r>
          </w:p>
        </w:tc>
      </w:tr>
      <w:tr>
        <w:trPr>
          <w:trHeight w:val="27"/>
        </w:trPr>
        <w:tc>
          <w:tcPr>
            <w:tcW w:w="216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r>
      <w:tr>
        <w:trPr>
          <w:trHeight w:val="237"/>
        </w:trPr>
        <w:tc>
          <w:tcPr>
            <w:tcW w:w="21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All Vehicles</w:t>
            </w:r>
          </w:p>
        </w:tc>
        <w:tc>
          <w:tcPr>
            <w:tcW w:w="2120" w:type="dxa"/>
            <w:vAlign w:val="bottom"/>
            <w:tcBorders>
              <w:right w:val="single" w:sz="8" w:color="auto"/>
            </w:tcBorders>
          </w:tcPr>
          <w:p>
            <w:pPr>
              <w:jc w:val="right"/>
              <w:ind w:right="690"/>
              <w:spacing w:after="0"/>
              <w:rPr>
                <w:sz w:val="20"/>
                <w:szCs w:val="20"/>
                <w:color w:val="auto"/>
              </w:rPr>
            </w:pPr>
            <w:r>
              <w:rPr>
                <w:rFonts w:ascii="Arial" w:cs="Arial" w:eastAsia="Arial" w:hAnsi="Arial"/>
                <w:sz w:val="18"/>
                <w:szCs w:val="18"/>
                <w:color w:val="auto"/>
              </w:rPr>
              <w:t>748,125</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81</w:t>
            </w:r>
          </w:p>
        </w:tc>
        <w:tc>
          <w:tcPr>
            <w:tcW w:w="2120" w:type="dxa"/>
            <w:vAlign w:val="bottom"/>
            <w:tcBorders>
              <w:right w:val="single" w:sz="8" w:color="auto"/>
            </w:tcBorders>
          </w:tcPr>
          <w:p>
            <w:pPr>
              <w:jc w:val="right"/>
              <w:ind w:right="690"/>
              <w:spacing w:after="0"/>
              <w:rPr>
                <w:sz w:val="20"/>
                <w:szCs w:val="20"/>
                <w:color w:val="auto"/>
              </w:rPr>
            </w:pPr>
            <w:r>
              <w:rPr>
                <w:rFonts w:ascii="Arial" w:cs="Arial" w:eastAsia="Arial" w:hAnsi="Arial"/>
                <w:sz w:val="18"/>
                <w:szCs w:val="18"/>
                <w:color w:val="auto"/>
              </w:rPr>
              <w:t>779,517</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96</w:t>
            </w:r>
          </w:p>
        </w:tc>
      </w:tr>
      <w:tr>
        <w:trPr>
          <w:trHeight w:val="27"/>
        </w:trPr>
        <w:tc>
          <w:tcPr>
            <w:tcW w:w="2160" w:type="dxa"/>
            <w:vAlign w:val="bottom"/>
            <w:tcBorders>
              <w:left w:val="single" w:sz="8" w:color="auto"/>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r>
      <w:tr>
        <w:trPr>
          <w:trHeight w:val="318"/>
        </w:trPr>
        <w:tc>
          <w:tcPr>
            <w:tcW w:w="2160" w:type="dxa"/>
            <w:vAlign w:val="bottom"/>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120" w:type="dxa"/>
            <w:vAlign w:val="bottom"/>
          </w:tcPr>
          <w:p>
            <w:pPr>
              <w:spacing w:after="0"/>
              <w:rPr>
                <w:sz w:val="24"/>
                <w:szCs w:val="24"/>
                <w:color w:val="auto"/>
              </w:rPr>
            </w:pPr>
          </w:p>
        </w:tc>
      </w:tr>
      <w:tr>
        <w:trPr>
          <w:trHeight w:val="237"/>
        </w:trPr>
        <w:tc>
          <w:tcPr>
            <w:tcW w:w="216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Industry Sales</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Month (est.)</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2013 (est.)</w:t>
            </w:r>
          </w:p>
        </w:tc>
        <w:tc>
          <w:tcPr>
            <w:tcW w:w="2120" w:type="dxa"/>
            <w:vAlign w:val="bottom"/>
          </w:tcPr>
          <w:p>
            <w:pPr>
              <w:spacing w:after="0"/>
              <w:rPr>
                <w:sz w:val="20"/>
                <w:szCs w:val="20"/>
                <w:color w:val="auto"/>
              </w:rPr>
            </w:pPr>
          </w:p>
        </w:tc>
      </w:tr>
      <w:tr>
        <w:trPr>
          <w:trHeight w:val="27"/>
        </w:trPr>
        <w:tc>
          <w:tcPr>
            <w:tcW w:w="2160" w:type="dxa"/>
            <w:vAlign w:val="bottom"/>
            <w:tcBorders>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Pr>
          <w:p>
            <w:pPr>
              <w:spacing w:after="0"/>
              <w:rPr>
                <w:sz w:val="2"/>
                <w:szCs w:val="2"/>
                <w:color w:val="auto"/>
              </w:rPr>
            </w:pPr>
          </w:p>
        </w:tc>
      </w:tr>
      <w:tr>
        <w:trPr>
          <w:trHeight w:val="237"/>
        </w:trPr>
        <w:tc>
          <w:tcPr>
            <w:tcW w:w="216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5"/>
              </w:rPr>
              <w:t>Light Vehicle SAAR</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15.6 million range</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15.6 million range</w:t>
            </w:r>
          </w:p>
        </w:tc>
        <w:tc>
          <w:tcPr>
            <w:tcW w:w="2120" w:type="dxa"/>
            <w:vAlign w:val="bottom"/>
          </w:tcPr>
          <w:p>
            <w:pPr>
              <w:spacing w:after="0"/>
              <w:rPr>
                <w:sz w:val="20"/>
                <w:szCs w:val="20"/>
                <w:color w:val="auto"/>
              </w:rPr>
            </w:pPr>
          </w:p>
        </w:tc>
      </w:tr>
      <w:tr>
        <w:trPr>
          <w:trHeight w:val="27"/>
        </w:trPr>
        <w:tc>
          <w:tcPr>
            <w:tcW w:w="2160" w:type="dxa"/>
            <w:vAlign w:val="bottom"/>
            <w:tcBorders>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2120" w:type="dxa"/>
            <w:vAlign w:val="bottom"/>
          </w:tcPr>
          <w:p>
            <w:pPr>
              <w:spacing w:after="0"/>
              <w:rPr>
                <w:sz w:val="2"/>
                <w:szCs w:val="2"/>
                <w:color w:val="auto"/>
              </w:rPr>
            </w:pPr>
          </w:p>
        </w:tc>
      </w:tr>
    </w:tbl>
    <w:p>
      <w:pPr>
        <w:sectPr>
          <w:pgSz w:w="11900" w:h="16838" w:orient="portrait"/>
          <w:cols w:equalWidth="0" w:num="1">
            <w:col w:w="11040"/>
          </w:cols>
          <w:pgMar w:left="240" w:top="805" w:right="619" w:bottom="1440" w:gutter="0" w:footer="0" w:header="0"/>
        </w:sectPr>
      </w:pPr>
    </w:p>
    <w:bookmarkStart w:id="7" w:name="page8"/>
    <w:bookmarkEnd w:id="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2480" w:type="dxa"/>
            <w:vAlign w:val="bottom"/>
            <w:tcBorders>
              <w:top w:val="single" w:sz="8" w:color="auto"/>
              <w:left w:val="single" w:sz="8" w:color="auto"/>
              <w:right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80" w:type="dxa"/>
            <w:vAlign w:val="bottom"/>
            <w:tcBorders>
              <w:top w:val="single" w:sz="8" w:color="auto"/>
              <w:right w:val="single" w:sz="8" w:color="auto"/>
            </w:tcBorders>
          </w:tcPr>
          <w:p>
            <w:pPr>
              <w:spacing w:after="0"/>
              <w:rPr>
                <w:sz w:val="15"/>
                <w:szCs w:val="15"/>
                <w:color w:val="auto"/>
              </w:rPr>
            </w:pPr>
          </w:p>
        </w:tc>
        <w:tc>
          <w:tcPr>
            <w:tcW w:w="2520" w:type="dxa"/>
            <w:vAlign w:val="bottom"/>
            <w:tcBorders>
              <w:top w:val="single" w:sz="8" w:color="auto"/>
            </w:tcBorders>
            <w:gridSpan w:val="2"/>
          </w:tcPr>
          <w:p>
            <w:pPr>
              <w:jc w:val="right"/>
              <w:ind w:right="88"/>
              <w:spacing w:after="0"/>
              <w:rPr>
                <w:sz w:val="20"/>
                <w:szCs w:val="20"/>
                <w:color w:val="auto"/>
              </w:rPr>
            </w:pPr>
            <w:r>
              <w:rPr>
                <w:rFonts w:ascii="Arial" w:cs="Arial" w:eastAsia="Arial" w:hAnsi="Arial"/>
                <w:sz w:val="14"/>
                <w:szCs w:val="14"/>
                <w:color w:val="auto"/>
              </w:rPr>
              <w:t>(Calendar Year-to-Date)</w:t>
            </w:r>
          </w:p>
        </w:tc>
        <w:tc>
          <w:tcPr>
            <w:tcW w:w="920" w:type="dxa"/>
            <w:vAlign w:val="bottom"/>
            <w:tcBorders>
              <w:top w:val="single" w:sz="8" w:color="auto"/>
              <w:right w:val="single" w:sz="8" w:color="auto"/>
            </w:tcBorders>
          </w:tcPr>
          <w:p>
            <w:pPr>
              <w:spacing w:after="0"/>
              <w:rPr>
                <w:sz w:val="15"/>
                <w:szCs w:val="15"/>
                <w:color w:val="auto"/>
              </w:rPr>
            </w:pPr>
          </w:p>
        </w:tc>
      </w:tr>
      <w:tr>
        <w:trPr>
          <w:trHeight w:val="201"/>
        </w:trPr>
        <w:tc>
          <w:tcPr>
            <w:tcW w:w="2480" w:type="dxa"/>
            <w:vAlign w:val="bottom"/>
            <w:tcBorders>
              <w:left w:val="single" w:sz="8" w:color="auto"/>
              <w:right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December</w:t>
            </w:r>
          </w:p>
        </w:tc>
        <w:tc>
          <w:tcPr>
            <w:tcW w:w="1080" w:type="dxa"/>
            <w:vAlign w:val="bottom"/>
            <w:tcBorders>
              <w:bottom w:val="single" w:sz="8" w:color="auto"/>
              <w:right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93"/>
              </w:rPr>
              <w:t>January - December</w:t>
            </w:r>
          </w:p>
        </w:tc>
        <w:tc>
          <w:tcPr>
            <w:tcW w:w="920" w:type="dxa"/>
            <w:vAlign w:val="bottom"/>
            <w:tcBorders>
              <w:bottom w:val="single" w:sz="8" w:color="auto"/>
              <w:right w:val="single" w:sz="8" w:color="auto"/>
            </w:tcBorders>
          </w:tcPr>
          <w:p>
            <w:pPr>
              <w:spacing w:after="0"/>
              <w:rPr>
                <w:sz w:val="17"/>
                <w:szCs w:val="17"/>
                <w:color w:val="auto"/>
              </w:rPr>
            </w:pPr>
          </w:p>
        </w:tc>
      </w:tr>
      <w:tr>
        <w:trPr>
          <w:trHeight w:val="157"/>
        </w:trPr>
        <w:tc>
          <w:tcPr>
            <w:tcW w:w="2480" w:type="dxa"/>
            <w:vAlign w:val="bottom"/>
            <w:tcBorders>
              <w:left w:val="single" w:sz="8" w:color="auto"/>
              <w:right w:val="single" w:sz="8" w:color="auto"/>
            </w:tcBorders>
          </w:tcPr>
          <w:p>
            <w:pPr>
              <w:spacing w:after="0"/>
              <w:rPr>
                <w:sz w:val="13"/>
                <w:szCs w:val="13"/>
                <w:color w:val="auto"/>
              </w:rPr>
            </w:pPr>
          </w:p>
        </w:tc>
        <w:tc>
          <w:tcPr>
            <w:tcW w:w="1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80" w:type="dxa"/>
            <w:vAlign w:val="bottom"/>
            <w:tcBorders>
              <w:right w:val="single" w:sz="8" w:color="auto"/>
            </w:tcBorders>
          </w:tcPr>
          <w:p>
            <w:pPr>
              <w:jc w:val="right"/>
              <w:ind w:right="168"/>
              <w:spacing w:after="0" w:line="157" w:lineRule="exact"/>
              <w:rPr>
                <w:sz w:val="20"/>
                <w:szCs w:val="20"/>
                <w:color w:val="auto"/>
              </w:rPr>
            </w:pPr>
            <w:r>
              <w:rPr>
                <w:rFonts w:ascii="Arial" w:cs="Arial" w:eastAsia="Arial" w:hAnsi="Arial"/>
                <w:sz w:val="14"/>
                <w:szCs w:val="14"/>
                <w:color w:val="auto"/>
              </w:rPr>
              <w:t>%Change</w:t>
            </w:r>
          </w:p>
        </w:tc>
        <w:tc>
          <w:tcPr>
            <w:tcW w:w="10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920" w:type="dxa"/>
            <w:vAlign w:val="bottom"/>
            <w:tcBorders>
              <w:right w:val="single" w:sz="8" w:color="auto"/>
            </w:tcBorders>
          </w:tcPr>
          <w:p>
            <w:pPr>
              <w:jc w:val="right"/>
              <w:ind w:right="148"/>
              <w:spacing w:after="0" w:line="157" w:lineRule="exact"/>
              <w:rPr>
                <w:sz w:val="20"/>
                <w:szCs w:val="20"/>
                <w:color w:val="auto"/>
              </w:rPr>
            </w:pPr>
            <w:r>
              <w:rPr>
                <w:rFonts w:ascii="Arial" w:cs="Arial" w:eastAsia="Arial" w:hAnsi="Arial"/>
                <w:sz w:val="14"/>
                <w:szCs w:val="14"/>
                <w:color w:val="auto"/>
              </w:rPr>
              <w:t>%Change</w:t>
            </w:r>
          </w:p>
        </w:tc>
      </w:tr>
      <w:tr>
        <w:trPr>
          <w:trHeight w:val="215"/>
        </w:trPr>
        <w:tc>
          <w:tcPr>
            <w:tcW w:w="2480" w:type="dxa"/>
            <w:vAlign w:val="bottom"/>
            <w:tcBorders>
              <w:left w:val="single" w:sz="8" w:color="auto"/>
              <w:bottom w:val="single" w:sz="8" w:color="auto"/>
              <w:right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2013</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2012</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Volume</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2013</w:t>
            </w: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2012</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Volume</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Enclave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4,819</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6,052</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(20.4)</w:t>
            </w:r>
          </w:p>
        </w:tc>
        <w:tc>
          <w:tcPr>
            <w:tcW w:w="1040" w:type="dxa"/>
            <w:vAlign w:val="bottom"/>
          </w:tcPr>
          <w:p>
            <w:pPr>
              <w:jc w:val="right"/>
              <w:spacing w:after="0"/>
              <w:rPr>
                <w:sz w:val="20"/>
                <w:szCs w:val="20"/>
                <w:color w:val="auto"/>
              </w:rPr>
            </w:pPr>
            <w:r>
              <w:rPr>
                <w:rFonts w:ascii="Arial" w:cs="Arial" w:eastAsia="Arial" w:hAnsi="Arial"/>
                <w:sz w:val="14"/>
                <w:szCs w:val="14"/>
                <w:color w:val="auto"/>
              </w:rPr>
              <w:t>60,534</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56,703</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6.8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Encore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2,761</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31,956</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LaCrosse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3,123</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4,074</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(23.3)</w:t>
            </w:r>
          </w:p>
        </w:tc>
        <w:tc>
          <w:tcPr>
            <w:tcW w:w="1040" w:type="dxa"/>
            <w:vAlign w:val="bottom"/>
          </w:tcPr>
          <w:p>
            <w:pPr>
              <w:jc w:val="right"/>
              <w:spacing w:after="0"/>
              <w:rPr>
                <w:sz w:val="20"/>
                <w:szCs w:val="20"/>
                <w:color w:val="auto"/>
              </w:rPr>
            </w:pPr>
            <w:r>
              <w:rPr>
                <w:rFonts w:ascii="Arial" w:cs="Arial" w:eastAsia="Arial" w:hAnsi="Arial"/>
                <w:sz w:val="14"/>
                <w:szCs w:val="14"/>
                <w:color w:val="auto"/>
              </w:rPr>
              <w:t>48,798</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57,076</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(14.5)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Regal</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1,747</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1,526</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14.5</w:t>
            </w:r>
          </w:p>
        </w:tc>
        <w:tc>
          <w:tcPr>
            <w:tcW w:w="1040" w:type="dxa"/>
            <w:vAlign w:val="bottom"/>
          </w:tcPr>
          <w:p>
            <w:pPr>
              <w:jc w:val="right"/>
              <w:spacing w:after="0"/>
              <w:rPr>
                <w:sz w:val="20"/>
                <w:szCs w:val="20"/>
                <w:color w:val="auto"/>
              </w:rPr>
            </w:pPr>
            <w:r>
              <w:rPr>
                <w:rFonts w:ascii="Arial" w:cs="Arial" w:eastAsia="Arial" w:hAnsi="Arial"/>
                <w:sz w:val="14"/>
                <w:szCs w:val="14"/>
                <w:color w:val="auto"/>
              </w:rPr>
              <w:t>18,685</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24,616</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(24.1)</w:t>
            </w:r>
          </w:p>
        </w:tc>
      </w:tr>
      <w:tr>
        <w:trPr>
          <w:trHeight w:val="276"/>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Verano</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2,929</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4,820</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(39.2)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45,527</w:t>
            </w: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41,042</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10.9</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Buick Total*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15,379</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16,473</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(6.6)</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205,509</w:t>
            </w: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180,408</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13.9</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ATS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3,887</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2,979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30.5</w:t>
            </w:r>
          </w:p>
        </w:tc>
        <w:tc>
          <w:tcPr>
            <w:tcW w:w="1040" w:type="dxa"/>
            <w:vAlign w:val="bottom"/>
          </w:tcPr>
          <w:p>
            <w:pPr>
              <w:jc w:val="right"/>
              <w:spacing w:after="0"/>
              <w:rPr>
                <w:sz w:val="20"/>
                <w:szCs w:val="20"/>
                <w:color w:val="auto"/>
              </w:rPr>
            </w:pPr>
            <w:r>
              <w:rPr>
                <w:rFonts w:ascii="Arial" w:cs="Arial" w:eastAsia="Arial" w:hAnsi="Arial"/>
                <w:sz w:val="14"/>
                <w:szCs w:val="14"/>
                <w:color w:val="auto"/>
              </w:rPr>
              <w:t>38,319</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7,008</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446.8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CTS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3,217</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3,372</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(4.6)</w:t>
            </w:r>
          </w:p>
        </w:tc>
        <w:tc>
          <w:tcPr>
            <w:tcW w:w="1040" w:type="dxa"/>
            <w:vAlign w:val="bottom"/>
          </w:tcPr>
          <w:p>
            <w:pPr>
              <w:jc w:val="right"/>
              <w:spacing w:after="0"/>
              <w:rPr>
                <w:sz w:val="20"/>
                <w:szCs w:val="20"/>
                <w:color w:val="auto"/>
              </w:rPr>
            </w:pPr>
            <w:r>
              <w:rPr>
                <w:rFonts w:ascii="Arial" w:cs="Arial" w:eastAsia="Arial" w:hAnsi="Arial"/>
                <w:sz w:val="14"/>
                <w:szCs w:val="14"/>
                <w:color w:val="auto"/>
              </w:rPr>
              <w:t>32,343</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46,979</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(31.2)</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ELR</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6</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1,470</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1,371</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7.2</w:t>
            </w:r>
          </w:p>
        </w:tc>
        <w:tc>
          <w:tcPr>
            <w:tcW w:w="1040" w:type="dxa"/>
            <w:vAlign w:val="bottom"/>
          </w:tcPr>
          <w:p>
            <w:pPr>
              <w:jc w:val="right"/>
              <w:spacing w:after="0"/>
              <w:rPr>
                <w:sz w:val="20"/>
                <w:szCs w:val="20"/>
                <w:color w:val="auto"/>
              </w:rPr>
            </w:pPr>
            <w:r>
              <w:rPr>
                <w:rFonts w:ascii="Arial" w:cs="Arial" w:eastAsia="Arial" w:hAnsi="Arial"/>
                <w:sz w:val="14"/>
                <w:szCs w:val="14"/>
                <w:color w:val="auto"/>
              </w:rPr>
              <w:t>12,592</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12,615</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(0.2)</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 ESV</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775</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927</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(16.4)</w:t>
            </w:r>
          </w:p>
        </w:tc>
        <w:tc>
          <w:tcPr>
            <w:tcW w:w="1040" w:type="dxa"/>
            <w:vAlign w:val="bottom"/>
          </w:tcPr>
          <w:p>
            <w:pPr>
              <w:jc w:val="right"/>
              <w:spacing w:after="0"/>
              <w:rPr>
                <w:sz w:val="20"/>
                <w:szCs w:val="20"/>
                <w:color w:val="auto"/>
              </w:rPr>
            </w:pPr>
            <w:r>
              <w:rPr>
                <w:rFonts w:ascii="Arial" w:cs="Arial" w:eastAsia="Arial" w:hAnsi="Arial"/>
                <w:sz w:val="14"/>
                <w:szCs w:val="14"/>
                <w:color w:val="auto"/>
              </w:rPr>
              <w:t>7,950</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8,083</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Escalade EXT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66</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256</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(74.2)</w:t>
            </w:r>
          </w:p>
        </w:tc>
        <w:tc>
          <w:tcPr>
            <w:tcW w:w="1040" w:type="dxa"/>
            <w:vAlign w:val="bottom"/>
          </w:tcPr>
          <w:p>
            <w:pPr>
              <w:jc w:val="right"/>
              <w:spacing w:after="0"/>
              <w:rPr>
                <w:sz w:val="20"/>
                <w:szCs w:val="20"/>
                <w:color w:val="auto"/>
              </w:rPr>
            </w:pPr>
            <w:r>
              <w:rPr>
                <w:rFonts w:ascii="Arial" w:cs="Arial" w:eastAsia="Arial" w:hAnsi="Arial"/>
                <w:sz w:val="14"/>
                <w:szCs w:val="14"/>
                <w:color w:val="auto"/>
              </w:rPr>
              <w:t>1,972</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1,934</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SRX</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6,074</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6,400</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(5.1)</w:t>
            </w:r>
          </w:p>
        </w:tc>
        <w:tc>
          <w:tcPr>
            <w:tcW w:w="1040" w:type="dxa"/>
            <w:vAlign w:val="bottom"/>
          </w:tcPr>
          <w:p>
            <w:pPr>
              <w:jc w:val="right"/>
              <w:spacing w:after="0"/>
              <w:rPr>
                <w:sz w:val="20"/>
                <w:szCs w:val="20"/>
                <w:color w:val="auto"/>
              </w:rPr>
            </w:pPr>
            <w:r>
              <w:rPr>
                <w:rFonts w:ascii="Arial" w:cs="Arial" w:eastAsia="Arial" w:hAnsi="Arial"/>
                <w:sz w:val="14"/>
                <w:szCs w:val="14"/>
                <w:color w:val="auto"/>
              </w:rPr>
              <w:t>56,776</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57,485</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(1.2)</w:t>
            </w:r>
          </w:p>
        </w:tc>
      </w:tr>
      <w:tr>
        <w:trPr>
          <w:trHeight w:val="276"/>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XTS</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2,670</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2,939</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(9.2)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32,559</w:t>
            </w: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15,049</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116.4</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Cadillac Total*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18,165</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18,248</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(0.5)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182,543</w:t>
            </w: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149,782</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21.9</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Avalanche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127</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2,737</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(95.4)</w:t>
            </w:r>
          </w:p>
        </w:tc>
        <w:tc>
          <w:tcPr>
            <w:tcW w:w="1040" w:type="dxa"/>
            <w:vAlign w:val="bottom"/>
          </w:tcPr>
          <w:p>
            <w:pPr>
              <w:jc w:val="right"/>
              <w:spacing w:after="0"/>
              <w:rPr>
                <w:sz w:val="20"/>
                <w:szCs w:val="20"/>
                <w:color w:val="auto"/>
              </w:rPr>
            </w:pPr>
            <w:r>
              <w:rPr>
                <w:rFonts w:ascii="Arial" w:cs="Arial" w:eastAsia="Arial" w:hAnsi="Arial"/>
                <w:sz w:val="14"/>
                <w:szCs w:val="14"/>
                <w:color w:val="auto"/>
              </w:rPr>
              <w:t>16,526</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23,995</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(31.1)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Camaro</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5,015</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5,837</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(14.1)</w:t>
            </w:r>
          </w:p>
        </w:tc>
        <w:tc>
          <w:tcPr>
            <w:tcW w:w="1040" w:type="dxa"/>
            <w:vAlign w:val="bottom"/>
          </w:tcPr>
          <w:p>
            <w:pPr>
              <w:jc w:val="right"/>
              <w:spacing w:after="0"/>
              <w:rPr>
                <w:sz w:val="20"/>
                <w:szCs w:val="20"/>
                <w:color w:val="auto"/>
              </w:rPr>
            </w:pPr>
            <w:r>
              <w:rPr>
                <w:rFonts w:ascii="Arial" w:cs="Arial" w:eastAsia="Arial" w:hAnsi="Arial"/>
                <w:sz w:val="14"/>
                <w:szCs w:val="14"/>
                <w:color w:val="auto"/>
              </w:rPr>
              <w:t>80,567</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84,391</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(4.5)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Caprice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412</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245</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68.2</w:t>
            </w:r>
          </w:p>
        </w:tc>
        <w:tc>
          <w:tcPr>
            <w:tcW w:w="1040" w:type="dxa"/>
            <w:vAlign w:val="bottom"/>
          </w:tcPr>
          <w:p>
            <w:pPr>
              <w:jc w:val="right"/>
              <w:spacing w:after="0"/>
              <w:rPr>
                <w:sz w:val="20"/>
                <w:szCs w:val="20"/>
                <w:color w:val="auto"/>
              </w:rPr>
            </w:pPr>
            <w:r>
              <w:rPr>
                <w:rFonts w:ascii="Arial" w:cs="Arial" w:eastAsia="Arial" w:hAnsi="Arial"/>
                <w:sz w:val="14"/>
                <w:szCs w:val="14"/>
                <w:color w:val="auto"/>
              </w:rPr>
              <w:t>3,899</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3,734</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4.4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Captiva Sport</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2,634</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2,707</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(2.7)</w:t>
            </w:r>
          </w:p>
        </w:tc>
        <w:tc>
          <w:tcPr>
            <w:tcW w:w="1040" w:type="dxa"/>
            <w:vAlign w:val="bottom"/>
          </w:tcPr>
          <w:p>
            <w:pPr>
              <w:jc w:val="right"/>
              <w:spacing w:after="0"/>
              <w:rPr>
                <w:sz w:val="20"/>
                <w:szCs w:val="20"/>
                <w:color w:val="auto"/>
              </w:rPr>
            </w:pPr>
            <w:r>
              <w:rPr>
                <w:rFonts w:ascii="Arial" w:cs="Arial" w:eastAsia="Arial" w:hAnsi="Arial"/>
                <w:sz w:val="14"/>
                <w:szCs w:val="14"/>
                <w:color w:val="auto"/>
              </w:rPr>
              <w:t>47,600</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36,935</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28.9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Colorado</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1,293</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(99.8)</w:t>
            </w:r>
          </w:p>
        </w:tc>
        <w:tc>
          <w:tcPr>
            <w:tcW w:w="1040" w:type="dxa"/>
            <w:vAlign w:val="bottom"/>
          </w:tcPr>
          <w:p>
            <w:pPr>
              <w:jc w:val="right"/>
              <w:spacing w:after="0"/>
              <w:rPr>
                <w:sz w:val="20"/>
                <w:szCs w:val="20"/>
                <w:color w:val="auto"/>
              </w:rPr>
            </w:pPr>
            <w:r>
              <w:rPr>
                <w:rFonts w:ascii="Arial" w:cs="Arial" w:eastAsia="Arial" w:hAnsi="Arial"/>
                <w:sz w:val="14"/>
                <w:szCs w:val="14"/>
                <w:color w:val="auto"/>
              </w:rPr>
              <w:t>3,412</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36,840</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(90.7)</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Corvette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3,005</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1,291</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132.8</w:t>
            </w:r>
          </w:p>
        </w:tc>
        <w:tc>
          <w:tcPr>
            <w:tcW w:w="1040" w:type="dxa"/>
            <w:vAlign w:val="bottom"/>
          </w:tcPr>
          <w:p>
            <w:pPr>
              <w:jc w:val="right"/>
              <w:spacing w:after="0"/>
              <w:rPr>
                <w:sz w:val="20"/>
                <w:szCs w:val="20"/>
                <w:color w:val="auto"/>
              </w:rPr>
            </w:pPr>
            <w:r>
              <w:rPr>
                <w:rFonts w:ascii="Arial" w:cs="Arial" w:eastAsia="Arial" w:hAnsi="Arial"/>
                <w:sz w:val="14"/>
                <w:szCs w:val="14"/>
                <w:color w:val="auto"/>
              </w:rPr>
              <w:t>17,291</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14,132</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22.4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Cruze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18,162</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21,230</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(14.5)</w:t>
            </w:r>
          </w:p>
        </w:tc>
        <w:tc>
          <w:tcPr>
            <w:tcW w:w="1040" w:type="dxa"/>
            <w:vAlign w:val="bottom"/>
          </w:tcPr>
          <w:p>
            <w:pPr>
              <w:jc w:val="right"/>
              <w:spacing w:after="0"/>
              <w:rPr>
                <w:sz w:val="20"/>
                <w:szCs w:val="20"/>
                <w:color w:val="auto"/>
              </w:rPr>
            </w:pPr>
            <w:r>
              <w:rPr>
                <w:rFonts w:ascii="Arial" w:cs="Arial" w:eastAsia="Arial" w:hAnsi="Arial"/>
                <w:sz w:val="14"/>
                <w:szCs w:val="14"/>
                <w:color w:val="auto"/>
              </w:rPr>
              <w:t>248,224</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237,758</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4.4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Equinox</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17,212</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19,551</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(12.0)</w:t>
            </w:r>
          </w:p>
        </w:tc>
        <w:tc>
          <w:tcPr>
            <w:tcW w:w="1040" w:type="dxa"/>
            <w:vAlign w:val="bottom"/>
          </w:tcPr>
          <w:p>
            <w:pPr>
              <w:jc w:val="right"/>
              <w:spacing w:after="0"/>
              <w:rPr>
                <w:sz w:val="20"/>
                <w:szCs w:val="20"/>
                <w:color w:val="auto"/>
              </w:rPr>
            </w:pPr>
            <w:r>
              <w:rPr>
                <w:rFonts w:ascii="Arial" w:cs="Arial" w:eastAsia="Arial" w:hAnsi="Arial"/>
                <w:sz w:val="14"/>
                <w:szCs w:val="14"/>
                <w:color w:val="auto"/>
              </w:rPr>
              <w:t>238,192</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218,621</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9.0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Express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7,159</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7,387</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(3.1)</w:t>
            </w:r>
          </w:p>
        </w:tc>
        <w:tc>
          <w:tcPr>
            <w:tcW w:w="1040" w:type="dxa"/>
            <w:vAlign w:val="bottom"/>
          </w:tcPr>
          <w:p>
            <w:pPr>
              <w:jc w:val="right"/>
              <w:spacing w:after="0"/>
              <w:rPr>
                <w:sz w:val="20"/>
                <w:szCs w:val="20"/>
                <w:color w:val="auto"/>
              </w:rPr>
            </w:pPr>
            <w:r>
              <w:rPr>
                <w:rFonts w:ascii="Arial" w:cs="Arial" w:eastAsia="Arial" w:hAnsi="Arial"/>
                <w:sz w:val="14"/>
                <w:szCs w:val="14"/>
                <w:color w:val="auto"/>
              </w:rPr>
              <w:t>79,087</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76,808</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3.0</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Impala</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10,633</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9,641</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10.3</w:t>
            </w:r>
          </w:p>
        </w:tc>
        <w:tc>
          <w:tcPr>
            <w:tcW w:w="1040" w:type="dxa"/>
            <w:vAlign w:val="bottom"/>
          </w:tcPr>
          <w:p>
            <w:pPr>
              <w:jc w:val="right"/>
              <w:spacing w:after="0"/>
              <w:rPr>
                <w:sz w:val="20"/>
                <w:szCs w:val="20"/>
                <w:color w:val="auto"/>
              </w:rPr>
            </w:pPr>
            <w:r>
              <w:rPr>
                <w:rFonts w:ascii="Arial" w:cs="Arial" w:eastAsia="Arial" w:hAnsi="Arial"/>
                <w:sz w:val="14"/>
                <w:szCs w:val="14"/>
                <w:color w:val="auto"/>
              </w:rPr>
              <w:t>156,797</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169,351</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(7.4)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Malibu</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15,493</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11,630</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33.2</w:t>
            </w:r>
          </w:p>
        </w:tc>
        <w:tc>
          <w:tcPr>
            <w:tcW w:w="1040" w:type="dxa"/>
            <w:vAlign w:val="bottom"/>
          </w:tcPr>
          <w:p>
            <w:pPr>
              <w:jc w:val="right"/>
              <w:spacing w:after="0"/>
              <w:rPr>
                <w:sz w:val="20"/>
                <w:szCs w:val="20"/>
                <w:color w:val="auto"/>
              </w:rPr>
            </w:pPr>
            <w:r>
              <w:rPr>
                <w:rFonts w:ascii="Arial" w:cs="Arial" w:eastAsia="Arial" w:hAnsi="Arial"/>
                <w:sz w:val="14"/>
                <w:szCs w:val="14"/>
                <w:color w:val="auto"/>
              </w:rPr>
              <w:t>200,594</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210,951</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(4.9)</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Silverado-C/K Pickup</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42,593</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50,699</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(16.0)</w:t>
            </w:r>
          </w:p>
        </w:tc>
        <w:tc>
          <w:tcPr>
            <w:tcW w:w="1040" w:type="dxa"/>
            <w:vAlign w:val="bottom"/>
          </w:tcPr>
          <w:p>
            <w:pPr>
              <w:jc w:val="right"/>
              <w:spacing w:after="0"/>
              <w:rPr>
                <w:sz w:val="20"/>
                <w:szCs w:val="20"/>
                <w:color w:val="auto"/>
              </w:rPr>
            </w:pPr>
            <w:r>
              <w:rPr>
                <w:rFonts w:ascii="Arial" w:cs="Arial" w:eastAsia="Arial" w:hAnsi="Arial"/>
                <w:sz w:val="14"/>
                <w:szCs w:val="14"/>
                <w:color w:val="auto"/>
              </w:rPr>
              <w:t>480,414</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418,312</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14.8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Sonic</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4,435</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5,990</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(26.0)</w:t>
            </w:r>
          </w:p>
        </w:tc>
        <w:tc>
          <w:tcPr>
            <w:tcW w:w="1040" w:type="dxa"/>
            <w:vAlign w:val="bottom"/>
          </w:tcPr>
          <w:p>
            <w:pPr>
              <w:jc w:val="right"/>
              <w:spacing w:after="0"/>
              <w:rPr>
                <w:sz w:val="20"/>
                <w:szCs w:val="20"/>
                <w:color w:val="auto"/>
              </w:rPr>
            </w:pPr>
            <w:r>
              <w:rPr>
                <w:rFonts w:ascii="Arial" w:cs="Arial" w:eastAsia="Arial" w:hAnsi="Arial"/>
                <w:sz w:val="14"/>
                <w:szCs w:val="14"/>
                <w:color w:val="auto"/>
              </w:rPr>
              <w:t>85,646</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81,247</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5.4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Spark</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1,712</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2,229</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(23.2)</w:t>
            </w:r>
          </w:p>
        </w:tc>
        <w:tc>
          <w:tcPr>
            <w:tcW w:w="1040" w:type="dxa"/>
            <w:vAlign w:val="bottom"/>
          </w:tcPr>
          <w:p>
            <w:pPr>
              <w:jc w:val="right"/>
              <w:spacing w:after="0"/>
              <w:rPr>
                <w:sz w:val="20"/>
                <w:szCs w:val="20"/>
                <w:color w:val="auto"/>
              </w:rPr>
            </w:pPr>
            <w:r>
              <w:rPr>
                <w:rFonts w:ascii="Arial" w:cs="Arial" w:eastAsia="Arial" w:hAnsi="Arial"/>
                <w:sz w:val="14"/>
                <w:szCs w:val="14"/>
                <w:color w:val="auto"/>
              </w:rPr>
              <w:t>34,130</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12,385</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175.6</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Suburban (Chevy)</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5,820</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5,956</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(2.3)</w:t>
            </w:r>
          </w:p>
        </w:tc>
        <w:tc>
          <w:tcPr>
            <w:tcW w:w="1040" w:type="dxa"/>
            <w:vAlign w:val="bottom"/>
          </w:tcPr>
          <w:p>
            <w:pPr>
              <w:jc w:val="right"/>
              <w:spacing w:after="0"/>
              <w:rPr>
                <w:sz w:val="20"/>
                <w:szCs w:val="20"/>
                <w:color w:val="auto"/>
              </w:rPr>
            </w:pPr>
            <w:r>
              <w:rPr>
                <w:rFonts w:ascii="Arial" w:cs="Arial" w:eastAsia="Arial" w:hAnsi="Arial"/>
                <w:sz w:val="14"/>
                <w:szCs w:val="14"/>
                <w:color w:val="auto"/>
              </w:rPr>
              <w:t>51,260</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48,116</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6.5</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SS</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239</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418</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Tahoe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8,646</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8,602</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0.5</w:t>
            </w:r>
          </w:p>
        </w:tc>
        <w:tc>
          <w:tcPr>
            <w:tcW w:w="1040" w:type="dxa"/>
            <w:vAlign w:val="bottom"/>
          </w:tcPr>
          <w:p>
            <w:pPr>
              <w:jc w:val="right"/>
              <w:spacing w:after="0"/>
              <w:rPr>
                <w:sz w:val="20"/>
                <w:szCs w:val="20"/>
                <w:color w:val="auto"/>
              </w:rPr>
            </w:pPr>
            <w:r>
              <w:rPr>
                <w:rFonts w:ascii="Arial" w:cs="Arial" w:eastAsia="Arial" w:hAnsi="Arial"/>
                <w:sz w:val="14"/>
                <w:szCs w:val="14"/>
                <w:color w:val="auto"/>
              </w:rPr>
              <w:t>83,502</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68,904</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21.2</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Traverse</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7,802</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7,430</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5.0</w:t>
            </w:r>
          </w:p>
        </w:tc>
        <w:tc>
          <w:tcPr>
            <w:tcW w:w="1040" w:type="dxa"/>
            <w:vAlign w:val="bottom"/>
          </w:tcPr>
          <w:p>
            <w:pPr>
              <w:jc w:val="right"/>
              <w:spacing w:after="0"/>
              <w:rPr>
                <w:sz w:val="20"/>
                <w:szCs w:val="20"/>
                <w:color w:val="auto"/>
              </w:rPr>
            </w:pPr>
            <w:r>
              <w:rPr>
                <w:rFonts w:ascii="Arial" w:cs="Arial" w:eastAsia="Arial" w:hAnsi="Arial"/>
                <w:sz w:val="14"/>
                <w:szCs w:val="14"/>
                <w:color w:val="auto"/>
              </w:rPr>
              <w:t>96,467</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85,606</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12.7</w:t>
            </w:r>
          </w:p>
        </w:tc>
      </w:tr>
      <w:tr>
        <w:trPr>
          <w:trHeight w:val="276"/>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Volt</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2,392</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2,633</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color w:val="auto"/>
              </w:rPr>
              <w:t>(9.2)</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23,094</w:t>
            </w: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23,461</w:t>
            </w:r>
          </w:p>
        </w:tc>
        <w:tc>
          <w:tcPr>
            <w:tcW w:w="920" w:type="dxa"/>
            <w:vAlign w:val="bottom"/>
            <w:tcBorders>
              <w:bottom w:val="single" w:sz="8" w:color="auto"/>
              <w:right w:val="single" w:sz="8" w:color="auto"/>
            </w:tcBorders>
          </w:tcPr>
          <w:p>
            <w:pPr>
              <w:jc w:val="right"/>
              <w:ind w:right="88"/>
              <w:spacing w:after="0"/>
              <w:rPr>
                <w:sz w:val="20"/>
                <w:szCs w:val="20"/>
                <w:color w:val="auto"/>
              </w:rPr>
            </w:pPr>
            <w:r>
              <w:rPr>
                <w:rFonts w:ascii="Arial" w:cs="Arial" w:eastAsia="Arial" w:hAnsi="Arial"/>
                <w:sz w:val="14"/>
                <w:szCs w:val="14"/>
                <w:color w:val="auto"/>
              </w:rPr>
              <w:t>(1.6)</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Chevrolet Total*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153,493</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167,091</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(8.1)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1,947,125</w:t>
            </w: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1,851,646</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5.2</w:t>
            </w:r>
          </w:p>
        </w:tc>
      </w:tr>
      <w:tr>
        <w:trPr>
          <w:trHeight w:val="258"/>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Acadia</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7,923</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5,179</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53.0</w:t>
            </w:r>
          </w:p>
        </w:tc>
        <w:tc>
          <w:tcPr>
            <w:tcW w:w="1040" w:type="dxa"/>
            <w:vAlign w:val="bottom"/>
          </w:tcPr>
          <w:p>
            <w:pPr>
              <w:jc w:val="right"/>
              <w:spacing w:after="0"/>
              <w:rPr>
                <w:sz w:val="20"/>
                <w:szCs w:val="20"/>
                <w:color w:val="auto"/>
              </w:rPr>
            </w:pPr>
            <w:r>
              <w:rPr>
                <w:rFonts w:ascii="Arial" w:cs="Arial" w:eastAsia="Arial" w:hAnsi="Arial"/>
                <w:sz w:val="14"/>
                <w:szCs w:val="14"/>
                <w:color w:val="auto"/>
              </w:rPr>
              <w:t>89,793</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78,280</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14.7</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Canyon</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315</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(99.4)</w:t>
            </w:r>
          </w:p>
        </w:tc>
        <w:tc>
          <w:tcPr>
            <w:tcW w:w="1040" w:type="dxa"/>
            <w:vAlign w:val="bottom"/>
          </w:tcPr>
          <w:p>
            <w:pPr>
              <w:jc w:val="right"/>
              <w:spacing w:after="0"/>
              <w:rPr>
                <w:sz w:val="20"/>
                <w:szCs w:val="20"/>
                <w:color w:val="auto"/>
              </w:rPr>
            </w:pPr>
            <w:r>
              <w:rPr>
                <w:rFonts w:ascii="Arial" w:cs="Arial" w:eastAsia="Arial" w:hAnsi="Arial"/>
                <w:sz w:val="14"/>
                <w:szCs w:val="14"/>
                <w:color w:val="auto"/>
              </w:rPr>
              <w:t>929</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8,735</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(89.4)</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Savana</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2,588</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1,330</w:t>
            </w:r>
          </w:p>
        </w:tc>
        <w:tc>
          <w:tcPr>
            <w:tcW w:w="1080" w:type="dxa"/>
            <w:vAlign w:val="bottom"/>
            <w:tcBorders>
              <w:right w:val="single" w:sz="8" w:color="auto"/>
            </w:tcBorders>
          </w:tcPr>
          <w:p>
            <w:pPr>
              <w:jc w:val="right"/>
              <w:ind w:right="168"/>
              <w:spacing w:after="0"/>
              <w:rPr>
                <w:sz w:val="20"/>
                <w:szCs w:val="20"/>
                <w:color w:val="auto"/>
              </w:rPr>
            </w:pPr>
            <w:r>
              <w:rPr>
                <w:rFonts w:ascii="Arial" w:cs="Arial" w:eastAsia="Arial" w:hAnsi="Arial"/>
                <w:sz w:val="14"/>
                <w:szCs w:val="14"/>
                <w:color w:val="auto"/>
              </w:rPr>
              <w:t>94.6</w:t>
            </w:r>
          </w:p>
        </w:tc>
        <w:tc>
          <w:tcPr>
            <w:tcW w:w="1040" w:type="dxa"/>
            <w:vAlign w:val="bottom"/>
          </w:tcPr>
          <w:p>
            <w:pPr>
              <w:jc w:val="right"/>
              <w:spacing w:after="0"/>
              <w:rPr>
                <w:sz w:val="20"/>
                <w:szCs w:val="20"/>
                <w:color w:val="auto"/>
              </w:rPr>
            </w:pPr>
            <w:r>
              <w:rPr>
                <w:rFonts w:ascii="Arial" w:cs="Arial" w:eastAsia="Arial" w:hAnsi="Arial"/>
                <w:sz w:val="14"/>
                <w:szCs w:val="14"/>
                <w:color w:val="auto"/>
              </w:rPr>
              <w:t>16,705</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20,650</w:t>
            </w:r>
          </w:p>
        </w:tc>
        <w:tc>
          <w:tcPr>
            <w:tcW w:w="920" w:type="dxa"/>
            <w:vAlign w:val="bottom"/>
            <w:tcBorders>
              <w:right w:val="single" w:sz="8" w:color="auto"/>
            </w:tcBorders>
          </w:tcPr>
          <w:p>
            <w:pPr>
              <w:jc w:val="right"/>
              <w:ind w:right="88"/>
              <w:spacing w:after="0"/>
              <w:rPr>
                <w:sz w:val="20"/>
                <w:szCs w:val="20"/>
                <w:color w:val="auto"/>
              </w:rPr>
            </w:pPr>
            <w:r>
              <w:rPr>
                <w:rFonts w:ascii="Arial" w:cs="Arial" w:eastAsia="Arial" w:hAnsi="Arial"/>
                <w:sz w:val="14"/>
                <w:szCs w:val="14"/>
                <w:color w:val="auto"/>
              </w:rPr>
              <w:t>(19.1)</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Sierra</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17,854</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18,710</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(4.6)</w:t>
            </w:r>
          </w:p>
        </w:tc>
        <w:tc>
          <w:tcPr>
            <w:tcW w:w="1040" w:type="dxa"/>
            <w:vAlign w:val="bottom"/>
          </w:tcPr>
          <w:p>
            <w:pPr>
              <w:jc w:val="right"/>
              <w:spacing w:after="0"/>
              <w:rPr>
                <w:sz w:val="20"/>
                <w:szCs w:val="20"/>
                <w:color w:val="auto"/>
              </w:rPr>
            </w:pPr>
            <w:r>
              <w:rPr>
                <w:rFonts w:ascii="Arial" w:cs="Arial" w:eastAsia="Arial" w:hAnsi="Arial"/>
                <w:sz w:val="14"/>
                <w:szCs w:val="14"/>
                <w:color w:val="auto"/>
              </w:rPr>
              <w:t>184,389</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157,185</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17.3</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Terrain</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7,998</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11,516</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(30.5)</w:t>
            </w:r>
          </w:p>
        </w:tc>
        <w:tc>
          <w:tcPr>
            <w:tcW w:w="1040" w:type="dxa"/>
            <w:vAlign w:val="bottom"/>
          </w:tcPr>
          <w:p>
            <w:pPr>
              <w:jc w:val="right"/>
              <w:spacing w:after="0"/>
              <w:rPr>
                <w:sz w:val="20"/>
                <w:szCs w:val="20"/>
                <w:color w:val="auto"/>
              </w:rPr>
            </w:pPr>
            <w:r>
              <w:rPr>
                <w:rFonts w:ascii="Arial" w:cs="Arial" w:eastAsia="Arial" w:hAnsi="Arial"/>
                <w:sz w:val="14"/>
                <w:szCs w:val="14"/>
                <w:color w:val="auto"/>
              </w:rPr>
              <w:t>99,525</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97,786</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1.8</w:t>
            </w:r>
          </w:p>
        </w:tc>
      </w:tr>
      <w:tr>
        <w:trPr>
          <w:trHeight w:val="270"/>
        </w:trPr>
        <w:tc>
          <w:tcPr>
            <w:tcW w:w="24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Yukon</w:t>
            </w:r>
          </w:p>
        </w:tc>
        <w:tc>
          <w:tcPr>
            <w:tcW w:w="1220" w:type="dxa"/>
            <w:vAlign w:val="bottom"/>
          </w:tcPr>
          <w:p>
            <w:pPr>
              <w:jc w:val="right"/>
              <w:ind w:right="128"/>
              <w:spacing w:after="0"/>
              <w:rPr>
                <w:sz w:val="20"/>
                <w:szCs w:val="20"/>
                <w:color w:val="auto"/>
              </w:rPr>
            </w:pPr>
            <w:r>
              <w:rPr>
                <w:rFonts w:ascii="Arial" w:cs="Arial" w:eastAsia="Arial" w:hAnsi="Arial"/>
                <w:sz w:val="14"/>
                <w:szCs w:val="14"/>
                <w:color w:val="auto"/>
              </w:rPr>
              <w:t>3,597</w:t>
            </w:r>
          </w:p>
        </w:tc>
        <w:tc>
          <w:tcPr>
            <w:tcW w:w="1220" w:type="dxa"/>
            <w:vAlign w:val="bottom"/>
          </w:tcPr>
          <w:p>
            <w:pPr>
              <w:jc w:val="right"/>
              <w:ind w:right="208"/>
              <w:spacing w:after="0"/>
              <w:rPr>
                <w:sz w:val="20"/>
                <w:szCs w:val="20"/>
                <w:color w:val="auto"/>
              </w:rPr>
            </w:pPr>
            <w:r>
              <w:rPr>
                <w:rFonts w:ascii="Arial" w:cs="Arial" w:eastAsia="Arial" w:hAnsi="Arial"/>
                <w:sz w:val="14"/>
                <w:szCs w:val="14"/>
                <w:color w:val="auto"/>
              </w:rPr>
              <w:t>3,942</w:t>
            </w:r>
          </w:p>
        </w:tc>
        <w:tc>
          <w:tcPr>
            <w:tcW w:w="1080" w:type="dxa"/>
            <w:vAlign w:val="bottom"/>
            <w:tcBorders>
              <w:right w:val="single" w:sz="8" w:color="auto"/>
            </w:tcBorders>
          </w:tcPr>
          <w:p>
            <w:pPr>
              <w:jc w:val="right"/>
              <w:ind w:right="108"/>
              <w:spacing w:after="0"/>
              <w:rPr>
                <w:sz w:val="20"/>
                <w:szCs w:val="20"/>
                <w:color w:val="auto"/>
              </w:rPr>
            </w:pPr>
            <w:r>
              <w:rPr>
                <w:rFonts w:ascii="Arial" w:cs="Arial" w:eastAsia="Arial" w:hAnsi="Arial"/>
                <w:sz w:val="14"/>
                <w:szCs w:val="14"/>
                <w:color w:val="auto"/>
              </w:rPr>
              <w:t>(8.8)</w:t>
            </w:r>
          </w:p>
        </w:tc>
        <w:tc>
          <w:tcPr>
            <w:tcW w:w="1040" w:type="dxa"/>
            <w:vAlign w:val="bottom"/>
          </w:tcPr>
          <w:p>
            <w:pPr>
              <w:jc w:val="right"/>
              <w:spacing w:after="0"/>
              <w:rPr>
                <w:sz w:val="20"/>
                <w:szCs w:val="20"/>
                <w:color w:val="auto"/>
              </w:rPr>
            </w:pPr>
            <w:r>
              <w:rPr>
                <w:rFonts w:ascii="Arial" w:cs="Arial" w:eastAsia="Arial" w:hAnsi="Arial"/>
                <w:sz w:val="14"/>
                <w:szCs w:val="14"/>
                <w:color w:val="auto"/>
              </w:rPr>
              <w:t>28,302</w:t>
            </w:r>
          </w:p>
        </w:tc>
        <w:tc>
          <w:tcPr>
            <w:tcW w:w="1480" w:type="dxa"/>
            <w:vAlign w:val="bottom"/>
          </w:tcPr>
          <w:p>
            <w:pPr>
              <w:jc w:val="right"/>
              <w:ind w:right="328"/>
              <w:spacing w:after="0"/>
              <w:rPr>
                <w:sz w:val="20"/>
                <w:szCs w:val="20"/>
                <w:color w:val="auto"/>
              </w:rPr>
            </w:pPr>
            <w:r>
              <w:rPr>
                <w:rFonts w:ascii="Arial" w:cs="Arial" w:eastAsia="Arial" w:hAnsi="Arial"/>
                <w:sz w:val="14"/>
                <w:szCs w:val="14"/>
                <w:color w:val="auto"/>
              </w:rPr>
              <w:t>27,818</w:t>
            </w:r>
          </w:p>
        </w:tc>
        <w:tc>
          <w:tcPr>
            <w:tcW w:w="920" w:type="dxa"/>
            <w:vAlign w:val="bottom"/>
            <w:tcBorders>
              <w:right w:val="single" w:sz="8" w:color="auto"/>
            </w:tcBorders>
          </w:tcPr>
          <w:p>
            <w:pPr>
              <w:jc w:val="right"/>
              <w:ind w:right="148"/>
              <w:spacing w:after="0"/>
              <w:rPr>
                <w:sz w:val="20"/>
                <w:szCs w:val="20"/>
                <w:color w:val="auto"/>
              </w:rPr>
            </w:pPr>
            <w:r>
              <w:rPr>
                <w:rFonts w:ascii="Arial" w:cs="Arial" w:eastAsia="Arial" w:hAnsi="Arial"/>
                <w:sz w:val="14"/>
                <w:szCs w:val="14"/>
                <w:color w:val="auto"/>
              </w:rPr>
              <w:t>1.7</w:t>
            </w:r>
          </w:p>
        </w:tc>
      </w:tr>
      <w:tr>
        <w:trPr>
          <w:trHeight w:val="276"/>
        </w:trPr>
        <w:tc>
          <w:tcPr>
            <w:tcW w:w="24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Yukon XL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3,158</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2,929</w:t>
            </w:r>
          </w:p>
        </w:tc>
        <w:tc>
          <w:tcPr>
            <w:tcW w:w="1080" w:type="dxa"/>
            <w:vAlign w:val="bottom"/>
            <w:tcBorders>
              <w:bottom w:val="single" w:sz="8" w:color="auto"/>
              <w:right w:val="single" w:sz="8" w:color="auto"/>
            </w:tcBorders>
          </w:tcPr>
          <w:p>
            <w:pPr>
              <w:jc w:val="right"/>
              <w:ind w:right="168"/>
              <w:spacing w:after="0"/>
              <w:rPr>
                <w:sz w:val="20"/>
                <w:szCs w:val="20"/>
                <w:color w:val="auto"/>
              </w:rPr>
            </w:pPr>
            <w:r>
              <w:rPr>
                <w:rFonts w:ascii="Arial" w:cs="Arial" w:eastAsia="Arial" w:hAnsi="Arial"/>
                <w:sz w:val="14"/>
                <w:szCs w:val="14"/>
                <w:color w:val="auto"/>
              </w:rPr>
              <w:t>7.8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31,258</w:t>
            </w: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23,427</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color w:val="auto"/>
              </w:rPr>
              <w:t>33.4</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GMC Total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43,120</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43,921</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(1.8)</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450,901</w:t>
            </w: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413,881</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8.9</w:t>
            </w:r>
          </w:p>
        </w:tc>
      </w:tr>
      <w:tr>
        <w:trPr>
          <w:trHeight w:val="277"/>
        </w:trPr>
        <w:tc>
          <w:tcPr>
            <w:tcW w:w="24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GM Vehicle Total*</w:t>
            </w:r>
          </w:p>
        </w:tc>
        <w:tc>
          <w:tcPr>
            <w:tcW w:w="12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230,157</w:t>
            </w:r>
          </w:p>
        </w:tc>
        <w:tc>
          <w:tcPr>
            <w:tcW w:w="12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245,733</w:t>
            </w:r>
          </w:p>
        </w:tc>
        <w:tc>
          <w:tcPr>
            <w:tcW w:w="1080" w:type="dxa"/>
            <w:vAlign w:val="bottom"/>
            <w:tcBorders>
              <w:bottom w:val="single" w:sz="8" w:color="auto"/>
              <w:right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(6.3)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2,786,078</w:t>
            </w: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2,595,717</w:t>
            </w:r>
          </w:p>
        </w:tc>
        <w:tc>
          <w:tcPr>
            <w:tcW w:w="920" w:type="dxa"/>
            <w:vAlign w:val="bottom"/>
            <w:tcBorders>
              <w:bottom w:val="single" w:sz="8" w:color="auto"/>
              <w:right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7.3</w:t>
            </w:r>
          </w:p>
        </w:tc>
      </w:tr>
    </w:tbl>
    <w:p>
      <w:pPr>
        <w:spacing w:after="0" w:line="76" w:lineRule="exact"/>
        <w:rPr>
          <w:sz w:val="20"/>
          <w:szCs w:val="20"/>
          <w:color w:val="auto"/>
        </w:rPr>
      </w:pPr>
    </w:p>
    <w:p>
      <w:pPr>
        <w:ind w:left="20"/>
        <w:spacing w:after="0"/>
        <w:rPr>
          <w:sz w:val="20"/>
          <w:szCs w:val="20"/>
          <w:color w:val="auto"/>
        </w:rPr>
      </w:pPr>
      <w:r>
        <w:rPr>
          <w:rFonts w:ascii="Arial" w:cs="Arial" w:eastAsia="Arial" w:hAnsi="Arial"/>
          <w:sz w:val="14"/>
          <w:szCs w:val="14"/>
          <w:color w:val="auto"/>
        </w:rPr>
        <w:t>25 selling days for the December period this year and 26 for last year.</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4"/>
          <w:szCs w:val="14"/>
          <w:color w:val="auto"/>
        </w:rPr>
        <w:t>*Totals include discontinued models: Buick Lucerne, Cadillac DTS and STS, Chevrolet Aveo, Cobalt and HHR.</w:t>
      </w:r>
    </w:p>
    <w:sectPr>
      <w:pgSz w:w="11900" w:h="16838" w:orient="portrait"/>
      <w:cols w:equalWidth="0" w:num="1">
        <w:col w:w="9440"/>
      </w:cols>
      <w:pgMar w:left="1240" w:top="714"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2019-12-07T21:02:29Z</dcterms:created>
  <dcterms:modified xsi:type="dcterms:W3CDTF">2019-12-07T21:02:29Z</dcterms:modified>
</cp:coreProperties>
</file>