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64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6426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Ammann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44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800" w:type="dxa"/>
            <w:vAlign w:val="bottom"/>
            <w:gridSpan w:val="10"/>
          </w:tcPr>
          <w:p>
            <w:pPr>
              <w:ind w:left="34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3"/>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3"/>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0000FF"/>
                <w:w w:val="88"/>
              </w:rPr>
              <w:t>2,040</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35"/>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77,356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111"/>
              <w:spacing w:after="0"/>
              <w:rPr>
                <w:sz w:val="20"/>
                <w:szCs w:val="20"/>
                <w:color w:val="auto"/>
              </w:rPr>
            </w:pPr>
            <w:r>
              <w:rPr>
                <w:rFonts w:ascii="Arial" w:cs="Arial" w:eastAsia="Arial" w:hAnsi="Arial"/>
                <w:sz w:val="18"/>
                <w:szCs w:val="18"/>
                <w:color w:val="0000FF"/>
                <w:w w:val="86"/>
              </w:rPr>
              <w:t>912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20.21</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76,444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00"/>
              <w:spacing w:after="0"/>
              <w:rPr>
                <w:sz w:val="20"/>
                <w:szCs w:val="20"/>
                <w:color w:val="auto"/>
              </w:rPr>
            </w:pPr>
            <w:r>
              <w:rPr>
                <w:rFonts w:ascii="Arial" w:cs="Arial" w:eastAsia="Arial" w:hAnsi="Arial"/>
                <w:sz w:val="18"/>
                <w:szCs w:val="18"/>
                <w:color w:val="0000FF"/>
              </w:rPr>
              <w:t>12/31/2011</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36"/>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center"/>
              <w:ind w:left="131"/>
              <w:spacing w:after="0"/>
              <w:rPr>
                <w:sz w:val="20"/>
                <w:szCs w:val="20"/>
                <w:color w:val="auto"/>
              </w:rPr>
            </w:pPr>
            <w:r>
              <w:rPr>
                <w:rFonts w:ascii="Arial" w:cs="Arial" w:eastAsia="Arial" w:hAnsi="Arial"/>
                <w:sz w:val="18"/>
                <w:szCs w:val="18"/>
                <w:color w:val="0000FF"/>
                <w:w w:val="87"/>
              </w:rPr>
              <w:t>25,359</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540" w:type="dxa"/>
            <w:vAlign w:val="bottom"/>
            <w:tcBorders>
              <w:bottom w:val="single" w:sz="8" w:color="2C2C2C"/>
            </w:tcBorders>
          </w:tcPr>
          <w:p>
            <w:pPr>
              <w:jc w:val="center"/>
              <w:ind w:left="135"/>
              <w:spacing w:after="0" w:line="324" w:lineRule="exact"/>
              <w:rPr>
                <w:sz w:val="20"/>
                <w:szCs w:val="20"/>
                <w:color w:val="auto"/>
              </w:rPr>
            </w:pPr>
            <w:r>
              <w:rPr>
                <w:rFonts w:ascii="Arial" w:cs="Arial" w:eastAsia="Arial" w:hAnsi="Arial"/>
                <w:sz w:val="35"/>
                <w:szCs w:val="35"/>
                <w:color w:val="000000"/>
                <w:w w:val="76"/>
                <w:vertAlign w:val="subscript"/>
              </w:rPr>
              <w:t>$</w:t>
            </w:r>
            <w:r>
              <w:rPr>
                <w:rFonts w:ascii="Arial" w:cs="Arial" w:eastAsia="Arial" w:hAnsi="Arial"/>
                <w:sz w:val="35"/>
                <w:szCs w:val="35"/>
                <w:color w:val="0000FF"/>
                <w:w w:val="76"/>
                <w:vertAlign w:val="subscript"/>
              </w:rPr>
              <w:t>0</w:t>
            </w:r>
            <w:r>
              <w:rPr>
                <w:rFonts w:ascii="Arial" w:cs="Arial" w:eastAsia="Arial" w:hAnsi="Arial"/>
                <w:sz w:val="11"/>
                <w:szCs w:val="11"/>
                <w:color w:val="008000"/>
                <w:w w:val="76"/>
              </w:rPr>
              <w:t>(2)</w:t>
            </w:r>
          </w:p>
        </w:tc>
        <w:tc>
          <w:tcPr>
            <w:tcW w:w="2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101,803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3"/>
          </w:tcPr>
          <w:p>
            <w:pPr>
              <w:jc w:val="center"/>
              <w:ind w:left="769"/>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40" w:type="dxa"/>
            <w:vAlign w:val="bottom"/>
            <w:gridSpan w:val="11"/>
          </w:tcPr>
          <w:p>
            <w:pPr>
              <w:jc w:val="center"/>
              <w:ind w:left="32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2,040</w:t>
            </w:r>
          </w:p>
        </w:tc>
        <w:tc>
          <w:tcPr>
            <w:tcW w:w="220" w:type="dxa"/>
            <w:vAlign w:val="bottom"/>
          </w:tcPr>
          <w:p>
            <w:pPr>
              <w:spacing w:after="0"/>
              <w:rPr>
                <w:sz w:val="16"/>
                <w:szCs w:val="16"/>
                <w:color w:val="auto"/>
              </w:rPr>
            </w:pPr>
          </w:p>
        </w:tc>
        <w:tc>
          <w:tcPr>
            <w:tcW w:w="580" w:type="dxa"/>
            <w:vAlign w:val="bottom"/>
            <w:vMerge w:val="restart"/>
          </w:tcPr>
          <w:p>
            <w:pPr>
              <w:ind w:left="2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12/31/2011</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7"/>
                <w:szCs w:val="7"/>
                <w:color w:val="auto"/>
              </w:rPr>
            </w:pPr>
          </w:p>
        </w:tc>
        <w:tc>
          <w:tcPr>
            <w:tcW w:w="820" w:type="dxa"/>
            <w:vAlign w:val="bottom"/>
            <w:vMerge w:val="restart"/>
          </w:tcPr>
          <w:p>
            <w:pPr>
              <w:ind w:left="400"/>
              <w:spacing w:after="0" w:line="146" w:lineRule="exact"/>
              <w:rPr>
                <w:sz w:val="20"/>
                <w:szCs w:val="20"/>
                <w:color w:val="auto"/>
              </w:rPr>
            </w:pPr>
            <w:r>
              <w:rPr>
                <w:rFonts w:ascii="Arial" w:cs="Arial" w:eastAsia="Arial" w:hAnsi="Arial"/>
                <w:sz w:val="14"/>
                <w:szCs w:val="14"/>
                <w:color w:val="0000FF"/>
              </w:rPr>
              <w:t>2,040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w w:val="96"/>
              </w:rPr>
              <w:t>4,080</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December 31, 2010 pursuant to the Company's Salary Stock Plan (the "GMSSP") and vested upon grant. The portion of this award currently payable was settled on December 31, 2011 in shares of the Company's Common Stock, less a portion withheld for taxes.</w:t>
      </w: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$20.21.</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reported in this item were granted on December 31, 2011 pursuant to the GMSSP and were fully vested upon grant. The SSUs will be delivered in the form of shares of Common Stock in three equal, annual installments beginning on December 31, 2012.</w:t>
      </w:r>
    </w:p>
    <w:p>
      <w:pPr>
        <w:spacing w:after="0" w:line="17"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01/04/2012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Amman</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2019-12-17T01:00:51Z</dcterms:created>
  <dcterms:modified xsi:type="dcterms:W3CDTF">2019-12-17T01:00:51Z</dcterms:modified>
</cp:coreProperties>
</file>