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color w:val="auto"/>
        </w:rPr>
        <w:t>Free Writing Prospectus filed pursuant to Rule 433</w:t>
      </w:r>
    </w:p>
    <w:p>
      <w:pPr>
        <w:spacing w:after="0" w:line="2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Relating to the Preliminary Prospectus Supplement</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dated May 7, 2020 to the Prospectus dated</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February 5, 2020. Registration Statement</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color w:val="auto"/>
        </w:rPr>
        <w:t>No. 333-236276</w:t>
      </w:r>
    </w:p>
    <w:p>
      <w:pPr>
        <w:spacing w:after="0" w:line="2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PRICING TERM SHEET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Dated as of May 7, 2020</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GENERAL MOTORS COMPANY</w:t>
      </w:r>
    </w:p>
    <w:p>
      <w:pPr>
        <w:spacing w:after="0" w:line="225"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5.40% Senior Notes due 2023</w:t>
      </w:r>
    </w:p>
    <w:p>
      <w:pPr>
        <w:spacing w:after="0" w:line="27" w:lineRule="exact"/>
        <w:rPr>
          <w:sz w:val="24"/>
          <w:szCs w:val="24"/>
          <w:color w:val="auto"/>
        </w:rPr>
      </w:pPr>
    </w:p>
    <w:p>
      <w:pPr>
        <w:ind w:left="4340"/>
        <w:spacing w:after="0"/>
        <w:rPr>
          <w:sz w:val="20"/>
          <w:szCs w:val="20"/>
          <w:color w:val="auto"/>
        </w:rPr>
      </w:pPr>
      <w:r>
        <w:rPr>
          <w:rFonts w:ascii="Arial" w:cs="Arial" w:eastAsia="Arial" w:hAnsi="Arial"/>
          <w:sz w:val="18"/>
          <w:szCs w:val="18"/>
          <w:b w:val="1"/>
          <w:bCs w:val="1"/>
          <w:color w:val="auto"/>
        </w:rPr>
        <w:t>6.125% Senior Notes due 2025</w:t>
      </w:r>
    </w:p>
    <w:p>
      <w:pPr>
        <w:spacing w:after="0" w:line="9" w:lineRule="exact"/>
        <w:rPr>
          <w:sz w:val="24"/>
          <w:szCs w:val="24"/>
          <w:color w:val="auto"/>
        </w:rPr>
      </w:pPr>
    </w:p>
    <w:p>
      <w:pPr>
        <w:ind w:left="4380"/>
        <w:spacing w:after="0"/>
        <w:rPr>
          <w:sz w:val="20"/>
          <w:szCs w:val="20"/>
          <w:color w:val="auto"/>
        </w:rPr>
      </w:pPr>
      <w:r>
        <w:rPr>
          <w:rFonts w:ascii="Arial" w:cs="Arial" w:eastAsia="Arial" w:hAnsi="Arial"/>
          <w:sz w:val="18"/>
          <w:szCs w:val="18"/>
          <w:b w:val="1"/>
          <w:bCs w:val="1"/>
          <w:color w:val="auto"/>
        </w:rPr>
        <w:t>6.80% Senior Notes due 2027</w:t>
      </w:r>
    </w:p>
    <w:p>
      <w:pPr>
        <w:spacing w:after="0" w:line="211" w:lineRule="exact"/>
        <w:rPr>
          <w:sz w:val="24"/>
          <w:szCs w:val="24"/>
          <w:color w:val="auto"/>
        </w:rPr>
      </w:pPr>
    </w:p>
    <w:p>
      <w:pPr>
        <w:ind w:right="80"/>
        <w:spacing w:after="0" w:line="255" w:lineRule="auto"/>
        <w:rPr>
          <w:sz w:val="20"/>
          <w:szCs w:val="20"/>
          <w:color w:val="auto"/>
        </w:rPr>
      </w:pPr>
      <w:r>
        <w:rPr>
          <w:rFonts w:ascii="Arial" w:cs="Arial" w:eastAsia="Arial" w:hAnsi="Arial"/>
          <w:sz w:val="18"/>
          <w:szCs w:val="18"/>
          <w:i w:val="1"/>
          <w:iCs w:val="1"/>
          <w:color w:val="auto"/>
        </w:rPr>
        <w:t>The information in this pricing term sheet relates only to the offering of the Securities and should be read together with the preliminary prospectus supplement of General Motors Company dated May 7, 2020 (the “Preliminary Prospectus Supplement”) to its prospectus dated February 5, 2020, and supersedes the information in the Preliminary Prospectus Supplement to the extent inconsistent with the information in the Preliminary Prospectus Supplement. In all other respects, this pricing term sheet is qualified in its entirety by reference to the Preliminary Prospectus Supplement. Terms used herein but not defined herein shall have the respective meanings as set forth in the Preliminary Prospectus Supplement. All references to dollar amounts are references to U.S. dollars.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139700</wp:posOffset>
            </wp:positionV>
            <wp:extent cx="147447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Terms Applicable to the Securities</w:t>
      </w:r>
    </w:p>
    <w:p>
      <w:pPr>
        <w:sectPr>
          <w:pgSz w:w="11900" w:h="16838" w:orient="portrait"/>
          <w:cols w:equalWidth="0" w:num="1">
            <w:col w:w="11020"/>
          </w:cols>
          <w:pgMar w:left="440" w:top="233" w:right="439" w:bottom="1440" w:gutter="0" w:footer="0" w:header="0"/>
        </w:sectPr>
      </w:pPr>
    </w:p>
    <w:p>
      <w:pPr>
        <w:spacing w:after="0" w:line="252"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Issuer:</w:t>
      </w:r>
    </w:p>
    <w:p>
      <w:pPr>
        <w:spacing w:after="0" w:line="20" w:lineRule="exact"/>
        <w:rPr>
          <w:sz w:val="24"/>
          <w:szCs w:val="24"/>
          <w:color w:val="auto"/>
        </w:rPr>
      </w:pPr>
      <w:r>
        <w:rPr>
          <w:sz w:val="24"/>
          <w:szCs w:val="24"/>
          <w:color w:val="auto"/>
        </w:rPr>
        <w:br w:type="column"/>
      </w:r>
    </w:p>
    <w:p>
      <w:pPr>
        <w:spacing w:after="0" w:line="236" w:lineRule="exact"/>
        <w:rPr>
          <w:sz w:val="24"/>
          <w:szCs w:val="24"/>
          <w:color w:val="auto"/>
        </w:rPr>
      </w:pPr>
    </w:p>
    <w:p>
      <w:pPr>
        <w:spacing w:after="0"/>
        <w:rPr>
          <w:sz w:val="20"/>
          <w:szCs w:val="20"/>
          <w:color w:val="auto"/>
        </w:rPr>
      </w:pPr>
      <w:r>
        <w:rPr>
          <w:rFonts w:ascii="Arial" w:cs="Arial" w:eastAsia="Arial" w:hAnsi="Arial"/>
          <w:sz w:val="16"/>
          <w:szCs w:val="16"/>
          <w:color w:val="auto"/>
        </w:rPr>
        <w:t>General Motors Company</w:t>
      </w:r>
    </w:p>
    <w:p>
      <w:pPr>
        <w:spacing w:after="0" w:line="136" w:lineRule="exact"/>
        <w:rPr>
          <w:sz w:val="24"/>
          <w:szCs w:val="24"/>
          <w:color w:val="auto"/>
        </w:rPr>
      </w:pPr>
    </w:p>
    <w:p>
      <w:pPr>
        <w:sectPr>
          <w:pgSz w:w="11900" w:h="16838" w:orient="portrait"/>
          <w:cols w:equalWidth="0" w:num="2">
            <w:col w:w="2160" w:space="720"/>
            <w:col w:w="8140"/>
          </w:cols>
          <w:pgMar w:left="440" w:top="233"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Trade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May 7, 2020</w:t>
      </w:r>
    </w:p>
    <w:p>
      <w:pPr>
        <w:spacing w:after="0" w:line="136" w:lineRule="exact"/>
        <w:rPr>
          <w:sz w:val="24"/>
          <w:szCs w:val="24"/>
          <w:color w:val="auto"/>
        </w:rPr>
      </w:pPr>
    </w:p>
    <w:p>
      <w:pPr>
        <w:sectPr>
          <w:pgSz w:w="11900" w:h="16838" w:orient="portrait"/>
          <w:cols w:equalWidth="0" w:num="2">
            <w:col w:w="2160" w:space="720"/>
            <w:col w:w="8140"/>
          </w:cols>
          <w:pgMar w:left="440" w:top="233"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Settlement Date: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7"/>
          <w:szCs w:val="17"/>
          <w:color w:val="auto"/>
        </w:rPr>
        <w:t>May 12, 2020 (T+3)*</w:t>
      </w:r>
    </w:p>
    <w:p>
      <w:pPr>
        <w:spacing w:after="0" w:line="125" w:lineRule="exact"/>
        <w:rPr>
          <w:sz w:val="24"/>
          <w:szCs w:val="24"/>
          <w:color w:val="auto"/>
        </w:rPr>
      </w:pPr>
    </w:p>
    <w:p>
      <w:pPr>
        <w:sectPr>
          <w:pgSz w:w="11900" w:h="16838" w:orient="portrait"/>
          <w:cols w:equalWidth="0" w:num="2">
            <w:col w:w="2160" w:space="720"/>
            <w:col w:w="8140"/>
          </w:cols>
          <w:pgMar w:left="440" w:top="233"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Joint Book-Running Managers: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Deutsche Bank Securities Inc.</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Barclays Capital Inc.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BofA Securities, Inc.</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Citigroup Global Market Inc.</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auto"/>
        </w:rPr>
        <w:t>Goldman Sachs &amp; Co. LLC</w:t>
      </w:r>
    </w:p>
    <w:p>
      <w:pPr>
        <w:spacing w:after="0" w:line="21" w:lineRule="exact"/>
        <w:rPr>
          <w:sz w:val="24"/>
          <w:szCs w:val="24"/>
          <w:color w:val="auto"/>
        </w:rPr>
      </w:pPr>
    </w:p>
    <w:p>
      <w:pPr>
        <w:spacing w:after="0"/>
        <w:rPr>
          <w:sz w:val="20"/>
          <w:szCs w:val="20"/>
          <w:color w:val="auto"/>
        </w:rPr>
      </w:pPr>
      <w:r>
        <w:rPr>
          <w:rFonts w:ascii="Arial" w:cs="Arial" w:eastAsia="Arial" w:hAnsi="Arial"/>
          <w:sz w:val="17"/>
          <w:szCs w:val="17"/>
          <w:color w:val="auto"/>
        </w:rPr>
        <w:t>J.P. Morgan Securities LLC</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Morgan Stanley &amp; Co. LLC</w:t>
      </w:r>
    </w:p>
    <w:p>
      <w:pPr>
        <w:spacing w:after="0" w:line="112" w:lineRule="exact"/>
        <w:rPr>
          <w:sz w:val="24"/>
          <w:szCs w:val="24"/>
          <w:color w:val="auto"/>
        </w:rPr>
      </w:pPr>
    </w:p>
    <w:p>
      <w:pPr>
        <w:sectPr>
          <w:pgSz w:w="11900" w:h="16838" w:orient="portrait"/>
          <w:cols w:equalWidth="0" w:num="2">
            <w:col w:w="2440" w:space="440"/>
            <w:col w:w="8140"/>
          </w:cols>
          <w:pgMar w:left="440" w:top="233"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Joint Lead Managers: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Banca IMI S.p.A.</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BBVA Securities Inc.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BNP Paribas Securities Corp.</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Commerz Markets LLC</w:t>
      </w:r>
    </w:p>
    <w:p>
      <w:pPr>
        <w:spacing w:after="0" w:line="9" w:lineRule="exact"/>
        <w:rPr>
          <w:sz w:val="24"/>
          <w:szCs w:val="24"/>
          <w:color w:val="auto"/>
        </w:rPr>
      </w:pPr>
    </w:p>
    <w:p>
      <w:pPr>
        <w:spacing w:after="0"/>
        <w:rPr>
          <w:sz w:val="20"/>
          <w:szCs w:val="20"/>
          <w:color w:val="auto"/>
        </w:rPr>
      </w:pPr>
      <w:r>
        <w:rPr>
          <w:rFonts w:ascii="Arial" w:cs="Arial" w:eastAsia="Arial" w:hAnsi="Arial"/>
          <w:sz w:val="17"/>
          <w:szCs w:val="17"/>
          <w:color w:val="auto"/>
        </w:rPr>
        <w:t>Credit Agricole Securities (USA) Inc.</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Mizuho Securities USA LLC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NatWest Markets Securities Inc.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RBC Capital Markets, LLC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Scotia Capital (USA) Inc.</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SMBC Nikko Securities America, Inc.</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SG Americas Securities, LLC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TD Securities (USA) LLC</w:t>
      </w:r>
    </w:p>
    <w:p>
      <w:pPr>
        <w:spacing w:after="0" w:line="112" w:lineRule="exact"/>
        <w:rPr>
          <w:sz w:val="24"/>
          <w:szCs w:val="24"/>
          <w:color w:val="auto"/>
        </w:rPr>
      </w:pPr>
    </w:p>
    <w:p>
      <w:pPr>
        <w:sectPr>
          <w:pgSz w:w="11900" w:h="16838" w:orient="portrait"/>
          <w:cols w:equalWidth="0" w:num="2">
            <w:col w:w="2160" w:space="720"/>
            <w:col w:w="8140"/>
          </w:cols>
          <w:pgMar w:left="440" w:top="233" w:right="4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Co-Managers: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8"/>
          <w:szCs w:val="18"/>
          <w:color w:val="auto"/>
        </w:rPr>
        <w:t>Academy Securities, Inc.</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Banco Bradesco BBI S.A.</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ICBC Standard Bank Plc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Lloyds Securities Inc.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MUFG Securities Americas Inc.</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Santander Investment Securities Inc.</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SunTrust Robinson Humphrey, Inc.</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color w:val="auto"/>
        </w:rPr>
        <w:t>WR Securities, LLC</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Loop Capital Markets LLC</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color w:val="auto"/>
        </w:rPr>
        <w:t>Samuel A. Ramirez &amp; Company, Inc.</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Siebert Williams Shank &amp; Co., LLC</w:t>
      </w:r>
    </w:p>
    <w:p>
      <w:pPr>
        <w:sectPr>
          <w:pgSz w:w="11900" w:h="16838" w:orient="portrait"/>
          <w:cols w:equalWidth="0" w:num="2">
            <w:col w:w="2160" w:space="720"/>
            <w:col w:w="8140"/>
          </w:cols>
          <w:pgMar w:left="440" w:top="233" w:right="439" w:bottom="1440" w:gutter="0" w:footer="0" w:header="0"/>
          <w:type w:val="continuous"/>
        </w:sectPr>
      </w:pPr>
    </w:p>
    <w:bookmarkStart w:id="1" w:name="page2"/>
    <w:bookmarkEnd w:id="1"/>
    <w:p>
      <w:pPr>
        <w:jc w:val="center"/>
        <w:ind w:right="-98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9465" cy="26035"/>
                    </a:xfrm>
                    <a:prstGeom prst="rect">
                      <a:avLst/>
                    </a:prstGeom>
                    <a:noFill/>
                  </pic:spPr>
                </pic:pic>
              </a:graphicData>
            </a:graphic>
          </wp:anchor>
        </w:drawing>
        <w:drawing>
          <wp:anchor simplePos="0" relativeHeight="251657728" behindDoc="1" locked="0" layoutInCell="0" allowOverlap="1">
            <wp:simplePos x="0" y="0"/>
            <wp:positionH relativeFrom="page">
              <wp:posOffset>3037205</wp:posOffset>
            </wp:positionH>
            <wp:positionV relativeFrom="page">
              <wp:posOffset>252095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t>Terms Applicable to the</w:t>
      </w:r>
    </w:p>
    <w:p>
      <w:pPr>
        <w:spacing w:after="0" w:line="27" w:lineRule="exact"/>
        <w:rPr>
          <w:sz w:val="20"/>
          <w:szCs w:val="20"/>
          <w:color w:val="auto"/>
        </w:rPr>
      </w:pPr>
    </w:p>
    <w:p>
      <w:pPr>
        <w:jc w:val="center"/>
        <w:ind w:right="-980"/>
        <w:spacing w:after="0"/>
        <w:rPr>
          <w:sz w:val="20"/>
          <w:szCs w:val="20"/>
          <w:color w:val="auto"/>
        </w:rPr>
      </w:pPr>
      <w:r>
        <w:rPr>
          <w:rFonts w:ascii="Arial" w:cs="Arial" w:eastAsia="Arial" w:hAnsi="Arial"/>
          <w:sz w:val="16"/>
          <w:szCs w:val="16"/>
          <w:b w:val="1"/>
          <w:bCs w:val="1"/>
          <w:color w:val="auto"/>
        </w:rPr>
        <w:t>5.40% Senior Notes due 2023</w:t>
      </w:r>
    </w:p>
    <w:p>
      <w:pPr>
        <w:sectPr>
          <w:pgSz w:w="11900" w:h="16838" w:orient="portrait"/>
          <w:cols w:equalWidth="0" w:num="1">
            <w:col w:w="10019"/>
          </w:cols>
          <w:pgMar w:left="440" w:top="607" w:right="1440" w:bottom="1440" w:gutter="0" w:footer="0" w:header="0"/>
        </w:sect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of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Type: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Amount: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to Public: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Coupon (Interest Rate):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Yield to Maturity: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Spread to 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Benchmark Treasury Price and Yield: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Day Count Convention: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Make-whole Call: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Expected Ratings**: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 ISIN:</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5.40% Senior Notes due 2023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Senior Unsecured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$1,000,000,000</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99.896%, plus accrued and unpaid interest, if any, from May 12, 2020</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October 2, 2023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5.40% per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5.436%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+525 bps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0.250% due April 15, 2023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100-06; 0.186%</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April 2 and October 2, beginning October 2,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15 and September 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30 / 360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T+50 bps prior to maturity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$2,000 and integral multiples of $1,000 in excess thereof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Baa3 by Moody’s Investors Service,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BBB by Standard &amp; Poor’s Ratings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BBB- by Fitch Ratings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37045V AW0 / US37045VAW00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840105</wp:posOffset>
            </wp:positionH>
            <wp:positionV relativeFrom="paragraph">
              <wp:posOffset>168910</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20" w:space="100"/>
            <w:col w:w="6999"/>
          </w:cols>
          <w:pgMar w:left="440" w:top="607" w:right="1440" w:bottom="1440" w:gutter="0" w:footer="0" w:header="0"/>
          <w:type w:val="continuous"/>
        </w:sectPr>
      </w:pPr>
    </w:p>
    <w:p>
      <w:pPr>
        <w:spacing w:after="0" w:line="278" w:lineRule="exact"/>
        <w:rPr>
          <w:sz w:val="20"/>
          <w:szCs w:val="20"/>
          <w:color w:val="auto"/>
        </w:rPr>
      </w:pPr>
    </w:p>
    <w:p>
      <w:pPr>
        <w:jc w:val="center"/>
        <w:ind w:right="-1000"/>
        <w:spacing w:after="0"/>
        <w:rPr>
          <w:sz w:val="20"/>
          <w:szCs w:val="20"/>
          <w:color w:val="auto"/>
        </w:rPr>
      </w:pPr>
      <w:r>
        <w:rPr>
          <w:rFonts w:ascii="Arial" w:cs="Arial" w:eastAsia="Arial" w:hAnsi="Arial"/>
          <w:sz w:val="18"/>
          <w:szCs w:val="18"/>
          <w:b w:val="1"/>
          <w:bCs w:val="1"/>
          <w:color w:val="auto"/>
        </w:rPr>
        <w:t>Terms Applicable to the</w:t>
      </w:r>
    </w:p>
    <w:p>
      <w:pPr>
        <w:spacing w:after="0" w:line="27" w:lineRule="exact"/>
        <w:rPr>
          <w:sz w:val="20"/>
          <w:szCs w:val="20"/>
          <w:color w:val="auto"/>
        </w:rPr>
      </w:pPr>
    </w:p>
    <w:p>
      <w:pPr>
        <w:jc w:val="center"/>
        <w:ind w:right="-1000"/>
        <w:spacing w:after="0"/>
        <w:rPr>
          <w:sz w:val="20"/>
          <w:szCs w:val="20"/>
          <w:color w:val="auto"/>
        </w:rPr>
      </w:pPr>
      <w:r>
        <w:rPr>
          <w:rFonts w:ascii="Arial" w:cs="Arial" w:eastAsia="Arial" w:hAnsi="Arial"/>
          <w:sz w:val="16"/>
          <w:szCs w:val="16"/>
          <w:b w:val="1"/>
          <w:bCs w:val="1"/>
          <w:color w:val="auto"/>
        </w:rPr>
        <w:t>6.125% Senior Notes due 2025</w:t>
      </w:r>
    </w:p>
    <w:p>
      <w:pPr>
        <w:sectPr>
          <w:pgSz w:w="11900" w:h="16838" w:orient="portrait"/>
          <w:cols w:equalWidth="0" w:num="1">
            <w:col w:w="10019"/>
          </w:cols>
          <w:pgMar w:left="440" w:top="607" w:right="1440" w:bottom="1440" w:gutter="0" w:footer="0" w:header="0"/>
          <w:type w:val="continuous"/>
        </w:sect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Title of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Type: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Amount: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to Public:</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Maturity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Coupon (Interest Rate):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Yield to Maturity: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Spread to 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Benchmark Treasury:</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Benchmark Treasury Price and Yield: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Payment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Day Count Convention: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Make-whole Call: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 Call: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Denominations: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Expected Ratings**:</w:t>
      </w: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CUSIP / ISIN:</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6.125% Senior Notes due 2025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Senior Unsecured Notes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$2,000,000,000</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99.899%, plus accrued and unpaid interest, if any, from May 12, 2020</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October 1, 2025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6.125% per year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6.149%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+585 bps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0.375% due April 30, 2025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100-12; 0.299%</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April 1 and October 1, beginning October 1, 2020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March 15 and September 15</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30 / 360</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T+50 bps prior to September 1, 2025 (one month prior to maturity)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On or after September 1, 2025 (one month prior to maturity)</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$2,000 and integral multiples of $1,000 in excess thereof</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Baa3 by Moody’s Investors Service,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BBB by Standard &amp; Poor’s Ratings Services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BBB- by Fitch Ratings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37045V AV2 / US37045VAV27</w:t>
      </w:r>
    </w:p>
    <w:p>
      <w:pPr>
        <w:sectPr>
          <w:pgSz w:w="11900" w:h="16838" w:orient="portrait"/>
          <w:cols w:equalWidth="0" w:num="2">
            <w:col w:w="2920" w:space="100"/>
            <w:col w:w="6999"/>
          </w:cols>
          <w:pgMar w:left="440" w:top="607" w:right="1440" w:bottom="1440" w:gutter="0" w:footer="0" w:header="0"/>
          <w:type w:val="continuous"/>
        </w:sectPr>
      </w:pPr>
    </w:p>
    <w:bookmarkStart w:id="2" w:name="page3"/>
    <w:bookmarkEnd w:id="2"/>
    <w:tbl>
      <w:tblPr>
        <w:tblLayout w:type="fixed"/>
        <w:tblInd w:w="4" w:type="dxa"/>
        <w:tblCellMar>
          <w:top w:w="0" w:type="dxa"/>
          <w:left w:w="0" w:type="dxa"/>
          <w:bottom w:w="0" w:type="dxa"/>
          <w:right w:w="0" w:type="dxa"/>
        </w:tblCellMar>
      </w:tblPr>
      <w:tr>
        <w:trPr>
          <w:trHeight w:val="216"/>
        </w:trPr>
        <w:tc>
          <w:tcPr>
            <w:tcW w:w="1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720" w:type="dxa"/>
            <w:vAlign w:val="bottom"/>
            <w:gridSpan w:val="2"/>
          </w:tcPr>
          <w:p>
            <w:pPr>
              <w:jc w:val="center"/>
              <w:ind w:right="1400"/>
              <w:spacing w:after="0"/>
              <w:rPr>
                <w:sz w:val="20"/>
                <w:szCs w:val="20"/>
                <w:color w:val="auto"/>
              </w:rPr>
            </w:pPr>
            <w:r>
              <w:rPr>
                <w:rFonts w:ascii="Arial" w:cs="Arial" w:eastAsia="Arial" w:hAnsi="Arial"/>
                <w:sz w:val="18"/>
                <w:szCs w:val="18"/>
                <w:b w:val="1"/>
                <w:bCs w:val="1"/>
                <w:color w:val="auto"/>
                <w:w w:val="90"/>
              </w:rPr>
              <w:t>Terms Applicable to the</w:t>
            </w:r>
          </w:p>
        </w:tc>
      </w:tr>
      <w:tr>
        <w:trPr>
          <w:trHeight w:val="234"/>
        </w:trPr>
        <w:tc>
          <w:tcPr>
            <w:tcW w:w="1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3720" w:type="dxa"/>
            <w:vAlign w:val="bottom"/>
            <w:gridSpan w:val="2"/>
          </w:tcPr>
          <w:p>
            <w:pPr>
              <w:jc w:val="center"/>
              <w:ind w:right="1400"/>
              <w:spacing w:after="0"/>
              <w:rPr>
                <w:sz w:val="20"/>
                <w:szCs w:val="20"/>
                <w:color w:val="auto"/>
              </w:rPr>
            </w:pPr>
            <w:r>
              <w:rPr>
                <w:rFonts w:ascii="Arial" w:cs="Arial" w:eastAsia="Arial" w:hAnsi="Arial"/>
                <w:sz w:val="18"/>
                <w:szCs w:val="18"/>
                <w:b w:val="1"/>
                <w:bCs w:val="1"/>
                <w:color w:val="auto"/>
                <w:w w:val="89"/>
              </w:rPr>
              <w:t>6.80% Senior Notes due 2027</w:t>
            </w:r>
          </w:p>
        </w:tc>
      </w:tr>
      <w:tr>
        <w:trPr>
          <w:trHeight w:val="459"/>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Title of Securities:</w:t>
            </w:r>
          </w:p>
        </w:tc>
        <w:tc>
          <w:tcPr>
            <w:tcW w:w="5080" w:type="dxa"/>
            <w:vAlign w:val="bottom"/>
            <w:gridSpan w:val="3"/>
          </w:tcPr>
          <w:p>
            <w:pPr>
              <w:ind w:left="40"/>
              <w:spacing w:after="0"/>
              <w:rPr>
                <w:sz w:val="20"/>
                <w:szCs w:val="20"/>
                <w:color w:val="auto"/>
              </w:rPr>
            </w:pPr>
            <w:r>
              <w:rPr>
                <w:rFonts w:ascii="Arial" w:cs="Arial" w:eastAsia="Arial" w:hAnsi="Arial"/>
                <w:sz w:val="18"/>
                <w:szCs w:val="18"/>
                <w:color w:val="auto"/>
              </w:rPr>
              <w:t>6.80% Senior Notes due 2027</w:t>
            </w:r>
          </w:p>
        </w:tc>
      </w:tr>
      <w:tr>
        <w:trPr>
          <w:trHeight w:val="324"/>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Security Type:</w:t>
            </w:r>
          </w:p>
        </w:tc>
        <w:tc>
          <w:tcPr>
            <w:tcW w:w="5080" w:type="dxa"/>
            <w:vAlign w:val="bottom"/>
            <w:gridSpan w:val="3"/>
          </w:tcPr>
          <w:p>
            <w:pPr>
              <w:ind w:left="40"/>
              <w:spacing w:after="0"/>
              <w:rPr>
                <w:sz w:val="20"/>
                <w:szCs w:val="20"/>
                <w:color w:val="auto"/>
              </w:rPr>
            </w:pPr>
            <w:r>
              <w:rPr>
                <w:rFonts w:ascii="Arial" w:cs="Arial" w:eastAsia="Arial" w:hAnsi="Arial"/>
                <w:sz w:val="18"/>
                <w:szCs w:val="18"/>
                <w:color w:val="auto"/>
              </w:rPr>
              <w:t>Senior Unsecured Notes</w:t>
            </w:r>
          </w:p>
        </w:tc>
      </w:tr>
      <w:tr>
        <w:trPr>
          <w:trHeight w:val="324"/>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Principal Amount:</w:t>
            </w:r>
          </w:p>
        </w:tc>
        <w:tc>
          <w:tcPr>
            <w:tcW w:w="1360" w:type="dxa"/>
            <w:vAlign w:val="bottom"/>
          </w:tcPr>
          <w:p>
            <w:pPr>
              <w:ind w:left="40"/>
              <w:spacing w:after="0"/>
              <w:rPr>
                <w:sz w:val="20"/>
                <w:szCs w:val="20"/>
                <w:color w:val="auto"/>
              </w:rPr>
            </w:pPr>
            <w:r>
              <w:rPr>
                <w:rFonts w:ascii="Arial" w:cs="Arial" w:eastAsia="Arial" w:hAnsi="Arial"/>
                <w:sz w:val="18"/>
                <w:szCs w:val="18"/>
                <w:color w:val="auto"/>
              </w:rPr>
              <w:t>$1,000,000,000</w:t>
            </w:r>
          </w:p>
        </w:tc>
        <w:tc>
          <w:tcPr>
            <w:tcW w:w="23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24"/>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Price to Public:</w:t>
            </w:r>
          </w:p>
        </w:tc>
        <w:tc>
          <w:tcPr>
            <w:tcW w:w="5080" w:type="dxa"/>
            <w:vAlign w:val="bottom"/>
            <w:gridSpan w:val="3"/>
          </w:tcPr>
          <w:p>
            <w:pPr>
              <w:ind w:left="40"/>
              <w:spacing w:after="0"/>
              <w:rPr>
                <w:sz w:val="20"/>
                <w:szCs w:val="20"/>
                <w:color w:val="auto"/>
              </w:rPr>
            </w:pPr>
            <w:r>
              <w:rPr>
                <w:rFonts w:ascii="Arial" w:cs="Arial" w:eastAsia="Arial" w:hAnsi="Arial"/>
                <w:sz w:val="18"/>
                <w:szCs w:val="18"/>
                <w:color w:val="auto"/>
                <w:w w:val="90"/>
              </w:rPr>
              <w:t>99.775%, plus accrued and unpaid interest, if any, from May 12, 2020</w:t>
            </w:r>
          </w:p>
        </w:tc>
      </w:tr>
      <w:tr>
        <w:trPr>
          <w:trHeight w:val="324"/>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Maturity Date:</w:t>
            </w:r>
          </w:p>
        </w:tc>
        <w:tc>
          <w:tcPr>
            <w:tcW w:w="5080" w:type="dxa"/>
            <w:vAlign w:val="bottom"/>
            <w:gridSpan w:val="3"/>
          </w:tcPr>
          <w:p>
            <w:pPr>
              <w:ind w:left="40"/>
              <w:spacing w:after="0"/>
              <w:rPr>
                <w:sz w:val="20"/>
                <w:szCs w:val="20"/>
                <w:color w:val="auto"/>
              </w:rPr>
            </w:pPr>
            <w:r>
              <w:rPr>
                <w:rFonts w:ascii="Arial" w:cs="Arial" w:eastAsia="Arial" w:hAnsi="Arial"/>
                <w:sz w:val="18"/>
                <w:szCs w:val="18"/>
                <w:color w:val="auto"/>
              </w:rPr>
              <w:t>October 1, 2027</w:t>
            </w:r>
          </w:p>
        </w:tc>
      </w:tr>
      <w:tr>
        <w:trPr>
          <w:trHeight w:val="324"/>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Coupon (Interest Rate):</w:t>
            </w:r>
          </w:p>
        </w:tc>
        <w:tc>
          <w:tcPr>
            <w:tcW w:w="5080" w:type="dxa"/>
            <w:vAlign w:val="bottom"/>
            <w:gridSpan w:val="3"/>
          </w:tcPr>
          <w:p>
            <w:pPr>
              <w:ind w:left="40"/>
              <w:spacing w:after="0"/>
              <w:rPr>
                <w:sz w:val="20"/>
                <w:szCs w:val="20"/>
                <w:color w:val="auto"/>
              </w:rPr>
            </w:pPr>
            <w:r>
              <w:rPr>
                <w:rFonts w:ascii="Arial" w:cs="Arial" w:eastAsia="Arial" w:hAnsi="Arial"/>
                <w:sz w:val="18"/>
                <w:szCs w:val="18"/>
                <w:color w:val="auto"/>
              </w:rPr>
              <w:t>6.80% per year</w:t>
            </w:r>
          </w:p>
        </w:tc>
      </w:tr>
      <w:tr>
        <w:trPr>
          <w:trHeight w:val="324"/>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Yield to Maturity:</w:t>
            </w:r>
          </w:p>
        </w:tc>
        <w:tc>
          <w:tcPr>
            <w:tcW w:w="1360" w:type="dxa"/>
            <w:vAlign w:val="bottom"/>
          </w:tcPr>
          <w:p>
            <w:pPr>
              <w:ind w:left="40"/>
              <w:spacing w:after="0"/>
              <w:rPr>
                <w:sz w:val="20"/>
                <w:szCs w:val="20"/>
                <w:color w:val="auto"/>
              </w:rPr>
            </w:pPr>
            <w:r>
              <w:rPr>
                <w:rFonts w:ascii="Arial" w:cs="Arial" w:eastAsia="Arial" w:hAnsi="Arial"/>
                <w:sz w:val="18"/>
                <w:szCs w:val="18"/>
                <w:color w:val="auto"/>
              </w:rPr>
              <w:t>6.841%</w:t>
            </w:r>
          </w:p>
        </w:tc>
        <w:tc>
          <w:tcPr>
            <w:tcW w:w="23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24"/>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Spread to Benchmark Treasury:</w:t>
            </w:r>
          </w:p>
        </w:tc>
        <w:tc>
          <w:tcPr>
            <w:tcW w:w="5080" w:type="dxa"/>
            <w:vAlign w:val="bottom"/>
            <w:gridSpan w:val="3"/>
          </w:tcPr>
          <w:p>
            <w:pPr>
              <w:ind w:left="40"/>
              <w:spacing w:after="0"/>
              <w:rPr>
                <w:sz w:val="20"/>
                <w:szCs w:val="20"/>
                <w:color w:val="auto"/>
              </w:rPr>
            </w:pPr>
            <w:r>
              <w:rPr>
                <w:rFonts w:ascii="Arial" w:cs="Arial" w:eastAsia="Arial" w:hAnsi="Arial"/>
                <w:sz w:val="18"/>
                <w:szCs w:val="18"/>
                <w:color w:val="auto"/>
              </w:rPr>
              <w:t>+635 bps</w:t>
            </w:r>
          </w:p>
        </w:tc>
      </w:tr>
      <w:tr>
        <w:trPr>
          <w:trHeight w:val="324"/>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Benchmark Treasury:</w:t>
            </w:r>
          </w:p>
        </w:tc>
        <w:tc>
          <w:tcPr>
            <w:tcW w:w="5080" w:type="dxa"/>
            <w:vAlign w:val="bottom"/>
            <w:gridSpan w:val="3"/>
          </w:tcPr>
          <w:p>
            <w:pPr>
              <w:ind w:left="40"/>
              <w:spacing w:after="0"/>
              <w:rPr>
                <w:sz w:val="20"/>
                <w:szCs w:val="20"/>
                <w:color w:val="auto"/>
              </w:rPr>
            </w:pPr>
            <w:r>
              <w:rPr>
                <w:rFonts w:ascii="Arial" w:cs="Arial" w:eastAsia="Arial" w:hAnsi="Arial"/>
                <w:sz w:val="18"/>
                <w:szCs w:val="18"/>
                <w:color w:val="auto"/>
              </w:rPr>
              <w:t>0.500% due April 30, 2027</w:t>
            </w:r>
          </w:p>
        </w:tc>
      </w:tr>
      <w:tr>
        <w:trPr>
          <w:trHeight w:val="324"/>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w w:val="92"/>
              </w:rPr>
              <w:t>Benchmark Treasury Price and Yield:</w:t>
            </w:r>
          </w:p>
        </w:tc>
        <w:tc>
          <w:tcPr>
            <w:tcW w:w="1360" w:type="dxa"/>
            <w:vAlign w:val="bottom"/>
          </w:tcPr>
          <w:p>
            <w:pPr>
              <w:ind w:left="40"/>
              <w:spacing w:after="0"/>
              <w:rPr>
                <w:sz w:val="20"/>
                <w:szCs w:val="20"/>
                <w:color w:val="auto"/>
              </w:rPr>
            </w:pPr>
            <w:r>
              <w:rPr>
                <w:rFonts w:ascii="Arial" w:cs="Arial" w:eastAsia="Arial" w:hAnsi="Arial"/>
                <w:sz w:val="18"/>
                <w:szCs w:val="18"/>
                <w:color w:val="auto"/>
              </w:rPr>
              <w:t>100-02; 0.491%</w:t>
            </w:r>
          </w:p>
        </w:tc>
        <w:tc>
          <w:tcPr>
            <w:tcW w:w="23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24"/>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Interest Payment Dates:</w:t>
            </w:r>
          </w:p>
        </w:tc>
        <w:tc>
          <w:tcPr>
            <w:tcW w:w="5080" w:type="dxa"/>
            <w:vAlign w:val="bottom"/>
            <w:gridSpan w:val="3"/>
          </w:tcPr>
          <w:p>
            <w:pPr>
              <w:ind w:left="40"/>
              <w:spacing w:after="0"/>
              <w:rPr>
                <w:sz w:val="20"/>
                <w:szCs w:val="20"/>
                <w:color w:val="auto"/>
              </w:rPr>
            </w:pPr>
            <w:r>
              <w:rPr>
                <w:rFonts w:ascii="Arial" w:cs="Arial" w:eastAsia="Arial" w:hAnsi="Arial"/>
                <w:sz w:val="18"/>
                <w:szCs w:val="18"/>
                <w:color w:val="auto"/>
              </w:rPr>
              <w:t>April 1 and October 1, beginning October 1, 2020</w:t>
            </w:r>
          </w:p>
        </w:tc>
      </w:tr>
      <w:tr>
        <w:trPr>
          <w:trHeight w:val="324"/>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Record Dates:</w:t>
            </w:r>
          </w:p>
        </w:tc>
        <w:tc>
          <w:tcPr>
            <w:tcW w:w="5080" w:type="dxa"/>
            <w:vAlign w:val="bottom"/>
            <w:gridSpan w:val="3"/>
          </w:tcPr>
          <w:p>
            <w:pPr>
              <w:ind w:left="40"/>
              <w:spacing w:after="0"/>
              <w:rPr>
                <w:sz w:val="20"/>
                <w:szCs w:val="20"/>
                <w:color w:val="auto"/>
              </w:rPr>
            </w:pPr>
            <w:r>
              <w:rPr>
                <w:rFonts w:ascii="Arial" w:cs="Arial" w:eastAsia="Arial" w:hAnsi="Arial"/>
                <w:sz w:val="18"/>
                <w:szCs w:val="18"/>
                <w:color w:val="auto"/>
              </w:rPr>
              <w:t>March 15 and September 15</w:t>
            </w:r>
          </w:p>
        </w:tc>
      </w:tr>
      <w:tr>
        <w:trPr>
          <w:trHeight w:val="324"/>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Day Count Convention:</w:t>
            </w:r>
          </w:p>
        </w:tc>
        <w:tc>
          <w:tcPr>
            <w:tcW w:w="1360" w:type="dxa"/>
            <w:vAlign w:val="bottom"/>
          </w:tcPr>
          <w:p>
            <w:pPr>
              <w:ind w:left="40"/>
              <w:spacing w:after="0"/>
              <w:rPr>
                <w:sz w:val="20"/>
                <w:szCs w:val="20"/>
                <w:color w:val="auto"/>
              </w:rPr>
            </w:pPr>
            <w:r>
              <w:rPr>
                <w:rFonts w:ascii="Arial" w:cs="Arial" w:eastAsia="Arial" w:hAnsi="Arial"/>
                <w:sz w:val="18"/>
                <w:szCs w:val="18"/>
                <w:color w:val="auto"/>
              </w:rPr>
              <w:t>30 / 360</w:t>
            </w:r>
          </w:p>
        </w:tc>
        <w:tc>
          <w:tcPr>
            <w:tcW w:w="232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324"/>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Make-whole Call:</w:t>
            </w:r>
          </w:p>
        </w:tc>
        <w:tc>
          <w:tcPr>
            <w:tcW w:w="5080" w:type="dxa"/>
            <w:vAlign w:val="bottom"/>
            <w:gridSpan w:val="3"/>
          </w:tcPr>
          <w:p>
            <w:pPr>
              <w:ind w:left="40"/>
              <w:spacing w:after="0"/>
              <w:rPr>
                <w:sz w:val="20"/>
                <w:szCs w:val="20"/>
                <w:color w:val="auto"/>
              </w:rPr>
            </w:pPr>
            <w:r>
              <w:rPr>
                <w:rFonts w:ascii="Arial" w:cs="Arial" w:eastAsia="Arial" w:hAnsi="Arial"/>
                <w:sz w:val="18"/>
                <w:szCs w:val="18"/>
                <w:color w:val="auto"/>
              </w:rPr>
              <w:t>T+50 bps prior to August 1, 2027 (two months prior to maturity)</w:t>
            </w:r>
          </w:p>
        </w:tc>
      </w:tr>
      <w:tr>
        <w:trPr>
          <w:trHeight w:val="324"/>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Par Call:</w:t>
            </w:r>
          </w:p>
        </w:tc>
        <w:tc>
          <w:tcPr>
            <w:tcW w:w="5080" w:type="dxa"/>
            <w:vAlign w:val="bottom"/>
            <w:gridSpan w:val="3"/>
          </w:tcPr>
          <w:p>
            <w:pPr>
              <w:ind w:left="40"/>
              <w:spacing w:after="0"/>
              <w:rPr>
                <w:sz w:val="20"/>
                <w:szCs w:val="20"/>
                <w:color w:val="auto"/>
              </w:rPr>
            </w:pPr>
            <w:r>
              <w:rPr>
                <w:rFonts w:ascii="Arial" w:cs="Arial" w:eastAsia="Arial" w:hAnsi="Arial"/>
                <w:sz w:val="18"/>
                <w:szCs w:val="18"/>
                <w:color w:val="auto"/>
              </w:rPr>
              <w:t>On or after August 1, 2027 (two months prior to maturity)</w:t>
            </w:r>
          </w:p>
        </w:tc>
      </w:tr>
      <w:tr>
        <w:trPr>
          <w:trHeight w:val="324"/>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Denominations:</w:t>
            </w:r>
          </w:p>
        </w:tc>
        <w:tc>
          <w:tcPr>
            <w:tcW w:w="5080" w:type="dxa"/>
            <w:vAlign w:val="bottom"/>
            <w:gridSpan w:val="3"/>
          </w:tcPr>
          <w:p>
            <w:pPr>
              <w:ind w:left="40"/>
              <w:spacing w:after="0"/>
              <w:rPr>
                <w:sz w:val="20"/>
                <w:szCs w:val="20"/>
                <w:color w:val="auto"/>
              </w:rPr>
            </w:pPr>
            <w:r>
              <w:rPr>
                <w:rFonts w:ascii="Arial" w:cs="Arial" w:eastAsia="Arial" w:hAnsi="Arial"/>
                <w:sz w:val="18"/>
                <w:szCs w:val="18"/>
                <w:color w:val="auto"/>
              </w:rPr>
              <w:t>$2,000 and integral multiples of $1,000 in excess thereof</w:t>
            </w:r>
          </w:p>
        </w:tc>
      </w:tr>
      <w:tr>
        <w:trPr>
          <w:trHeight w:val="310"/>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Expected Ratings**:</w:t>
            </w:r>
          </w:p>
        </w:tc>
        <w:tc>
          <w:tcPr>
            <w:tcW w:w="5080" w:type="dxa"/>
            <w:vAlign w:val="bottom"/>
            <w:gridSpan w:val="3"/>
          </w:tcPr>
          <w:p>
            <w:pPr>
              <w:ind w:left="40"/>
              <w:spacing w:after="0"/>
              <w:rPr>
                <w:sz w:val="20"/>
                <w:szCs w:val="20"/>
                <w:color w:val="auto"/>
              </w:rPr>
            </w:pPr>
            <w:r>
              <w:rPr>
                <w:rFonts w:ascii="Arial" w:cs="Arial" w:eastAsia="Arial" w:hAnsi="Arial"/>
                <w:sz w:val="18"/>
                <w:szCs w:val="18"/>
                <w:color w:val="auto"/>
              </w:rPr>
              <w:t>Baa3 by Moody’s Investors Service, Inc.</w:t>
            </w:r>
          </w:p>
        </w:tc>
      </w:tr>
      <w:tr>
        <w:trPr>
          <w:trHeight w:val="216"/>
        </w:trPr>
        <w:tc>
          <w:tcPr>
            <w:tcW w:w="12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5080" w:type="dxa"/>
            <w:vAlign w:val="bottom"/>
            <w:gridSpan w:val="3"/>
          </w:tcPr>
          <w:p>
            <w:pPr>
              <w:ind w:left="40"/>
              <w:spacing w:after="0"/>
              <w:rPr>
                <w:sz w:val="20"/>
                <w:szCs w:val="20"/>
                <w:color w:val="auto"/>
              </w:rPr>
            </w:pPr>
            <w:r>
              <w:rPr>
                <w:rFonts w:ascii="Arial" w:cs="Arial" w:eastAsia="Arial" w:hAnsi="Arial"/>
                <w:sz w:val="18"/>
                <w:szCs w:val="18"/>
                <w:color w:val="auto"/>
              </w:rPr>
              <w:t>BBB by Standard &amp; Poor’s Ratings Services</w:t>
            </w:r>
          </w:p>
        </w:tc>
      </w:tr>
      <w:tr>
        <w:trPr>
          <w:trHeight w:val="230"/>
        </w:trPr>
        <w:tc>
          <w:tcPr>
            <w:tcW w:w="12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5080" w:type="dxa"/>
            <w:vAlign w:val="bottom"/>
            <w:gridSpan w:val="3"/>
          </w:tcPr>
          <w:p>
            <w:pPr>
              <w:ind w:left="40"/>
              <w:spacing w:after="0"/>
              <w:rPr>
                <w:sz w:val="20"/>
                <w:szCs w:val="20"/>
                <w:color w:val="auto"/>
              </w:rPr>
            </w:pPr>
            <w:r>
              <w:rPr>
                <w:rFonts w:ascii="Arial" w:cs="Arial" w:eastAsia="Arial" w:hAnsi="Arial"/>
                <w:sz w:val="18"/>
                <w:szCs w:val="18"/>
                <w:color w:val="auto"/>
              </w:rPr>
              <w:t>BBB- by Fitch Ratings</w:t>
            </w:r>
          </w:p>
        </w:tc>
      </w:tr>
      <w:tr>
        <w:trPr>
          <w:trHeight w:val="338"/>
        </w:trPr>
        <w:tc>
          <w:tcPr>
            <w:tcW w:w="2980" w:type="dxa"/>
            <w:vAlign w:val="bottom"/>
            <w:gridSpan w:val="2"/>
          </w:tcPr>
          <w:p>
            <w:pPr>
              <w:spacing w:after="0"/>
              <w:rPr>
                <w:sz w:val="20"/>
                <w:szCs w:val="20"/>
                <w:color w:val="auto"/>
              </w:rPr>
            </w:pPr>
            <w:r>
              <w:rPr>
                <w:rFonts w:ascii="Arial" w:cs="Arial" w:eastAsia="Arial" w:hAnsi="Arial"/>
                <w:sz w:val="18"/>
                <w:szCs w:val="18"/>
                <w:b w:val="1"/>
                <w:bCs w:val="1"/>
                <w:color w:val="auto"/>
              </w:rPr>
              <w:t>CUSIP / ISIN:</w:t>
            </w:r>
          </w:p>
        </w:tc>
        <w:tc>
          <w:tcPr>
            <w:tcW w:w="5080" w:type="dxa"/>
            <w:vAlign w:val="bottom"/>
            <w:gridSpan w:val="3"/>
          </w:tcPr>
          <w:p>
            <w:pPr>
              <w:ind w:left="40"/>
              <w:spacing w:after="0"/>
              <w:rPr>
                <w:sz w:val="20"/>
                <w:szCs w:val="20"/>
                <w:color w:val="auto"/>
              </w:rPr>
            </w:pPr>
            <w:r>
              <w:rPr>
                <w:rFonts w:ascii="Arial" w:cs="Arial" w:eastAsia="Arial" w:hAnsi="Arial"/>
                <w:sz w:val="18"/>
                <w:szCs w:val="18"/>
                <w:color w:val="auto"/>
              </w:rPr>
              <w:t>37045V AU4 / US37045VAU44</w:t>
            </w:r>
          </w:p>
        </w:tc>
      </w:tr>
      <w:tr>
        <w:trPr>
          <w:trHeight w:val="135"/>
        </w:trPr>
        <w:tc>
          <w:tcPr>
            <w:tcW w:w="1220" w:type="dxa"/>
            <w:vAlign w:val="bottom"/>
            <w:tcBorders>
              <w:bottom w:val="single" w:sz="8" w:color="auto"/>
            </w:tcBorders>
          </w:tcPr>
          <w:p>
            <w:pPr>
              <w:spacing w:after="0"/>
              <w:rPr>
                <w:sz w:val="11"/>
                <w:szCs w:val="11"/>
                <w:color w:val="auto"/>
              </w:rPr>
            </w:pPr>
          </w:p>
        </w:tc>
        <w:tc>
          <w:tcPr>
            <w:tcW w:w="176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400" w:type="dxa"/>
            <w:vAlign w:val="bottom"/>
          </w:tcPr>
          <w:p>
            <w:pPr>
              <w:spacing w:after="0"/>
              <w:rPr>
                <w:sz w:val="11"/>
                <w:szCs w:val="11"/>
                <w:color w:val="auto"/>
              </w:rPr>
            </w:pPr>
          </w:p>
        </w:tc>
      </w:tr>
      <w:tr>
        <w:trPr>
          <w:trHeight w:val="142"/>
        </w:trPr>
        <w:tc>
          <w:tcPr>
            <w:tcW w:w="12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320" w:type="dxa"/>
            <w:vAlign w:val="bottom"/>
            <w:tcBorders>
              <w:bottom w:val="single" w:sz="8" w:color="auto"/>
            </w:tcBorders>
          </w:tcPr>
          <w:p>
            <w:pPr>
              <w:spacing w:after="0"/>
              <w:rPr>
                <w:sz w:val="12"/>
                <w:szCs w:val="12"/>
                <w:color w:val="auto"/>
              </w:rPr>
            </w:pPr>
          </w:p>
        </w:tc>
        <w:tc>
          <w:tcPr>
            <w:tcW w:w="1400" w:type="dxa"/>
            <w:vAlign w:val="bottom"/>
          </w:tcPr>
          <w:p>
            <w:pPr>
              <w:spacing w:after="0"/>
              <w:rPr>
                <w:sz w:val="12"/>
                <w:szCs w:val="12"/>
                <w:color w:val="auto"/>
              </w:rPr>
            </w:pP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drawing>
          <wp:anchor simplePos="0" relativeHeight="251657728" behindDoc="1" locked="0" layoutInCell="0" allowOverlap="1">
            <wp:simplePos x="0" y="0"/>
            <wp:positionH relativeFrom="page">
              <wp:posOffset>3037205</wp:posOffset>
            </wp:positionH>
            <wp:positionV relativeFrom="page">
              <wp:posOffset>251460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ind w:left="4" w:hanging="4"/>
        <w:spacing w:after="0" w:line="303" w:lineRule="auto"/>
        <w:tabs>
          <w:tab w:leader="none" w:pos="139" w:val="left"/>
        </w:tabs>
        <w:numPr>
          <w:ilvl w:val="0"/>
          <w:numId w:val="1"/>
        </w:numPr>
        <w:rPr>
          <w:rFonts w:ascii="Arial" w:cs="Arial" w:eastAsia="Arial" w:hAnsi="Arial"/>
          <w:sz w:val="16"/>
          <w:szCs w:val="16"/>
          <w:b w:val="1"/>
          <w:bCs w:val="1"/>
          <w:color w:val="auto"/>
        </w:rPr>
      </w:pPr>
      <w:r>
        <w:rPr>
          <w:rFonts w:ascii="Arial" w:cs="Arial" w:eastAsia="Arial" w:hAnsi="Arial"/>
          <w:sz w:val="16"/>
          <w:szCs w:val="16"/>
          <w:b w:val="1"/>
          <w:bCs w:val="1"/>
          <w:color w:val="auto"/>
        </w:rPr>
        <w:t>Under Rule 15c6-1 of the Exchange Act, trades in the secondary market are generally required to settle in two business days, unless the parties to any such trade expressly agree otherwise. Accordingly, purchasers who wish to trade notes on the date of pricing will be required, by virtue of the fact that the notes initially will settle T + 3, to specify an alternative settlement cycle at the time of any such trade to prevent a failed settlement. Purchasers of the notes who wish to trade the notes on the date of pricing should consult their own advisor.</w:t>
      </w:r>
    </w:p>
    <w:p>
      <w:pPr>
        <w:spacing w:after="0" w:line="151" w:lineRule="exact"/>
        <w:rPr>
          <w:sz w:val="20"/>
          <w:szCs w:val="20"/>
          <w:color w:val="auto"/>
        </w:rPr>
      </w:pPr>
    </w:p>
    <w:p>
      <w:pPr>
        <w:ind w:left="224" w:hanging="224"/>
        <w:spacing w:after="0"/>
        <w:tabs>
          <w:tab w:leader="none" w:pos="224"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Note: </w:t>
      </w:r>
      <w:r>
        <w:rPr>
          <w:rFonts w:ascii="Arial" w:cs="Arial" w:eastAsia="Arial" w:hAnsi="Arial"/>
          <w:sz w:val="17"/>
          <w:szCs w:val="17"/>
          <w:color w:val="auto"/>
        </w:rPr>
        <w:t>A security rating is not a recommendation to buy, sell or hold securities and may be subject to revision or withdrawal at any time.</w:t>
      </w:r>
    </w:p>
    <w:p>
      <w:pPr>
        <w:sectPr>
          <w:pgSz w:w="11900" w:h="16838" w:orient="portrait"/>
          <w:cols w:equalWidth="0" w:num="1">
            <w:col w:w="10924"/>
          </w:cols>
          <w:pgMar w:left="436" w:top="499" w:right="539" w:bottom="1440" w:gutter="0" w:footer="0" w:header="0"/>
        </w:sectPr>
      </w:pPr>
    </w:p>
    <w:bookmarkStart w:id="3" w:name="page4"/>
    <w:bookmarkEnd w:id="3"/>
    <w:p>
      <w:pPr>
        <w:spacing w:after="0" w:line="27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This communication is for informational purposes only and does not constitute an offer to sell, or a solicitation of an offer to buy, any security. No offer to buy securities described herein can be accepted, and no part of the purchase price thereof can be received, unless the person making such investment decision has received and reviewed the information contained in the relevant prospectus in making their investment decisions. 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get these documents for free by visiting EDGAR on the SEC website at www.sec.gov. Alternatively, the issuer, any underwriter or any dealer participating in the offering will arrange to send you the prospectus if you request it by contacting Deutsche Bank Securities Inc., Attention: Prospectus Group, 60 Wall Street, New York, NY 10005 or toll-free at (800) 503-4611.</w:t>
      </w:r>
    </w:p>
    <w:p>
      <w:pPr>
        <w:spacing w:after="0" w:line="66" w:lineRule="exact"/>
        <w:rPr>
          <w:sz w:val="20"/>
          <w:szCs w:val="20"/>
          <w:color w:val="auto"/>
        </w:rPr>
      </w:pPr>
    </w:p>
    <w:p>
      <w:pPr>
        <w:jc w:val="both"/>
        <w:ind w:right="400"/>
        <w:spacing w:after="0" w:line="314" w:lineRule="auto"/>
        <w:rPr>
          <w:sz w:val="20"/>
          <w:szCs w:val="20"/>
          <w:color w:val="auto"/>
        </w:rPr>
      </w:pPr>
      <w:r>
        <w:rPr>
          <w:rFonts w:ascii="Arial" w:cs="Arial" w:eastAsia="Arial" w:hAnsi="Arial"/>
          <w:sz w:val="16"/>
          <w:szCs w:val="16"/>
          <w:b w:val="1"/>
          <w:bCs w:val="1"/>
          <w:color w:val="auto"/>
        </w:rPr>
        <w:t>This communication is not intended to be a confirmation as required under Rule 10b-10 of the Securities Exchange Act of 1934. A formal confirmation will be delivered to you separately. This notice shall not constitute an offer to sell or a solicitation of an offer to buy, nor shall there be any sale of the Securities in any state or jurisdiction in which such offer, solicitation or sale would be unlawful.</w:t>
      </w:r>
    </w:p>
    <w:p>
      <w:pPr>
        <w:spacing w:after="0" w:line="142" w:lineRule="exact"/>
        <w:rPr>
          <w:sz w:val="20"/>
          <w:szCs w:val="20"/>
          <w:color w:val="auto"/>
        </w:rPr>
      </w:pPr>
    </w:p>
    <w:p>
      <w:pPr>
        <w:ind w:right="380"/>
        <w:spacing w:after="0" w:line="266" w:lineRule="auto"/>
        <w:rPr>
          <w:sz w:val="20"/>
          <w:szCs w:val="20"/>
          <w:color w:val="auto"/>
        </w:rPr>
      </w:pPr>
      <w:r>
        <w:rPr>
          <w:rFonts w:ascii="Arial" w:cs="Arial" w:eastAsia="Arial" w:hAnsi="Arial"/>
          <w:sz w:val="18"/>
          <w:szCs w:val="18"/>
          <w:b w:val="1"/>
          <w:bCs w:val="1"/>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sectPr>
      <w:pgSz w:w="11900" w:h="16838" w:orient="portrait"/>
      <w:cols w:equalWidth="0" w:num="1">
        <w:col w:w="10980"/>
      </w:cols>
      <w:pgMar w:left="440" w:top="27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2020-05-08T05:18:55Z</dcterms:created>
  <dcterms:modified xsi:type="dcterms:W3CDTF">2020-05-08T05:18:55Z</dcterms:modified>
</cp:coreProperties>
</file>