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774700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 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5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148" w:lineRule="exact"/>
        <w:rPr>
          <w:sz w:val="24"/>
          <w:szCs w:val="24"/>
          <w:color w:val="auto"/>
        </w:rPr>
      </w:pPr>
    </w:p>
    <w:p>
      <w:pPr>
        <w:ind w:left="680" w:right="2120" w:hanging="654"/>
        <w:spacing w:after="0" w:line="282" w:lineRule="auto"/>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67"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For the quarterly period ended June 30, 2020</w:t>
      </w:r>
    </w:p>
    <w:p>
      <w:pPr>
        <w:spacing w:after="0" w:line="12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OR</w:t>
      </w:r>
    </w:p>
    <w:p>
      <w:pPr>
        <w:spacing w:after="0" w:line="134" w:lineRule="exact"/>
        <w:rPr>
          <w:sz w:val="24"/>
          <w:szCs w:val="24"/>
          <w:color w:val="auto"/>
        </w:rPr>
      </w:pPr>
    </w:p>
    <w:p>
      <w:pPr>
        <w:ind w:left="680" w:right="2100" w:hanging="654"/>
        <w:spacing w:after="0" w:line="282" w:lineRule="auto"/>
        <w:tabs>
          <w:tab w:leader="none" w:pos="6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35" w:lineRule="exact"/>
        <w:rPr>
          <w:sz w:val="24"/>
          <w:szCs w:val="24"/>
          <w:color w:val="auto"/>
        </w:rPr>
      </w:pPr>
    </w:p>
    <w:p>
      <w:pPr>
        <w:ind w:left="460"/>
        <w:spacing w:after="0"/>
        <w:tabs>
          <w:tab w:leader="none" w:pos="33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001-34960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1290955</wp:posOffset>
            </wp:positionH>
            <wp:positionV relativeFrom="paragraph">
              <wp:posOffset>171450</wp:posOffset>
            </wp:positionV>
            <wp:extent cx="4560570" cy="283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560570" cy="2832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GENERAL MOTORS COMPANY</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124" w:lineRule="exact"/>
        <w:rPr>
          <w:sz w:val="24"/>
          <w:szCs w:val="24"/>
          <w:color w:val="auto"/>
        </w:rPr>
      </w:pPr>
    </w:p>
    <w:tbl>
      <w:tblPr>
        <w:tblLayout w:type="fixed"/>
        <w:tblInd w:w="1700" w:type="dxa"/>
        <w:tblCellMar>
          <w:top w:w="0" w:type="dxa"/>
          <w:left w:w="0" w:type="dxa"/>
          <w:bottom w:w="0" w:type="dxa"/>
          <w:right w:w="0" w:type="dxa"/>
        </w:tblCellMar>
      </w:tblPr>
      <w:tr>
        <w:trPr>
          <w:trHeight w:val="234"/>
        </w:trPr>
        <w:tc>
          <w:tcPr>
            <w:tcW w:w="4540" w:type="dxa"/>
            <w:vAlign w:val="bottom"/>
          </w:tcPr>
          <w:p>
            <w:pPr>
              <w:jc w:val="center"/>
              <w:ind w:right="1050"/>
              <w:spacing w:after="0"/>
              <w:rPr>
                <w:sz w:val="20"/>
                <w:szCs w:val="20"/>
                <w:color w:val="auto"/>
              </w:rPr>
            </w:pPr>
            <w:r>
              <w:rPr>
                <w:rFonts w:ascii="Arial" w:cs="Arial" w:eastAsia="Arial" w:hAnsi="Arial"/>
                <w:sz w:val="18"/>
                <w:szCs w:val="18"/>
                <w:b w:val="1"/>
                <w:bCs w:val="1"/>
                <w:color w:val="auto"/>
                <w:w w:val="91"/>
              </w:rPr>
              <w:t>Delaware</w:t>
            </w:r>
          </w:p>
        </w:tc>
        <w:tc>
          <w:tcPr>
            <w:tcW w:w="2480" w:type="dxa"/>
            <w:vAlign w:val="bottom"/>
          </w:tcPr>
          <w:p>
            <w:pPr>
              <w:jc w:val="center"/>
              <w:ind w:left="1070"/>
              <w:spacing w:after="0"/>
              <w:rPr>
                <w:sz w:val="20"/>
                <w:szCs w:val="20"/>
                <w:color w:val="auto"/>
              </w:rPr>
            </w:pPr>
            <w:r>
              <w:rPr>
                <w:rFonts w:ascii="Arial" w:cs="Arial" w:eastAsia="Arial" w:hAnsi="Arial"/>
                <w:sz w:val="18"/>
                <w:szCs w:val="18"/>
                <w:b w:val="1"/>
                <w:bCs w:val="1"/>
                <w:color w:val="auto"/>
                <w:w w:val="91"/>
              </w:rPr>
              <w:t>27-0756180</w:t>
            </w:r>
          </w:p>
        </w:tc>
      </w:tr>
      <w:tr>
        <w:trPr>
          <w:trHeight w:val="256"/>
        </w:trPr>
        <w:tc>
          <w:tcPr>
            <w:tcW w:w="4540" w:type="dxa"/>
            <w:vAlign w:val="bottom"/>
          </w:tcPr>
          <w:p>
            <w:pPr>
              <w:jc w:val="center"/>
              <w:ind w:right="1050"/>
              <w:spacing w:after="0"/>
              <w:rPr>
                <w:sz w:val="20"/>
                <w:szCs w:val="20"/>
                <w:color w:val="auto"/>
              </w:rPr>
            </w:pPr>
            <w:r>
              <w:rPr>
                <w:rFonts w:ascii="Arial" w:cs="Arial" w:eastAsia="Arial" w:hAnsi="Arial"/>
                <w:sz w:val="18"/>
                <w:szCs w:val="18"/>
                <w:i w:val="1"/>
                <w:iCs w:val="1"/>
                <w:color w:val="auto"/>
                <w:w w:val="94"/>
              </w:rPr>
              <w:t>(State or other jurisdiction of</w:t>
            </w:r>
          </w:p>
        </w:tc>
        <w:tc>
          <w:tcPr>
            <w:tcW w:w="2480" w:type="dxa"/>
            <w:vAlign w:val="bottom"/>
          </w:tcPr>
          <w:p>
            <w:pPr>
              <w:jc w:val="center"/>
              <w:ind w:left="1070"/>
              <w:spacing w:after="0"/>
              <w:rPr>
                <w:sz w:val="20"/>
                <w:szCs w:val="20"/>
                <w:color w:val="auto"/>
              </w:rPr>
            </w:pPr>
            <w:r>
              <w:rPr>
                <w:rFonts w:ascii="Arial" w:cs="Arial" w:eastAsia="Arial" w:hAnsi="Arial"/>
                <w:sz w:val="18"/>
                <w:szCs w:val="18"/>
                <w:i w:val="1"/>
                <w:iCs w:val="1"/>
                <w:color w:val="auto"/>
                <w:w w:val="90"/>
              </w:rPr>
              <w:t>(I.R.S. Employer</w:t>
            </w:r>
          </w:p>
        </w:tc>
      </w:tr>
      <w:tr>
        <w:trPr>
          <w:trHeight w:val="230"/>
        </w:trPr>
        <w:tc>
          <w:tcPr>
            <w:tcW w:w="4540" w:type="dxa"/>
            <w:vAlign w:val="bottom"/>
          </w:tcPr>
          <w:p>
            <w:pPr>
              <w:jc w:val="center"/>
              <w:ind w:right="1070"/>
              <w:spacing w:after="0"/>
              <w:rPr>
                <w:sz w:val="20"/>
                <w:szCs w:val="20"/>
                <w:color w:val="auto"/>
              </w:rPr>
            </w:pPr>
            <w:r>
              <w:rPr>
                <w:rFonts w:ascii="Arial" w:cs="Arial" w:eastAsia="Arial" w:hAnsi="Arial"/>
                <w:sz w:val="18"/>
                <w:szCs w:val="18"/>
                <w:i w:val="1"/>
                <w:iCs w:val="1"/>
                <w:color w:val="auto"/>
                <w:w w:val="94"/>
              </w:rPr>
              <w:t>incorporation or organization)</w:t>
            </w:r>
          </w:p>
        </w:tc>
        <w:tc>
          <w:tcPr>
            <w:tcW w:w="2480" w:type="dxa"/>
            <w:vAlign w:val="bottom"/>
          </w:tcPr>
          <w:p>
            <w:pPr>
              <w:jc w:val="center"/>
              <w:ind w:left="1070"/>
              <w:spacing w:after="0"/>
              <w:rPr>
                <w:sz w:val="20"/>
                <w:szCs w:val="20"/>
                <w:color w:val="auto"/>
              </w:rPr>
            </w:pPr>
            <w:r>
              <w:rPr>
                <w:rFonts w:ascii="Arial" w:cs="Arial" w:eastAsia="Arial" w:hAnsi="Arial"/>
                <w:sz w:val="18"/>
                <w:szCs w:val="18"/>
                <w:i w:val="1"/>
                <w:iCs w:val="1"/>
                <w:color w:val="auto"/>
                <w:w w:val="94"/>
              </w:rPr>
              <w:t>Identification No.)</w:t>
            </w:r>
          </w:p>
        </w:tc>
      </w:tr>
      <w:tr>
        <w:trPr>
          <w:trHeight w:val="324"/>
        </w:trPr>
        <w:tc>
          <w:tcPr>
            <w:tcW w:w="4540" w:type="dxa"/>
            <w:vAlign w:val="bottom"/>
          </w:tcPr>
          <w:p>
            <w:pPr>
              <w:jc w:val="center"/>
              <w:ind w:right="1090"/>
              <w:spacing w:after="0"/>
              <w:rPr>
                <w:sz w:val="20"/>
                <w:szCs w:val="20"/>
                <w:color w:val="auto"/>
              </w:rPr>
            </w:pPr>
            <w:r>
              <w:rPr>
                <w:rFonts w:ascii="Arial" w:cs="Arial" w:eastAsia="Arial" w:hAnsi="Arial"/>
                <w:sz w:val="18"/>
                <w:szCs w:val="18"/>
                <w:b w:val="1"/>
                <w:bCs w:val="1"/>
                <w:color w:val="auto"/>
                <w:w w:val="92"/>
              </w:rPr>
              <w:t>300 Renaissance Center, Detroit, Michigan</w:t>
            </w:r>
          </w:p>
        </w:tc>
        <w:tc>
          <w:tcPr>
            <w:tcW w:w="2480" w:type="dxa"/>
            <w:vAlign w:val="bottom"/>
          </w:tcPr>
          <w:p>
            <w:pPr>
              <w:jc w:val="right"/>
              <w:ind w:right="150"/>
              <w:spacing w:after="0"/>
              <w:rPr>
                <w:sz w:val="20"/>
                <w:szCs w:val="20"/>
                <w:color w:val="auto"/>
              </w:rPr>
            </w:pPr>
            <w:r>
              <w:rPr>
                <w:rFonts w:ascii="Arial" w:cs="Arial" w:eastAsia="Arial" w:hAnsi="Arial"/>
                <w:sz w:val="18"/>
                <w:szCs w:val="18"/>
                <w:b w:val="1"/>
                <w:bCs w:val="1"/>
                <w:color w:val="auto"/>
              </w:rPr>
              <w:t>48265 -3000</w:t>
            </w:r>
          </w:p>
        </w:tc>
      </w:tr>
      <w:tr>
        <w:trPr>
          <w:trHeight w:val="270"/>
        </w:trPr>
        <w:tc>
          <w:tcPr>
            <w:tcW w:w="4540" w:type="dxa"/>
            <w:vAlign w:val="bottom"/>
          </w:tcPr>
          <w:p>
            <w:pPr>
              <w:jc w:val="center"/>
              <w:ind w:right="1050"/>
              <w:spacing w:after="0"/>
              <w:rPr>
                <w:sz w:val="20"/>
                <w:szCs w:val="20"/>
                <w:color w:val="auto"/>
              </w:rPr>
            </w:pPr>
            <w:r>
              <w:rPr>
                <w:rFonts w:ascii="Arial" w:cs="Arial" w:eastAsia="Arial" w:hAnsi="Arial"/>
                <w:sz w:val="18"/>
                <w:szCs w:val="18"/>
                <w:i w:val="1"/>
                <w:iCs w:val="1"/>
                <w:color w:val="auto"/>
                <w:w w:val="90"/>
              </w:rPr>
              <w:t>(Address of principal executive offices)</w:t>
            </w:r>
          </w:p>
        </w:tc>
        <w:tc>
          <w:tcPr>
            <w:tcW w:w="2480" w:type="dxa"/>
            <w:vAlign w:val="bottom"/>
          </w:tcPr>
          <w:p>
            <w:pPr>
              <w:jc w:val="center"/>
              <w:ind w:left="1070"/>
              <w:spacing w:after="0"/>
              <w:rPr>
                <w:sz w:val="20"/>
                <w:szCs w:val="20"/>
                <w:color w:val="auto"/>
              </w:rPr>
            </w:pPr>
            <w:r>
              <w:rPr>
                <w:rFonts w:ascii="Arial" w:cs="Arial" w:eastAsia="Arial" w:hAnsi="Arial"/>
                <w:sz w:val="18"/>
                <w:szCs w:val="18"/>
                <w:i w:val="1"/>
                <w:iCs w:val="1"/>
                <w:color w:val="auto"/>
                <w:w w:val="94"/>
              </w:rPr>
              <w:t>(Zip Code)</w:t>
            </w:r>
          </w:p>
        </w:tc>
      </w:tr>
    </w:tbl>
    <w:p>
      <w:pPr>
        <w:spacing w:after="0" w:line="10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(313) 667-1500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67"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(Former name, former address and former fiscal year, if changed since last report)</w:t>
      </w:r>
    </w:p>
    <w:p>
      <w:pPr>
        <w:spacing w:after="0" w:line="5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96" w:lineRule="exact"/>
        <w:rPr>
          <w:sz w:val="24"/>
          <w:szCs w:val="24"/>
          <w:color w:val="auto"/>
        </w:rPr>
      </w:pPr>
    </w:p>
    <w:tbl>
      <w:tblPr>
        <w:tblLayout w:type="fixed"/>
        <w:tblInd w:w="1380" w:type="dxa"/>
        <w:tblCellMar>
          <w:top w:w="0" w:type="dxa"/>
          <w:left w:w="0" w:type="dxa"/>
          <w:bottom w:w="0" w:type="dxa"/>
          <w:right w:w="0" w:type="dxa"/>
        </w:tblCellMar>
      </w:tblPr>
      <w:tr>
        <w:trPr>
          <w:trHeight w:val="195"/>
        </w:trPr>
        <w:tc>
          <w:tcPr>
            <w:tcW w:w="500" w:type="dxa"/>
            <w:vAlign w:val="bottom"/>
          </w:tcPr>
          <w:p>
            <w:pPr>
              <w:spacing w:after="0"/>
              <w:rPr>
                <w:sz w:val="16"/>
                <w:szCs w:val="16"/>
                <w:color w:val="auto"/>
              </w:rPr>
            </w:pPr>
          </w:p>
        </w:tc>
        <w:tc>
          <w:tcPr>
            <w:tcW w:w="2420" w:type="dxa"/>
            <w:vAlign w:val="bottom"/>
            <w:gridSpan w:val="2"/>
          </w:tcPr>
          <w:p>
            <w:pPr>
              <w:jc w:val="center"/>
              <w:ind w:right="1180"/>
              <w:spacing w:after="0"/>
              <w:rPr>
                <w:sz w:val="20"/>
                <w:szCs w:val="20"/>
                <w:color w:val="auto"/>
              </w:rPr>
            </w:pPr>
            <w:r>
              <w:rPr>
                <w:rFonts w:ascii="Arial" w:cs="Arial" w:eastAsia="Arial" w:hAnsi="Arial"/>
                <w:sz w:val="17"/>
                <w:szCs w:val="17"/>
                <w:color w:val="auto"/>
                <w:w w:val="91"/>
              </w:rPr>
              <w:t>Title of each class</w:t>
            </w:r>
          </w:p>
        </w:tc>
        <w:tc>
          <w:tcPr>
            <w:tcW w:w="2940" w:type="dxa"/>
            <w:vAlign w:val="bottom"/>
            <w:gridSpan w:val="3"/>
          </w:tcPr>
          <w:p>
            <w:pPr>
              <w:jc w:val="center"/>
              <w:ind w:right="240"/>
              <w:spacing w:after="0"/>
              <w:rPr>
                <w:sz w:val="20"/>
                <w:szCs w:val="20"/>
                <w:color w:val="auto"/>
              </w:rPr>
            </w:pPr>
            <w:r>
              <w:rPr>
                <w:rFonts w:ascii="Arial" w:cs="Arial" w:eastAsia="Arial" w:hAnsi="Arial"/>
                <w:sz w:val="17"/>
                <w:szCs w:val="17"/>
                <w:color w:val="auto"/>
                <w:w w:val="93"/>
              </w:rPr>
              <w:t>Trading Symbol(s)</w:t>
            </w:r>
          </w:p>
        </w:tc>
        <w:tc>
          <w:tcPr>
            <w:tcW w:w="3060" w:type="dxa"/>
            <w:vAlign w:val="bottom"/>
          </w:tcPr>
          <w:p>
            <w:pPr>
              <w:jc w:val="center"/>
              <w:spacing w:after="0"/>
              <w:rPr>
                <w:sz w:val="20"/>
                <w:szCs w:val="20"/>
                <w:color w:val="auto"/>
              </w:rPr>
            </w:pPr>
            <w:r>
              <w:rPr>
                <w:rFonts w:ascii="Arial" w:cs="Arial" w:eastAsia="Arial" w:hAnsi="Arial"/>
                <w:sz w:val="17"/>
                <w:szCs w:val="17"/>
                <w:color w:val="auto"/>
                <w:w w:val="90"/>
              </w:rPr>
              <w:t>Name of each exchange on which registered</w:t>
            </w:r>
          </w:p>
        </w:tc>
      </w:tr>
      <w:tr>
        <w:trPr>
          <w:trHeight w:val="20"/>
        </w:trPr>
        <w:tc>
          <w:tcPr>
            <w:tcW w:w="5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60" w:type="dxa"/>
            <w:vAlign w:val="bottom"/>
            <w:shd w:val="clear" w:color="auto" w:fill="000000"/>
          </w:tcPr>
          <w:p>
            <w:pPr>
              <w:spacing w:after="0" w:line="20" w:lineRule="exact"/>
              <w:rPr>
                <w:sz w:val="1"/>
                <w:szCs w:val="1"/>
                <w:color w:val="auto"/>
              </w:rPr>
            </w:pPr>
          </w:p>
        </w:tc>
      </w:tr>
      <w:tr>
        <w:trPr>
          <w:trHeight w:val="275"/>
        </w:trPr>
        <w:tc>
          <w:tcPr>
            <w:tcW w:w="2920" w:type="dxa"/>
            <w:vAlign w:val="bottom"/>
            <w:gridSpan w:val="3"/>
          </w:tcPr>
          <w:p>
            <w:pPr>
              <w:jc w:val="center"/>
              <w:ind w:right="680"/>
              <w:spacing w:after="0"/>
              <w:rPr>
                <w:sz w:val="20"/>
                <w:szCs w:val="20"/>
                <w:color w:val="auto"/>
              </w:rPr>
            </w:pPr>
            <w:r>
              <w:rPr>
                <w:rFonts w:ascii="Arial" w:cs="Arial" w:eastAsia="Arial" w:hAnsi="Arial"/>
                <w:sz w:val="17"/>
                <w:szCs w:val="17"/>
                <w:color w:val="auto"/>
                <w:w w:val="92"/>
              </w:rPr>
              <w:t>Common Stock, $0.01 par value</w:t>
            </w:r>
          </w:p>
        </w:tc>
        <w:tc>
          <w:tcPr>
            <w:tcW w:w="700" w:type="dxa"/>
            <w:vAlign w:val="bottom"/>
          </w:tcPr>
          <w:p>
            <w:pPr>
              <w:spacing w:after="0"/>
              <w:rPr>
                <w:sz w:val="23"/>
                <w:szCs w:val="23"/>
                <w:color w:val="auto"/>
              </w:rPr>
            </w:pPr>
          </w:p>
        </w:tc>
        <w:tc>
          <w:tcPr>
            <w:tcW w:w="2240" w:type="dxa"/>
            <w:vAlign w:val="bottom"/>
            <w:gridSpan w:val="2"/>
          </w:tcPr>
          <w:p>
            <w:pPr>
              <w:jc w:val="center"/>
              <w:ind w:right="960"/>
              <w:spacing w:after="0"/>
              <w:rPr>
                <w:sz w:val="20"/>
                <w:szCs w:val="20"/>
                <w:color w:val="auto"/>
              </w:rPr>
            </w:pPr>
            <w:r>
              <w:rPr>
                <w:rFonts w:ascii="Arial" w:cs="Arial" w:eastAsia="Arial" w:hAnsi="Arial"/>
                <w:sz w:val="17"/>
                <w:szCs w:val="17"/>
                <w:color w:val="auto"/>
              </w:rPr>
              <w:t>GM</w:t>
            </w:r>
          </w:p>
        </w:tc>
        <w:tc>
          <w:tcPr>
            <w:tcW w:w="3060" w:type="dxa"/>
            <w:vAlign w:val="bottom"/>
          </w:tcPr>
          <w:p>
            <w:pPr>
              <w:jc w:val="center"/>
              <w:spacing w:after="0"/>
              <w:rPr>
                <w:sz w:val="20"/>
                <w:szCs w:val="20"/>
                <w:color w:val="auto"/>
              </w:rPr>
            </w:pPr>
            <w:r>
              <w:rPr>
                <w:rFonts w:ascii="Arial" w:cs="Arial" w:eastAsia="Arial" w:hAnsi="Arial"/>
                <w:sz w:val="17"/>
                <w:szCs w:val="17"/>
                <w:color w:val="auto"/>
                <w:w w:val="92"/>
              </w:rPr>
              <w:t>New York Stock Exchange</w:t>
            </w:r>
          </w:p>
        </w:tc>
      </w:tr>
    </w:tbl>
    <w:p>
      <w:pPr>
        <w:spacing w:after="0" w:line="145" w:lineRule="exact"/>
        <w:rPr>
          <w:sz w:val="24"/>
          <w:szCs w:val="24"/>
          <w:color w:val="auto"/>
        </w:rPr>
      </w:pPr>
    </w:p>
    <w:p>
      <w:pPr>
        <w:jc w:val="both"/>
        <w:ind w:firstLine="121"/>
        <w:spacing w:after="0" w:line="219"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74" w:lineRule="exact"/>
        <w:rPr>
          <w:sz w:val="24"/>
          <w:szCs w:val="24"/>
          <w:color w:val="auto"/>
        </w:rPr>
      </w:pPr>
    </w:p>
    <w:p>
      <w:pPr>
        <w:jc w:val="both"/>
        <w:ind w:firstLine="121"/>
        <w:spacing w:after="0" w:line="219"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74" w:lineRule="exact"/>
        <w:rPr>
          <w:sz w:val="24"/>
          <w:szCs w:val="24"/>
          <w:color w:val="auto"/>
        </w:rPr>
      </w:pPr>
    </w:p>
    <w:p>
      <w:pPr>
        <w:jc w:val="both"/>
        <w:ind w:firstLine="81"/>
        <w:spacing w:after="0" w:line="263"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4" w:lineRule="exact"/>
        <w:rPr>
          <w:sz w:val="24"/>
          <w:szCs w:val="24"/>
          <w:color w:val="auto"/>
        </w:rPr>
      </w:pPr>
    </w:p>
    <w:p>
      <w:pPr>
        <w:ind w:left="120"/>
        <w:spacing w:after="0" w:line="196"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7"/>
          <w:szCs w:val="17"/>
          <w:color w:val="auto"/>
        </w:rPr>
        <w:t>☑</w:t>
      </w:r>
      <w:r>
        <w:rPr>
          <w:rFonts w:ascii="Arial" w:cs="Arial" w:eastAsia="Arial" w:hAnsi="Arial"/>
          <w:sz w:val="16"/>
          <w:szCs w:val="16"/>
          <w:color w:val="auto"/>
        </w:rPr>
        <w:t xml:space="preserve"> Accelerated filer </w:t>
      </w:r>
      <w:r>
        <w:rPr>
          <w:rFonts w:ascii="MS PGothic" w:cs="MS PGothic" w:eastAsia="MS PGothic" w:hAnsi="MS PGothic"/>
          <w:sz w:val="17"/>
          <w:szCs w:val="17"/>
          <w:color w:val="auto"/>
        </w:rPr>
        <w:t>☐</w:t>
      </w:r>
      <w:r>
        <w:rPr>
          <w:rFonts w:ascii="Arial" w:cs="Arial" w:eastAsia="Arial" w:hAnsi="Arial"/>
          <w:sz w:val="16"/>
          <w:szCs w:val="16"/>
          <w:color w:val="auto"/>
        </w:rPr>
        <w:t xml:space="preserve"> Non-accelerated filer </w:t>
      </w:r>
      <w:r>
        <w:rPr>
          <w:rFonts w:ascii="MS PGothic" w:cs="MS PGothic" w:eastAsia="MS PGothic" w:hAnsi="MS PGothic"/>
          <w:sz w:val="17"/>
          <w:szCs w:val="17"/>
          <w:color w:val="auto"/>
        </w:rPr>
        <w:t>☐</w:t>
      </w:r>
      <w:r>
        <w:rPr>
          <w:rFonts w:ascii="Arial" w:cs="Arial" w:eastAsia="Arial" w:hAnsi="Arial"/>
          <w:sz w:val="16"/>
          <w:szCs w:val="16"/>
          <w:color w:val="auto"/>
        </w:rPr>
        <w:t xml:space="preserve"> Smaller reporting company </w:t>
      </w:r>
      <w:r>
        <w:rPr>
          <w:rFonts w:ascii="MS PGothic" w:cs="MS PGothic" w:eastAsia="MS PGothic" w:hAnsi="MS PGothic"/>
          <w:sz w:val="17"/>
          <w:szCs w:val="17"/>
          <w:color w:val="auto"/>
        </w:rPr>
        <w:t>☐</w:t>
      </w:r>
      <w:r>
        <w:rPr>
          <w:rFonts w:ascii="Arial" w:cs="Arial" w:eastAsia="Arial" w:hAnsi="Arial"/>
          <w:sz w:val="16"/>
          <w:szCs w:val="16"/>
          <w:color w:val="auto"/>
        </w:rPr>
        <w:t xml:space="preserve"> Emerging growth company </w:t>
      </w:r>
      <w:r>
        <w:rPr>
          <w:rFonts w:ascii="MS PGothic" w:cs="MS PGothic" w:eastAsia="MS PGothic" w:hAnsi="MS PGothic"/>
          <w:sz w:val="17"/>
          <w:szCs w:val="17"/>
          <w:color w:val="auto"/>
        </w:rPr>
        <w:t>☐</w:t>
      </w:r>
    </w:p>
    <w:p>
      <w:pPr>
        <w:spacing w:after="0" w:line="134" w:lineRule="exact"/>
        <w:rPr>
          <w:sz w:val="24"/>
          <w:szCs w:val="24"/>
          <w:color w:val="auto"/>
        </w:rPr>
      </w:pPr>
    </w:p>
    <w:p>
      <w:pPr>
        <w:jc w:val="both"/>
        <w:ind w:firstLine="81"/>
        <w:spacing w:after="0" w:line="227"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55" w:lineRule="exact"/>
        <w:rPr>
          <w:sz w:val="24"/>
          <w:szCs w:val="24"/>
          <w:color w:val="auto"/>
        </w:rPr>
      </w:pPr>
    </w:p>
    <w:p>
      <w:pPr>
        <w:ind w:left="80" w:right="2180"/>
        <w:spacing w:after="0" w:line="281"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July 15, 2020 there were 1,431,096,512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764540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500" w:type="dxa"/>
            <w:vAlign w:val="bottom"/>
          </w:tcPr>
          <w:p>
            <w:pPr>
              <w:jc w:val="center"/>
              <w:ind w:left="1670"/>
              <w:spacing w:after="0"/>
              <w:rPr>
                <w:sz w:val="20"/>
                <w:szCs w:val="20"/>
                <w:color w:val="auto"/>
              </w:rPr>
            </w:pPr>
            <w:r>
              <w:rPr>
                <w:rFonts w:ascii="Arial" w:cs="Arial" w:eastAsia="Arial" w:hAnsi="Arial"/>
                <w:sz w:val="18"/>
                <w:szCs w:val="18"/>
                <w:b w:val="1"/>
                <w:bCs w:val="1"/>
                <w:color w:val="auto"/>
              </w:rPr>
              <w:t>INDEX</w:t>
            </w:r>
          </w:p>
        </w:tc>
      </w:tr>
      <w:tr>
        <w:trPr>
          <w:trHeight w:val="634"/>
        </w:trPr>
        <w:tc>
          <w:tcPr>
            <w:tcW w:w="8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500" w:type="dxa"/>
            <w:vAlign w:val="bottom"/>
          </w:tcPr>
          <w:p>
            <w:pPr>
              <w:jc w:val="center"/>
              <w:ind w:left="1630"/>
              <w:spacing w:after="0"/>
              <w:rPr>
                <w:sz w:val="20"/>
                <w:szCs w:val="20"/>
                <w:color w:val="auto"/>
              </w:rPr>
            </w:pPr>
            <w:r>
              <w:rPr>
                <w:rFonts w:ascii="Arial" w:cs="Arial" w:eastAsia="Arial" w:hAnsi="Arial"/>
                <w:sz w:val="18"/>
                <w:szCs w:val="18"/>
                <w:b w:val="1"/>
                <w:bCs w:val="1"/>
                <w:color w:val="auto"/>
                <w:w w:val="98"/>
              </w:rPr>
              <w:t>PART I</w:t>
            </w: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Item 1.</w:t>
            </w:r>
          </w:p>
        </w:tc>
        <w:tc>
          <w:tcPr>
            <w:tcW w:w="6620" w:type="dxa"/>
            <w:vAlign w:val="bottom"/>
            <w:gridSpan w:val="2"/>
          </w:tcPr>
          <w:p>
            <w:pPr>
              <w:ind w:left="160"/>
              <w:spacing w:after="0"/>
              <w:rPr>
                <w:sz w:val="20"/>
                <w:szCs w:val="20"/>
                <w:color w:val="auto"/>
              </w:rPr>
            </w:pPr>
            <w:r>
              <w:rPr>
                <w:rFonts w:ascii="Arial" w:cs="Arial" w:eastAsia="Arial" w:hAnsi="Arial"/>
                <w:sz w:val="18"/>
                <w:szCs w:val="18"/>
                <w:color w:val="auto"/>
              </w:rPr>
              <w:t>Condensed Consolidated Financial Statements</w:t>
            </w:r>
          </w:p>
        </w:tc>
      </w:tr>
      <w:tr>
        <w:trPr>
          <w:trHeight w:val="270"/>
        </w:trPr>
        <w:tc>
          <w:tcPr>
            <w:tcW w:w="860" w:type="dxa"/>
            <w:vAlign w:val="bottom"/>
          </w:tcPr>
          <w:p>
            <w:pPr>
              <w:spacing w:after="0"/>
              <w:rPr>
                <w:sz w:val="23"/>
                <w:szCs w:val="23"/>
                <w:color w:val="auto"/>
              </w:rPr>
            </w:pPr>
          </w:p>
        </w:tc>
        <w:tc>
          <w:tcPr>
            <w:tcW w:w="6620" w:type="dxa"/>
            <w:vAlign w:val="bottom"/>
            <w:gridSpan w:val="2"/>
          </w:tcPr>
          <w:p>
            <w:pPr>
              <w:ind w:left="160"/>
              <w:spacing w:after="0"/>
              <w:rPr>
                <w:sz w:val="20"/>
                <w:szCs w:val="20"/>
                <w:color w:val="auto"/>
              </w:rPr>
            </w:pPr>
            <w:r>
              <w:rPr>
                <w:rFonts w:ascii="Arial" w:cs="Arial" w:eastAsia="Arial" w:hAnsi="Arial"/>
                <w:sz w:val="18"/>
                <w:szCs w:val="18"/>
                <w:color w:val="auto"/>
              </w:rPr>
              <w:t>Condensed Consolidated Income Statements (Unaudited)</w:t>
            </w:r>
          </w:p>
        </w:tc>
      </w:tr>
      <w:tr>
        <w:trPr>
          <w:trHeight w:val="270"/>
        </w:trPr>
        <w:tc>
          <w:tcPr>
            <w:tcW w:w="860" w:type="dxa"/>
            <w:vAlign w:val="bottom"/>
          </w:tcPr>
          <w:p>
            <w:pPr>
              <w:spacing w:after="0"/>
              <w:rPr>
                <w:sz w:val="23"/>
                <w:szCs w:val="23"/>
                <w:color w:val="auto"/>
              </w:rPr>
            </w:pPr>
          </w:p>
        </w:tc>
        <w:tc>
          <w:tcPr>
            <w:tcW w:w="6620" w:type="dxa"/>
            <w:vAlign w:val="bottom"/>
            <w:gridSpan w:val="2"/>
          </w:tcPr>
          <w:p>
            <w:pPr>
              <w:ind w:left="160"/>
              <w:spacing w:after="0"/>
              <w:rPr>
                <w:sz w:val="20"/>
                <w:szCs w:val="20"/>
                <w:color w:val="auto"/>
              </w:rPr>
            </w:pPr>
            <w:r>
              <w:rPr>
                <w:rFonts w:ascii="Arial" w:cs="Arial" w:eastAsia="Arial" w:hAnsi="Arial"/>
                <w:sz w:val="18"/>
                <w:szCs w:val="18"/>
                <w:color w:val="auto"/>
              </w:rPr>
              <w:t>Condensed Consolidated Statements of Comprehensive Income (Unaudited)</w:t>
            </w:r>
          </w:p>
        </w:tc>
      </w:tr>
      <w:tr>
        <w:trPr>
          <w:trHeight w:val="270"/>
        </w:trPr>
        <w:tc>
          <w:tcPr>
            <w:tcW w:w="860" w:type="dxa"/>
            <w:vAlign w:val="bottom"/>
          </w:tcPr>
          <w:p>
            <w:pPr>
              <w:spacing w:after="0"/>
              <w:rPr>
                <w:sz w:val="23"/>
                <w:szCs w:val="23"/>
                <w:color w:val="auto"/>
              </w:rPr>
            </w:pPr>
          </w:p>
        </w:tc>
        <w:tc>
          <w:tcPr>
            <w:tcW w:w="6620" w:type="dxa"/>
            <w:vAlign w:val="bottom"/>
            <w:gridSpan w:val="2"/>
          </w:tcPr>
          <w:p>
            <w:pPr>
              <w:ind w:left="160"/>
              <w:spacing w:after="0"/>
              <w:rPr>
                <w:sz w:val="20"/>
                <w:szCs w:val="20"/>
                <w:color w:val="auto"/>
              </w:rPr>
            </w:pPr>
            <w:r>
              <w:rPr>
                <w:rFonts w:ascii="Arial" w:cs="Arial" w:eastAsia="Arial" w:hAnsi="Arial"/>
                <w:sz w:val="18"/>
                <w:szCs w:val="18"/>
                <w:color w:val="auto"/>
              </w:rPr>
              <w:t>Condensed Consolidated Balance Sheets (Unaudited)</w:t>
            </w:r>
          </w:p>
        </w:tc>
      </w:tr>
      <w:tr>
        <w:trPr>
          <w:trHeight w:val="270"/>
        </w:trPr>
        <w:tc>
          <w:tcPr>
            <w:tcW w:w="860" w:type="dxa"/>
            <w:vAlign w:val="bottom"/>
          </w:tcPr>
          <w:p>
            <w:pPr>
              <w:spacing w:after="0"/>
              <w:rPr>
                <w:sz w:val="23"/>
                <w:szCs w:val="23"/>
                <w:color w:val="auto"/>
              </w:rPr>
            </w:pPr>
          </w:p>
        </w:tc>
        <w:tc>
          <w:tcPr>
            <w:tcW w:w="6620" w:type="dxa"/>
            <w:vAlign w:val="bottom"/>
            <w:gridSpan w:val="2"/>
          </w:tcPr>
          <w:p>
            <w:pPr>
              <w:ind w:left="160"/>
              <w:spacing w:after="0"/>
              <w:rPr>
                <w:sz w:val="20"/>
                <w:szCs w:val="20"/>
                <w:color w:val="auto"/>
              </w:rPr>
            </w:pPr>
            <w:r>
              <w:rPr>
                <w:rFonts w:ascii="Arial" w:cs="Arial" w:eastAsia="Arial" w:hAnsi="Arial"/>
                <w:sz w:val="18"/>
                <w:szCs w:val="18"/>
                <w:color w:val="auto"/>
              </w:rPr>
              <w:t>Condensed Consolidated Statements of Cash Flows (Unaudited)</w:t>
            </w:r>
          </w:p>
        </w:tc>
      </w:tr>
      <w:tr>
        <w:trPr>
          <w:trHeight w:val="270"/>
        </w:trPr>
        <w:tc>
          <w:tcPr>
            <w:tcW w:w="860" w:type="dxa"/>
            <w:vAlign w:val="bottom"/>
          </w:tcPr>
          <w:p>
            <w:pPr>
              <w:spacing w:after="0"/>
              <w:rPr>
                <w:sz w:val="23"/>
                <w:szCs w:val="23"/>
                <w:color w:val="auto"/>
              </w:rPr>
            </w:pPr>
          </w:p>
        </w:tc>
        <w:tc>
          <w:tcPr>
            <w:tcW w:w="6620" w:type="dxa"/>
            <w:vAlign w:val="bottom"/>
            <w:gridSpan w:val="2"/>
          </w:tcPr>
          <w:p>
            <w:pPr>
              <w:ind w:left="160"/>
              <w:spacing w:after="0"/>
              <w:rPr>
                <w:sz w:val="20"/>
                <w:szCs w:val="20"/>
                <w:color w:val="auto"/>
              </w:rPr>
            </w:pPr>
            <w:r>
              <w:rPr>
                <w:rFonts w:ascii="Arial" w:cs="Arial" w:eastAsia="Arial" w:hAnsi="Arial"/>
                <w:sz w:val="18"/>
                <w:szCs w:val="18"/>
                <w:color w:val="auto"/>
              </w:rPr>
              <w:t>Condensed Consolidated Statements of Equity (Unaudited)</w:t>
            </w:r>
          </w:p>
        </w:tc>
      </w:tr>
      <w:tr>
        <w:trPr>
          <w:trHeight w:val="270"/>
        </w:trPr>
        <w:tc>
          <w:tcPr>
            <w:tcW w:w="860" w:type="dxa"/>
            <w:vAlign w:val="bottom"/>
          </w:tcPr>
          <w:p>
            <w:pPr>
              <w:spacing w:after="0"/>
              <w:rPr>
                <w:sz w:val="23"/>
                <w:szCs w:val="23"/>
                <w:color w:val="auto"/>
              </w:rPr>
            </w:pPr>
          </w:p>
        </w:tc>
        <w:tc>
          <w:tcPr>
            <w:tcW w:w="6620" w:type="dxa"/>
            <w:vAlign w:val="bottom"/>
            <w:gridSpan w:val="2"/>
          </w:tcPr>
          <w:p>
            <w:pPr>
              <w:ind w:left="160"/>
              <w:spacing w:after="0"/>
              <w:rPr>
                <w:sz w:val="20"/>
                <w:szCs w:val="20"/>
                <w:color w:val="auto"/>
              </w:rPr>
            </w:pPr>
            <w:r>
              <w:rPr>
                <w:rFonts w:ascii="Arial" w:cs="Arial" w:eastAsia="Arial" w:hAnsi="Arial"/>
                <w:sz w:val="18"/>
                <w:szCs w:val="18"/>
                <w:color w:val="auto"/>
              </w:rPr>
              <w:t>Notes to Condensed Consolidated Financial Statements</w:t>
            </w:r>
          </w:p>
        </w:tc>
      </w:tr>
      <w:tr>
        <w:trPr>
          <w:trHeight w:val="270"/>
        </w:trPr>
        <w:tc>
          <w:tcPr>
            <w:tcW w:w="860" w:type="dxa"/>
            <w:vAlign w:val="bottom"/>
          </w:tcPr>
          <w:p>
            <w:pPr>
              <w:spacing w:after="0"/>
              <w:rPr>
                <w:sz w:val="23"/>
                <w:szCs w:val="23"/>
                <w:color w:val="auto"/>
              </w:rPr>
            </w:pPr>
          </w:p>
        </w:tc>
        <w:tc>
          <w:tcPr>
            <w:tcW w:w="1120" w:type="dxa"/>
            <w:vAlign w:val="bottom"/>
          </w:tcPr>
          <w:p>
            <w:pPr>
              <w:ind w:left="260"/>
              <w:spacing w:after="0"/>
              <w:rPr>
                <w:sz w:val="20"/>
                <w:szCs w:val="20"/>
                <w:color w:val="auto"/>
              </w:rPr>
            </w:pPr>
            <w:r>
              <w:rPr>
                <w:rFonts w:ascii="Arial" w:cs="Arial" w:eastAsia="Arial" w:hAnsi="Arial"/>
                <w:sz w:val="18"/>
                <w:szCs w:val="18"/>
                <w:color w:val="auto"/>
              </w:rPr>
              <w:t>Note 1.</w:t>
            </w:r>
          </w:p>
        </w:tc>
        <w:tc>
          <w:tcPr>
            <w:tcW w:w="5500" w:type="dxa"/>
            <w:vAlign w:val="bottom"/>
          </w:tcPr>
          <w:p>
            <w:pPr>
              <w:ind w:left="60"/>
              <w:spacing w:after="0"/>
              <w:rPr>
                <w:sz w:val="20"/>
                <w:szCs w:val="20"/>
                <w:color w:val="auto"/>
              </w:rPr>
            </w:pPr>
            <w:r>
              <w:rPr>
                <w:rFonts w:ascii="Arial" w:cs="Arial" w:eastAsia="Arial" w:hAnsi="Arial"/>
                <w:sz w:val="18"/>
                <w:szCs w:val="18"/>
                <w:color w:val="auto"/>
              </w:rPr>
              <w:t>Nature of Operations and Basis of Presentation</w:t>
            </w:r>
          </w:p>
        </w:tc>
      </w:tr>
      <w:tr>
        <w:trPr>
          <w:trHeight w:val="270"/>
        </w:trPr>
        <w:tc>
          <w:tcPr>
            <w:tcW w:w="860" w:type="dxa"/>
            <w:vAlign w:val="bottom"/>
          </w:tcPr>
          <w:p>
            <w:pPr>
              <w:spacing w:after="0"/>
              <w:rPr>
                <w:sz w:val="23"/>
                <w:szCs w:val="23"/>
                <w:color w:val="auto"/>
              </w:rPr>
            </w:pPr>
          </w:p>
        </w:tc>
        <w:tc>
          <w:tcPr>
            <w:tcW w:w="1120" w:type="dxa"/>
            <w:vAlign w:val="bottom"/>
          </w:tcPr>
          <w:p>
            <w:pPr>
              <w:ind w:left="260"/>
              <w:spacing w:after="0"/>
              <w:rPr>
                <w:sz w:val="20"/>
                <w:szCs w:val="20"/>
                <w:color w:val="auto"/>
              </w:rPr>
            </w:pPr>
            <w:r>
              <w:rPr>
                <w:rFonts w:ascii="Arial" w:cs="Arial" w:eastAsia="Arial" w:hAnsi="Arial"/>
                <w:sz w:val="18"/>
                <w:szCs w:val="18"/>
                <w:color w:val="auto"/>
              </w:rPr>
              <w:t>Note 2.</w:t>
            </w:r>
          </w:p>
        </w:tc>
        <w:tc>
          <w:tcPr>
            <w:tcW w:w="5500" w:type="dxa"/>
            <w:vAlign w:val="bottom"/>
          </w:tcPr>
          <w:p>
            <w:pPr>
              <w:ind w:left="60"/>
              <w:spacing w:after="0"/>
              <w:rPr>
                <w:sz w:val="20"/>
                <w:szCs w:val="20"/>
                <w:color w:val="auto"/>
              </w:rPr>
            </w:pPr>
            <w:r>
              <w:rPr>
                <w:rFonts w:ascii="Arial" w:cs="Arial" w:eastAsia="Arial" w:hAnsi="Arial"/>
                <w:sz w:val="18"/>
                <w:szCs w:val="18"/>
                <w:color w:val="auto"/>
              </w:rPr>
              <w:t>Significant Accounting Policies</w:t>
            </w:r>
          </w:p>
        </w:tc>
      </w:tr>
      <w:tr>
        <w:trPr>
          <w:trHeight w:val="270"/>
        </w:trPr>
        <w:tc>
          <w:tcPr>
            <w:tcW w:w="860" w:type="dxa"/>
            <w:vAlign w:val="bottom"/>
          </w:tcPr>
          <w:p>
            <w:pPr>
              <w:spacing w:after="0"/>
              <w:rPr>
                <w:sz w:val="23"/>
                <w:szCs w:val="23"/>
                <w:color w:val="auto"/>
              </w:rPr>
            </w:pPr>
          </w:p>
        </w:tc>
        <w:tc>
          <w:tcPr>
            <w:tcW w:w="1120" w:type="dxa"/>
            <w:vAlign w:val="bottom"/>
          </w:tcPr>
          <w:p>
            <w:pPr>
              <w:ind w:left="260"/>
              <w:spacing w:after="0"/>
              <w:rPr>
                <w:sz w:val="20"/>
                <w:szCs w:val="20"/>
                <w:color w:val="auto"/>
              </w:rPr>
            </w:pPr>
            <w:r>
              <w:rPr>
                <w:rFonts w:ascii="Arial" w:cs="Arial" w:eastAsia="Arial" w:hAnsi="Arial"/>
                <w:sz w:val="18"/>
                <w:szCs w:val="18"/>
                <w:color w:val="auto"/>
              </w:rPr>
              <w:t>Note 3.</w:t>
            </w:r>
          </w:p>
        </w:tc>
        <w:tc>
          <w:tcPr>
            <w:tcW w:w="5500" w:type="dxa"/>
            <w:vAlign w:val="bottom"/>
          </w:tcPr>
          <w:p>
            <w:pPr>
              <w:ind w:left="60"/>
              <w:spacing w:after="0"/>
              <w:rPr>
                <w:sz w:val="20"/>
                <w:szCs w:val="20"/>
                <w:color w:val="auto"/>
              </w:rPr>
            </w:pPr>
            <w:r>
              <w:rPr>
                <w:rFonts w:ascii="Arial" w:cs="Arial" w:eastAsia="Arial" w:hAnsi="Arial"/>
                <w:sz w:val="18"/>
                <w:szCs w:val="18"/>
                <w:color w:val="auto"/>
              </w:rPr>
              <w:t>Revenue</w:t>
            </w:r>
          </w:p>
        </w:tc>
      </w:tr>
      <w:tr>
        <w:trPr>
          <w:trHeight w:val="270"/>
        </w:trPr>
        <w:tc>
          <w:tcPr>
            <w:tcW w:w="860" w:type="dxa"/>
            <w:vAlign w:val="bottom"/>
          </w:tcPr>
          <w:p>
            <w:pPr>
              <w:spacing w:after="0"/>
              <w:rPr>
                <w:sz w:val="23"/>
                <w:szCs w:val="23"/>
                <w:color w:val="auto"/>
              </w:rPr>
            </w:pPr>
          </w:p>
        </w:tc>
        <w:tc>
          <w:tcPr>
            <w:tcW w:w="1120" w:type="dxa"/>
            <w:vAlign w:val="bottom"/>
          </w:tcPr>
          <w:p>
            <w:pPr>
              <w:ind w:left="260"/>
              <w:spacing w:after="0"/>
              <w:rPr>
                <w:sz w:val="20"/>
                <w:szCs w:val="20"/>
                <w:color w:val="auto"/>
              </w:rPr>
            </w:pPr>
            <w:r>
              <w:rPr>
                <w:rFonts w:ascii="Arial" w:cs="Arial" w:eastAsia="Arial" w:hAnsi="Arial"/>
                <w:sz w:val="18"/>
                <w:szCs w:val="18"/>
                <w:color w:val="auto"/>
              </w:rPr>
              <w:t>Note 4.</w:t>
            </w:r>
          </w:p>
        </w:tc>
        <w:tc>
          <w:tcPr>
            <w:tcW w:w="5500" w:type="dxa"/>
            <w:vAlign w:val="bottom"/>
          </w:tcPr>
          <w:p>
            <w:pPr>
              <w:ind w:left="60"/>
              <w:spacing w:after="0"/>
              <w:rPr>
                <w:sz w:val="20"/>
                <w:szCs w:val="20"/>
                <w:color w:val="auto"/>
              </w:rPr>
            </w:pPr>
            <w:r>
              <w:rPr>
                <w:rFonts w:ascii="Arial" w:cs="Arial" w:eastAsia="Arial" w:hAnsi="Arial"/>
                <w:sz w:val="18"/>
                <w:szCs w:val="18"/>
                <w:color w:val="auto"/>
              </w:rPr>
              <w:t>Marketable and Other Securities</w:t>
            </w:r>
          </w:p>
        </w:tc>
      </w:tr>
      <w:tr>
        <w:trPr>
          <w:trHeight w:val="270"/>
        </w:trPr>
        <w:tc>
          <w:tcPr>
            <w:tcW w:w="860" w:type="dxa"/>
            <w:vAlign w:val="bottom"/>
          </w:tcPr>
          <w:p>
            <w:pPr>
              <w:spacing w:after="0"/>
              <w:rPr>
                <w:sz w:val="23"/>
                <w:szCs w:val="23"/>
                <w:color w:val="auto"/>
              </w:rPr>
            </w:pPr>
          </w:p>
        </w:tc>
        <w:tc>
          <w:tcPr>
            <w:tcW w:w="1120" w:type="dxa"/>
            <w:vAlign w:val="bottom"/>
          </w:tcPr>
          <w:p>
            <w:pPr>
              <w:ind w:left="260"/>
              <w:spacing w:after="0"/>
              <w:rPr>
                <w:sz w:val="20"/>
                <w:szCs w:val="20"/>
                <w:color w:val="auto"/>
              </w:rPr>
            </w:pPr>
            <w:r>
              <w:rPr>
                <w:rFonts w:ascii="Arial" w:cs="Arial" w:eastAsia="Arial" w:hAnsi="Arial"/>
                <w:sz w:val="18"/>
                <w:szCs w:val="18"/>
                <w:color w:val="auto"/>
              </w:rPr>
              <w:t>Note 5.</w:t>
            </w:r>
          </w:p>
        </w:tc>
        <w:tc>
          <w:tcPr>
            <w:tcW w:w="5500" w:type="dxa"/>
            <w:vAlign w:val="bottom"/>
          </w:tcPr>
          <w:p>
            <w:pPr>
              <w:ind w:left="60"/>
              <w:spacing w:after="0"/>
              <w:rPr>
                <w:sz w:val="20"/>
                <w:szCs w:val="20"/>
                <w:color w:val="auto"/>
              </w:rPr>
            </w:pPr>
            <w:r>
              <w:rPr>
                <w:rFonts w:ascii="Arial" w:cs="Arial" w:eastAsia="Arial" w:hAnsi="Arial"/>
                <w:sz w:val="18"/>
                <w:szCs w:val="18"/>
                <w:color w:val="auto"/>
              </w:rPr>
              <w:t>GM Financial Receivables and Transactions</w:t>
            </w:r>
          </w:p>
        </w:tc>
      </w:tr>
      <w:tr>
        <w:trPr>
          <w:trHeight w:val="270"/>
        </w:trPr>
        <w:tc>
          <w:tcPr>
            <w:tcW w:w="860" w:type="dxa"/>
            <w:vAlign w:val="bottom"/>
          </w:tcPr>
          <w:p>
            <w:pPr>
              <w:spacing w:after="0"/>
              <w:rPr>
                <w:sz w:val="23"/>
                <w:szCs w:val="23"/>
                <w:color w:val="auto"/>
              </w:rPr>
            </w:pPr>
          </w:p>
        </w:tc>
        <w:tc>
          <w:tcPr>
            <w:tcW w:w="1120" w:type="dxa"/>
            <w:vAlign w:val="bottom"/>
          </w:tcPr>
          <w:p>
            <w:pPr>
              <w:ind w:left="260"/>
              <w:spacing w:after="0"/>
              <w:rPr>
                <w:sz w:val="20"/>
                <w:szCs w:val="20"/>
                <w:color w:val="auto"/>
              </w:rPr>
            </w:pPr>
            <w:r>
              <w:rPr>
                <w:rFonts w:ascii="Arial" w:cs="Arial" w:eastAsia="Arial" w:hAnsi="Arial"/>
                <w:sz w:val="18"/>
                <w:szCs w:val="18"/>
                <w:color w:val="auto"/>
              </w:rPr>
              <w:t>Note 6.</w:t>
            </w:r>
          </w:p>
        </w:tc>
        <w:tc>
          <w:tcPr>
            <w:tcW w:w="5500" w:type="dxa"/>
            <w:vAlign w:val="bottom"/>
          </w:tcPr>
          <w:p>
            <w:pPr>
              <w:ind w:left="60"/>
              <w:spacing w:after="0"/>
              <w:rPr>
                <w:sz w:val="20"/>
                <w:szCs w:val="20"/>
                <w:color w:val="auto"/>
              </w:rPr>
            </w:pPr>
            <w:r>
              <w:rPr>
                <w:rFonts w:ascii="Arial" w:cs="Arial" w:eastAsia="Arial" w:hAnsi="Arial"/>
                <w:sz w:val="18"/>
                <w:szCs w:val="18"/>
                <w:color w:val="auto"/>
              </w:rPr>
              <w:t>Inventories</w:t>
            </w:r>
          </w:p>
        </w:tc>
      </w:tr>
      <w:tr>
        <w:trPr>
          <w:trHeight w:val="270"/>
        </w:trPr>
        <w:tc>
          <w:tcPr>
            <w:tcW w:w="860" w:type="dxa"/>
            <w:vAlign w:val="bottom"/>
          </w:tcPr>
          <w:p>
            <w:pPr>
              <w:spacing w:after="0"/>
              <w:rPr>
                <w:sz w:val="23"/>
                <w:szCs w:val="23"/>
                <w:color w:val="auto"/>
              </w:rPr>
            </w:pPr>
          </w:p>
        </w:tc>
        <w:tc>
          <w:tcPr>
            <w:tcW w:w="1120" w:type="dxa"/>
            <w:vAlign w:val="bottom"/>
          </w:tcPr>
          <w:p>
            <w:pPr>
              <w:ind w:left="260"/>
              <w:spacing w:after="0"/>
              <w:rPr>
                <w:sz w:val="20"/>
                <w:szCs w:val="20"/>
                <w:color w:val="auto"/>
              </w:rPr>
            </w:pPr>
            <w:r>
              <w:rPr>
                <w:rFonts w:ascii="Arial" w:cs="Arial" w:eastAsia="Arial" w:hAnsi="Arial"/>
                <w:sz w:val="18"/>
                <w:szCs w:val="18"/>
                <w:color w:val="auto"/>
              </w:rPr>
              <w:t>Note 7.</w:t>
            </w:r>
          </w:p>
        </w:tc>
        <w:tc>
          <w:tcPr>
            <w:tcW w:w="5500" w:type="dxa"/>
            <w:vAlign w:val="bottom"/>
          </w:tcPr>
          <w:p>
            <w:pPr>
              <w:ind w:left="60"/>
              <w:spacing w:after="0"/>
              <w:rPr>
                <w:sz w:val="20"/>
                <w:szCs w:val="20"/>
                <w:color w:val="auto"/>
              </w:rPr>
            </w:pPr>
            <w:r>
              <w:rPr>
                <w:rFonts w:ascii="Arial" w:cs="Arial" w:eastAsia="Arial" w:hAnsi="Arial"/>
                <w:sz w:val="18"/>
                <w:szCs w:val="18"/>
                <w:color w:val="auto"/>
              </w:rPr>
              <w:t>Equipment on Operating Leases</w:t>
            </w:r>
          </w:p>
        </w:tc>
      </w:tr>
      <w:tr>
        <w:trPr>
          <w:trHeight w:val="270"/>
        </w:trPr>
        <w:tc>
          <w:tcPr>
            <w:tcW w:w="860" w:type="dxa"/>
            <w:vAlign w:val="bottom"/>
          </w:tcPr>
          <w:p>
            <w:pPr>
              <w:spacing w:after="0"/>
              <w:rPr>
                <w:sz w:val="23"/>
                <w:szCs w:val="23"/>
                <w:color w:val="auto"/>
              </w:rPr>
            </w:pPr>
          </w:p>
        </w:tc>
        <w:tc>
          <w:tcPr>
            <w:tcW w:w="1120" w:type="dxa"/>
            <w:vAlign w:val="bottom"/>
          </w:tcPr>
          <w:p>
            <w:pPr>
              <w:ind w:left="260"/>
              <w:spacing w:after="0"/>
              <w:rPr>
                <w:sz w:val="20"/>
                <w:szCs w:val="20"/>
                <w:color w:val="auto"/>
              </w:rPr>
            </w:pPr>
            <w:r>
              <w:rPr>
                <w:rFonts w:ascii="Arial" w:cs="Arial" w:eastAsia="Arial" w:hAnsi="Arial"/>
                <w:sz w:val="18"/>
                <w:szCs w:val="18"/>
                <w:color w:val="auto"/>
              </w:rPr>
              <w:t>Note 8.</w:t>
            </w:r>
          </w:p>
        </w:tc>
        <w:tc>
          <w:tcPr>
            <w:tcW w:w="5500" w:type="dxa"/>
            <w:vAlign w:val="bottom"/>
          </w:tcPr>
          <w:p>
            <w:pPr>
              <w:ind w:left="60"/>
              <w:spacing w:after="0"/>
              <w:rPr>
                <w:sz w:val="20"/>
                <w:szCs w:val="20"/>
                <w:color w:val="auto"/>
              </w:rPr>
            </w:pPr>
            <w:r>
              <w:rPr>
                <w:rFonts w:ascii="Arial" w:cs="Arial" w:eastAsia="Arial" w:hAnsi="Arial"/>
                <w:sz w:val="18"/>
                <w:szCs w:val="18"/>
                <w:color w:val="auto"/>
              </w:rPr>
              <w:t>Equity in Net Assets of Nonconsolidated Affiliates</w:t>
            </w:r>
          </w:p>
        </w:tc>
      </w:tr>
      <w:tr>
        <w:trPr>
          <w:trHeight w:val="270"/>
        </w:trPr>
        <w:tc>
          <w:tcPr>
            <w:tcW w:w="860" w:type="dxa"/>
            <w:vAlign w:val="bottom"/>
          </w:tcPr>
          <w:p>
            <w:pPr>
              <w:spacing w:after="0"/>
              <w:rPr>
                <w:sz w:val="23"/>
                <w:szCs w:val="23"/>
                <w:color w:val="auto"/>
              </w:rPr>
            </w:pPr>
          </w:p>
        </w:tc>
        <w:tc>
          <w:tcPr>
            <w:tcW w:w="1120" w:type="dxa"/>
            <w:vAlign w:val="bottom"/>
          </w:tcPr>
          <w:p>
            <w:pPr>
              <w:ind w:left="260"/>
              <w:spacing w:after="0"/>
              <w:rPr>
                <w:sz w:val="20"/>
                <w:szCs w:val="20"/>
                <w:color w:val="auto"/>
              </w:rPr>
            </w:pPr>
            <w:r>
              <w:rPr>
                <w:rFonts w:ascii="Arial" w:cs="Arial" w:eastAsia="Arial" w:hAnsi="Arial"/>
                <w:sz w:val="18"/>
                <w:szCs w:val="18"/>
                <w:color w:val="auto"/>
              </w:rPr>
              <w:t>Note 9.</w:t>
            </w:r>
          </w:p>
        </w:tc>
        <w:tc>
          <w:tcPr>
            <w:tcW w:w="5500" w:type="dxa"/>
            <w:vAlign w:val="bottom"/>
          </w:tcPr>
          <w:p>
            <w:pPr>
              <w:ind w:left="60"/>
              <w:spacing w:after="0"/>
              <w:rPr>
                <w:sz w:val="20"/>
                <w:szCs w:val="20"/>
                <w:color w:val="auto"/>
              </w:rPr>
            </w:pPr>
            <w:r>
              <w:rPr>
                <w:rFonts w:ascii="Arial" w:cs="Arial" w:eastAsia="Arial" w:hAnsi="Arial"/>
                <w:sz w:val="18"/>
                <w:szCs w:val="18"/>
                <w:color w:val="auto"/>
              </w:rPr>
              <w:t>Goodwill</w:t>
            </w:r>
          </w:p>
        </w:tc>
      </w:tr>
      <w:tr>
        <w:trPr>
          <w:trHeight w:val="270"/>
        </w:trPr>
        <w:tc>
          <w:tcPr>
            <w:tcW w:w="860" w:type="dxa"/>
            <w:vAlign w:val="bottom"/>
          </w:tcPr>
          <w:p>
            <w:pPr>
              <w:spacing w:after="0"/>
              <w:rPr>
                <w:sz w:val="23"/>
                <w:szCs w:val="23"/>
                <w:color w:val="auto"/>
              </w:rPr>
            </w:pPr>
          </w:p>
        </w:tc>
        <w:tc>
          <w:tcPr>
            <w:tcW w:w="1120" w:type="dxa"/>
            <w:vAlign w:val="bottom"/>
          </w:tcPr>
          <w:p>
            <w:pPr>
              <w:ind w:left="260"/>
              <w:spacing w:after="0"/>
              <w:rPr>
                <w:sz w:val="20"/>
                <w:szCs w:val="20"/>
                <w:color w:val="auto"/>
              </w:rPr>
            </w:pPr>
            <w:r>
              <w:rPr>
                <w:rFonts w:ascii="Arial" w:cs="Arial" w:eastAsia="Arial" w:hAnsi="Arial"/>
                <w:sz w:val="18"/>
                <w:szCs w:val="18"/>
                <w:color w:val="auto"/>
              </w:rPr>
              <w:t>Note 10.</w:t>
            </w:r>
          </w:p>
        </w:tc>
        <w:tc>
          <w:tcPr>
            <w:tcW w:w="5500" w:type="dxa"/>
            <w:vAlign w:val="bottom"/>
          </w:tcPr>
          <w:p>
            <w:pPr>
              <w:ind w:left="60"/>
              <w:spacing w:after="0"/>
              <w:rPr>
                <w:sz w:val="20"/>
                <w:szCs w:val="20"/>
                <w:color w:val="auto"/>
              </w:rPr>
            </w:pPr>
            <w:r>
              <w:rPr>
                <w:rFonts w:ascii="Arial" w:cs="Arial" w:eastAsia="Arial" w:hAnsi="Arial"/>
                <w:sz w:val="18"/>
                <w:szCs w:val="18"/>
                <w:color w:val="auto"/>
              </w:rPr>
              <w:t>Variable Interest Entities</w:t>
            </w:r>
          </w:p>
        </w:tc>
      </w:tr>
      <w:tr>
        <w:trPr>
          <w:trHeight w:val="270"/>
        </w:trPr>
        <w:tc>
          <w:tcPr>
            <w:tcW w:w="860" w:type="dxa"/>
            <w:vAlign w:val="bottom"/>
          </w:tcPr>
          <w:p>
            <w:pPr>
              <w:spacing w:after="0"/>
              <w:rPr>
                <w:sz w:val="23"/>
                <w:szCs w:val="23"/>
                <w:color w:val="auto"/>
              </w:rPr>
            </w:pPr>
          </w:p>
        </w:tc>
        <w:tc>
          <w:tcPr>
            <w:tcW w:w="1120" w:type="dxa"/>
            <w:vAlign w:val="bottom"/>
          </w:tcPr>
          <w:p>
            <w:pPr>
              <w:ind w:left="260"/>
              <w:spacing w:after="0"/>
              <w:rPr>
                <w:sz w:val="20"/>
                <w:szCs w:val="20"/>
                <w:color w:val="auto"/>
              </w:rPr>
            </w:pPr>
            <w:r>
              <w:rPr>
                <w:rFonts w:ascii="Arial" w:cs="Arial" w:eastAsia="Arial" w:hAnsi="Arial"/>
                <w:sz w:val="18"/>
                <w:szCs w:val="18"/>
                <w:color w:val="auto"/>
              </w:rPr>
              <w:t>Note 11.</w:t>
            </w:r>
          </w:p>
        </w:tc>
        <w:tc>
          <w:tcPr>
            <w:tcW w:w="5500" w:type="dxa"/>
            <w:vAlign w:val="bottom"/>
          </w:tcPr>
          <w:p>
            <w:pPr>
              <w:ind w:left="60"/>
              <w:spacing w:after="0"/>
              <w:rPr>
                <w:sz w:val="20"/>
                <w:szCs w:val="20"/>
                <w:color w:val="auto"/>
              </w:rPr>
            </w:pPr>
            <w:r>
              <w:rPr>
                <w:rFonts w:ascii="Arial" w:cs="Arial" w:eastAsia="Arial" w:hAnsi="Arial"/>
                <w:sz w:val="18"/>
                <w:szCs w:val="18"/>
                <w:color w:val="auto"/>
              </w:rPr>
              <w:t>Debt</w:t>
            </w:r>
          </w:p>
        </w:tc>
      </w:tr>
      <w:tr>
        <w:trPr>
          <w:trHeight w:val="270"/>
        </w:trPr>
        <w:tc>
          <w:tcPr>
            <w:tcW w:w="860" w:type="dxa"/>
            <w:vAlign w:val="bottom"/>
          </w:tcPr>
          <w:p>
            <w:pPr>
              <w:spacing w:after="0"/>
              <w:rPr>
                <w:sz w:val="23"/>
                <w:szCs w:val="23"/>
                <w:color w:val="auto"/>
              </w:rPr>
            </w:pPr>
          </w:p>
        </w:tc>
        <w:tc>
          <w:tcPr>
            <w:tcW w:w="1120" w:type="dxa"/>
            <w:vAlign w:val="bottom"/>
          </w:tcPr>
          <w:p>
            <w:pPr>
              <w:ind w:left="260"/>
              <w:spacing w:after="0"/>
              <w:rPr>
                <w:sz w:val="20"/>
                <w:szCs w:val="20"/>
                <w:color w:val="auto"/>
              </w:rPr>
            </w:pPr>
            <w:r>
              <w:rPr>
                <w:rFonts w:ascii="Arial" w:cs="Arial" w:eastAsia="Arial" w:hAnsi="Arial"/>
                <w:sz w:val="18"/>
                <w:szCs w:val="18"/>
                <w:color w:val="auto"/>
              </w:rPr>
              <w:t>Note 12.</w:t>
            </w:r>
          </w:p>
        </w:tc>
        <w:tc>
          <w:tcPr>
            <w:tcW w:w="5500" w:type="dxa"/>
            <w:vAlign w:val="bottom"/>
          </w:tcPr>
          <w:p>
            <w:pPr>
              <w:ind w:left="60"/>
              <w:spacing w:after="0"/>
              <w:rPr>
                <w:sz w:val="20"/>
                <w:szCs w:val="20"/>
                <w:color w:val="auto"/>
              </w:rPr>
            </w:pPr>
            <w:r>
              <w:rPr>
                <w:rFonts w:ascii="Arial" w:cs="Arial" w:eastAsia="Arial" w:hAnsi="Arial"/>
                <w:sz w:val="18"/>
                <w:szCs w:val="18"/>
                <w:color w:val="auto"/>
              </w:rPr>
              <w:t>Derivative Financial Instruments</w:t>
            </w:r>
          </w:p>
        </w:tc>
      </w:tr>
      <w:tr>
        <w:trPr>
          <w:trHeight w:val="270"/>
        </w:trPr>
        <w:tc>
          <w:tcPr>
            <w:tcW w:w="860" w:type="dxa"/>
            <w:vAlign w:val="bottom"/>
          </w:tcPr>
          <w:p>
            <w:pPr>
              <w:spacing w:after="0"/>
              <w:rPr>
                <w:sz w:val="23"/>
                <w:szCs w:val="23"/>
                <w:color w:val="auto"/>
              </w:rPr>
            </w:pPr>
          </w:p>
        </w:tc>
        <w:tc>
          <w:tcPr>
            <w:tcW w:w="1120" w:type="dxa"/>
            <w:vAlign w:val="bottom"/>
          </w:tcPr>
          <w:p>
            <w:pPr>
              <w:ind w:left="260"/>
              <w:spacing w:after="0"/>
              <w:rPr>
                <w:sz w:val="20"/>
                <w:szCs w:val="20"/>
                <w:color w:val="auto"/>
              </w:rPr>
            </w:pPr>
            <w:r>
              <w:rPr>
                <w:rFonts w:ascii="Arial" w:cs="Arial" w:eastAsia="Arial" w:hAnsi="Arial"/>
                <w:sz w:val="18"/>
                <w:szCs w:val="18"/>
                <w:color w:val="auto"/>
              </w:rPr>
              <w:t>Note 13.</w:t>
            </w:r>
          </w:p>
        </w:tc>
        <w:tc>
          <w:tcPr>
            <w:tcW w:w="5500" w:type="dxa"/>
            <w:vAlign w:val="bottom"/>
          </w:tcPr>
          <w:p>
            <w:pPr>
              <w:ind w:left="60"/>
              <w:spacing w:after="0"/>
              <w:rPr>
                <w:sz w:val="20"/>
                <w:szCs w:val="20"/>
                <w:color w:val="auto"/>
              </w:rPr>
            </w:pPr>
            <w:r>
              <w:rPr>
                <w:rFonts w:ascii="Arial" w:cs="Arial" w:eastAsia="Arial" w:hAnsi="Arial"/>
                <w:sz w:val="18"/>
                <w:szCs w:val="18"/>
                <w:color w:val="auto"/>
              </w:rPr>
              <w:t>Accrued and Other Liabilities</w:t>
            </w:r>
          </w:p>
        </w:tc>
      </w:tr>
      <w:tr>
        <w:trPr>
          <w:trHeight w:val="270"/>
        </w:trPr>
        <w:tc>
          <w:tcPr>
            <w:tcW w:w="860" w:type="dxa"/>
            <w:vAlign w:val="bottom"/>
          </w:tcPr>
          <w:p>
            <w:pPr>
              <w:spacing w:after="0"/>
              <w:rPr>
                <w:sz w:val="23"/>
                <w:szCs w:val="23"/>
                <w:color w:val="auto"/>
              </w:rPr>
            </w:pPr>
          </w:p>
        </w:tc>
        <w:tc>
          <w:tcPr>
            <w:tcW w:w="1120" w:type="dxa"/>
            <w:vAlign w:val="bottom"/>
          </w:tcPr>
          <w:p>
            <w:pPr>
              <w:ind w:left="260"/>
              <w:spacing w:after="0"/>
              <w:rPr>
                <w:sz w:val="20"/>
                <w:szCs w:val="20"/>
                <w:color w:val="auto"/>
              </w:rPr>
            </w:pPr>
            <w:r>
              <w:rPr>
                <w:rFonts w:ascii="Arial" w:cs="Arial" w:eastAsia="Arial" w:hAnsi="Arial"/>
                <w:sz w:val="18"/>
                <w:szCs w:val="18"/>
                <w:color w:val="auto"/>
              </w:rPr>
              <w:t>Note 14.</w:t>
            </w:r>
          </w:p>
        </w:tc>
        <w:tc>
          <w:tcPr>
            <w:tcW w:w="5500" w:type="dxa"/>
            <w:vAlign w:val="bottom"/>
          </w:tcPr>
          <w:p>
            <w:pPr>
              <w:ind w:left="60"/>
              <w:spacing w:after="0"/>
              <w:rPr>
                <w:sz w:val="20"/>
                <w:szCs w:val="20"/>
                <w:color w:val="auto"/>
              </w:rPr>
            </w:pPr>
            <w:r>
              <w:rPr>
                <w:rFonts w:ascii="Arial" w:cs="Arial" w:eastAsia="Arial" w:hAnsi="Arial"/>
                <w:sz w:val="18"/>
                <w:szCs w:val="18"/>
                <w:color w:val="auto"/>
              </w:rPr>
              <w:t>Pensions and Other Postretirement Benefits</w:t>
            </w:r>
          </w:p>
        </w:tc>
      </w:tr>
      <w:tr>
        <w:trPr>
          <w:trHeight w:val="270"/>
        </w:trPr>
        <w:tc>
          <w:tcPr>
            <w:tcW w:w="860" w:type="dxa"/>
            <w:vAlign w:val="bottom"/>
          </w:tcPr>
          <w:p>
            <w:pPr>
              <w:spacing w:after="0"/>
              <w:rPr>
                <w:sz w:val="23"/>
                <w:szCs w:val="23"/>
                <w:color w:val="auto"/>
              </w:rPr>
            </w:pPr>
          </w:p>
        </w:tc>
        <w:tc>
          <w:tcPr>
            <w:tcW w:w="1120" w:type="dxa"/>
            <w:vAlign w:val="bottom"/>
          </w:tcPr>
          <w:p>
            <w:pPr>
              <w:ind w:left="260"/>
              <w:spacing w:after="0"/>
              <w:rPr>
                <w:sz w:val="20"/>
                <w:szCs w:val="20"/>
                <w:color w:val="auto"/>
              </w:rPr>
            </w:pPr>
            <w:r>
              <w:rPr>
                <w:rFonts w:ascii="Arial" w:cs="Arial" w:eastAsia="Arial" w:hAnsi="Arial"/>
                <w:sz w:val="18"/>
                <w:szCs w:val="18"/>
                <w:color w:val="auto"/>
              </w:rPr>
              <w:t>Note 15.</w:t>
            </w:r>
          </w:p>
        </w:tc>
        <w:tc>
          <w:tcPr>
            <w:tcW w:w="5500" w:type="dxa"/>
            <w:vAlign w:val="bottom"/>
          </w:tcPr>
          <w:p>
            <w:pPr>
              <w:ind w:left="60"/>
              <w:spacing w:after="0"/>
              <w:rPr>
                <w:sz w:val="20"/>
                <w:szCs w:val="20"/>
                <w:color w:val="auto"/>
              </w:rPr>
            </w:pPr>
            <w:r>
              <w:rPr>
                <w:rFonts w:ascii="Arial" w:cs="Arial" w:eastAsia="Arial" w:hAnsi="Arial"/>
                <w:sz w:val="18"/>
                <w:szCs w:val="18"/>
                <w:color w:val="auto"/>
              </w:rPr>
              <w:t>Commitments and Contingencies</w:t>
            </w:r>
          </w:p>
        </w:tc>
      </w:tr>
      <w:tr>
        <w:trPr>
          <w:trHeight w:val="270"/>
        </w:trPr>
        <w:tc>
          <w:tcPr>
            <w:tcW w:w="860" w:type="dxa"/>
            <w:vAlign w:val="bottom"/>
          </w:tcPr>
          <w:p>
            <w:pPr>
              <w:spacing w:after="0"/>
              <w:rPr>
                <w:sz w:val="23"/>
                <w:szCs w:val="23"/>
                <w:color w:val="auto"/>
              </w:rPr>
            </w:pPr>
          </w:p>
        </w:tc>
        <w:tc>
          <w:tcPr>
            <w:tcW w:w="1120" w:type="dxa"/>
            <w:vAlign w:val="bottom"/>
          </w:tcPr>
          <w:p>
            <w:pPr>
              <w:ind w:left="260"/>
              <w:spacing w:after="0"/>
              <w:rPr>
                <w:sz w:val="20"/>
                <w:szCs w:val="20"/>
                <w:color w:val="auto"/>
              </w:rPr>
            </w:pPr>
            <w:r>
              <w:rPr>
                <w:rFonts w:ascii="Arial" w:cs="Arial" w:eastAsia="Arial" w:hAnsi="Arial"/>
                <w:sz w:val="18"/>
                <w:szCs w:val="18"/>
                <w:color w:val="auto"/>
              </w:rPr>
              <w:t>Note 16.</w:t>
            </w:r>
          </w:p>
        </w:tc>
        <w:tc>
          <w:tcPr>
            <w:tcW w:w="5500" w:type="dxa"/>
            <w:vAlign w:val="bottom"/>
          </w:tcPr>
          <w:p>
            <w:pPr>
              <w:ind w:left="60"/>
              <w:spacing w:after="0"/>
              <w:rPr>
                <w:sz w:val="20"/>
                <w:szCs w:val="20"/>
                <w:color w:val="auto"/>
              </w:rPr>
            </w:pPr>
            <w:r>
              <w:rPr>
                <w:rFonts w:ascii="Arial" w:cs="Arial" w:eastAsia="Arial" w:hAnsi="Arial"/>
                <w:sz w:val="18"/>
                <w:szCs w:val="18"/>
                <w:color w:val="auto"/>
              </w:rPr>
              <w:t>Income Taxes</w:t>
            </w:r>
          </w:p>
        </w:tc>
      </w:tr>
      <w:tr>
        <w:trPr>
          <w:trHeight w:val="270"/>
        </w:trPr>
        <w:tc>
          <w:tcPr>
            <w:tcW w:w="860" w:type="dxa"/>
            <w:vAlign w:val="bottom"/>
          </w:tcPr>
          <w:p>
            <w:pPr>
              <w:spacing w:after="0"/>
              <w:rPr>
                <w:sz w:val="23"/>
                <w:szCs w:val="23"/>
                <w:color w:val="auto"/>
              </w:rPr>
            </w:pPr>
          </w:p>
        </w:tc>
        <w:tc>
          <w:tcPr>
            <w:tcW w:w="1120" w:type="dxa"/>
            <w:vAlign w:val="bottom"/>
          </w:tcPr>
          <w:p>
            <w:pPr>
              <w:ind w:left="260"/>
              <w:spacing w:after="0"/>
              <w:rPr>
                <w:sz w:val="20"/>
                <w:szCs w:val="20"/>
                <w:color w:val="auto"/>
              </w:rPr>
            </w:pPr>
            <w:r>
              <w:rPr>
                <w:rFonts w:ascii="Arial" w:cs="Arial" w:eastAsia="Arial" w:hAnsi="Arial"/>
                <w:sz w:val="18"/>
                <w:szCs w:val="18"/>
                <w:color w:val="auto"/>
              </w:rPr>
              <w:t>Note 17.</w:t>
            </w:r>
          </w:p>
        </w:tc>
        <w:tc>
          <w:tcPr>
            <w:tcW w:w="5500" w:type="dxa"/>
            <w:vAlign w:val="bottom"/>
          </w:tcPr>
          <w:p>
            <w:pPr>
              <w:ind w:left="60"/>
              <w:spacing w:after="0"/>
              <w:rPr>
                <w:sz w:val="20"/>
                <w:szCs w:val="20"/>
                <w:color w:val="auto"/>
              </w:rPr>
            </w:pPr>
            <w:r>
              <w:rPr>
                <w:rFonts w:ascii="Arial" w:cs="Arial" w:eastAsia="Arial" w:hAnsi="Arial"/>
                <w:sz w:val="18"/>
                <w:szCs w:val="18"/>
                <w:color w:val="auto"/>
              </w:rPr>
              <w:t>Restructuring and Other Initiatives</w:t>
            </w:r>
          </w:p>
        </w:tc>
      </w:tr>
      <w:tr>
        <w:trPr>
          <w:trHeight w:val="270"/>
        </w:trPr>
        <w:tc>
          <w:tcPr>
            <w:tcW w:w="860" w:type="dxa"/>
            <w:vAlign w:val="bottom"/>
          </w:tcPr>
          <w:p>
            <w:pPr>
              <w:spacing w:after="0"/>
              <w:rPr>
                <w:sz w:val="23"/>
                <w:szCs w:val="23"/>
                <w:color w:val="auto"/>
              </w:rPr>
            </w:pPr>
          </w:p>
        </w:tc>
        <w:tc>
          <w:tcPr>
            <w:tcW w:w="1120" w:type="dxa"/>
            <w:vAlign w:val="bottom"/>
          </w:tcPr>
          <w:p>
            <w:pPr>
              <w:ind w:left="260"/>
              <w:spacing w:after="0"/>
              <w:rPr>
                <w:sz w:val="20"/>
                <w:szCs w:val="20"/>
                <w:color w:val="auto"/>
              </w:rPr>
            </w:pPr>
            <w:r>
              <w:rPr>
                <w:rFonts w:ascii="Arial" w:cs="Arial" w:eastAsia="Arial" w:hAnsi="Arial"/>
                <w:sz w:val="18"/>
                <w:szCs w:val="18"/>
                <w:color w:val="auto"/>
              </w:rPr>
              <w:t>Note 18.</w:t>
            </w:r>
          </w:p>
        </w:tc>
        <w:tc>
          <w:tcPr>
            <w:tcW w:w="5500" w:type="dxa"/>
            <w:vAlign w:val="bottom"/>
          </w:tcPr>
          <w:p>
            <w:pPr>
              <w:ind w:left="60"/>
              <w:spacing w:after="0"/>
              <w:rPr>
                <w:sz w:val="20"/>
                <w:szCs w:val="20"/>
                <w:color w:val="auto"/>
              </w:rPr>
            </w:pPr>
            <w:r>
              <w:rPr>
                <w:rFonts w:ascii="Arial" w:cs="Arial" w:eastAsia="Arial" w:hAnsi="Arial"/>
                <w:sz w:val="18"/>
                <w:szCs w:val="18"/>
                <w:color w:val="auto"/>
              </w:rPr>
              <w:t>Stockholders' Equity and Noncontrolling Interests</w:t>
            </w:r>
          </w:p>
        </w:tc>
      </w:tr>
      <w:tr>
        <w:trPr>
          <w:trHeight w:val="270"/>
        </w:trPr>
        <w:tc>
          <w:tcPr>
            <w:tcW w:w="860" w:type="dxa"/>
            <w:vAlign w:val="bottom"/>
          </w:tcPr>
          <w:p>
            <w:pPr>
              <w:spacing w:after="0"/>
              <w:rPr>
                <w:sz w:val="23"/>
                <w:szCs w:val="23"/>
                <w:color w:val="auto"/>
              </w:rPr>
            </w:pPr>
          </w:p>
        </w:tc>
        <w:tc>
          <w:tcPr>
            <w:tcW w:w="1120" w:type="dxa"/>
            <w:vAlign w:val="bottom"/>
          </w:tcPr>
          <w:p>
            <w:pPr>
              <w:ind w:left="260"/>
              <w:spacing w:after="0"/>
              <w:rPr>
                <w:sz w:val="20"/>
                <w:szCs w:val="20"/>
                <w:color w:val="auto"/>
              </w:rPr>
            </w:pPr>
            <w:r>
              <w:rPr>
                <w:rFonts w:ascii="Arial" w:cs="Arial" w:eastAsia="Arial" w:hAnsi="Arial"/>
                <w:sz w:val="18"/>
                <w:szCs w:val="18"/>
                <w:color w:val="auto"/>
              </w:rPr>
              <w:t>Note 19.</w:t>
            </w:r>
          </w:p>
        </w:tc>
        <w:tc>
          <w:tcPr>
            <w:tcW w:w="5500" w:type="dxa"/>
            <w:vAlign w:val="bottom"/>
          </w:tcPr>
          <w:p>
            <w:pPr>
              <w:ind w:left="60"/>
              <w:spacing w:after="0"/>
              <w:rPr>
                <w:sz w:val="20"/>
                <w:szCs w:val="20"/>
                <w:color w:val="auto"/>
              </w:rPr>
            </w:pPr>
            <w:r>
              <w:rPr>
                <w:rFonts w:ascii="Arial" w:cs="Arial" w:eastAsia="Arial" w:hAnsi="Arial"/>
                <w:sz w:val="18"/>
                <w:szCs w:val="18"/>
                <w:color w:val="auto"/>
              </w:rPr>
              <w:t>Earnings Per Share</w:t>
            </w:r>
          </w:p>
        </w:tc>
      </w:tr>
      <w:tr>
        <w:trPr>
          <w:trHeight w:val="270"/>
        </w:trPr>
        <w:tc>
          <w:tcPr>
            <w:tcW w:w="860" w:type="dxa"/>
            <w:vAlign w:val="bottom"/>
          </w:tcPr>
          <w:p>
            <w:pPr>
              <w:spacing w:after="0"/>
              <w:rPr>
                <w:sz w:val="23"/>
                <w:szCs w:val="23"/>
                <w:color w:val="auto"/>
              </w:rPr>
            </w:pPr>
          </w:p>
        </w:tc>
        <w:tc>
          <w:tcPr>
            <w:tcW w:w="1120" w:type="dxa"/>
            <w:vAlign w:val="bottom"/>
          </w:tcPr>
          <w:p>
            <w:pPr>
              <w:ind w:left="260"/>
              <w:spacing w:after="0"/>
              <w:rPr>
                <w:sz w:val="20"/>
                <w:szCs w:val="20"/>
                <w:color w:val="auto"/>
              </w:rPr>
            </w:pPr>
            <w:r>
              <w:rPr>
                <w:rFonts w:ascii="Arial" w:cs="Arial" w:eastAsia="Arial" w:hAnsi="Arial"/>
                <w:sz w:val="18"/>
                <w:szCs w:val="18"/>
                <w:color w:val="auto"/>
              </w:rPr>
              <w:t>Note 20.</w:t>
            </w:r>
          </w:p>
        </w:tc>
        <w:tc>
          <w:tcPr>
            <w:tcW w:w="5500" w:type="dxa"/>
            <w:vAlign w:val="bottom"/>
          </w:tcPr>
          <w:p>
            <w:pPr>
              <w:ind w:left="60"/>
              <w:spacing w:after="0"/>
              <w:rPr>
                <w:sz w:val="20"/>
                <w:szCs w:val="20"/>
                <w:color w:val="auto"/>
              </w:rPr>
            </w:pPr>
            <w:r>
              <w:rPr>
                <w:rFonts w:ascii="Arial" w:cs="Arial" w:eastAsia="Arial" w:hAnsi="Arial"/>
                <w:sz w:val="18"/>
                <w:szCs w:val="18"/>
                <w:color w:val="auto"/>
              </w:rPr>
              <w:t>Segment Reporting</w:t>
            </w: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Item 2.</w:t>
            </w:r>
          </w:p>
        </w:tc>
        <w:tc>
          <w:tcPr>
            <w:tcW w:w="6620" w:type="dxa"/>
            <w:vAlign w:val="bottom"/>
            <w:gridSpan w:val="2"/>
          </w:tcPr>
          <w:p>
            <w:pPr>
              <w:ind w:left="160"/>
              <w:spacing w:after="0"/>
              <w:rPr>
                <w:sz w:val="20"/>
                <w:szCs w:val="20"/>
                <w:color w:val="auto"/>
              </w:rPr>
            </w:pPr>
            <w:r>
              <w:rPr>
                <w:rFonts w:ascii="Arial" w:cs="Arial" w:eastAsia="Arial" w:hAnsi="Arial"/>
                <w:sz w:val="18"/>
                <w:szCs w:val="18"/>
                <w:color w:val="auto"/>
                <w:w w:val="90"/>
              </w:rPr>
              <w:t>Management’s Discussion and Analysis of Financial Condition and Results of Operations</w:t>
            </w: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Item 3.</w:t>
            </w:r>
          </w:p>
        </w:tc>
        <w:tc>
          <w:tcPr>
            <w:tcW w:w="6620" w:type="dxa"/>
            <w:vAlign w:val="bottom"/>
            <w:gridSpan w:val="2"/>
          </w:tcPr>
          <w:p>
            <w:pPr>
              <w:ind w:left="160"/>
              <w:spacing w:after="0"/>
              <w:rPr>
                <w:sz w:val="20"/>
                <w:szCs w:val="20"/>
                <w:color w:val="auto"/>
              </w:rPr>
            </w:pPr>
            <w:r>
              <w:rPr>
                <w:rFonts w:ascii="Arial" w:cs="Arial" w:eastAsia="Arial" w:hAnsi="Arial"/>
                <w:sz w:val="18"/>
                <w:szCs w:val="18"/>
                <w:color w:val="auto"/>
              </w:rPr>
              <w:t>Quantitative and Qualitative Disclosures About Market Risk</w:t>
            </w: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Item 4.</w:t>
            </w:r>
          </w:p>
        </w:tc>
        <w:tc>
          <w:tcPr>
            <w:tcW w:w="6620" w:type="dxa"/>
            <w:vAlign w:val="bottom"/>
            <w:gridSpan w:val="2"/>
          </w:tcPr>
          <w:p>
            <w:pPr>
              <w:ind w:left="160"/>
              <w:spacing w:after="0"/>
              <w:rPr>
                <w:sz w:val="20"/>
                <w:szCs w:val="20"/>
                <w:color w:val="auto"/>
              </w:rPr>
            </w:pPr>
            <w:r>
              <w:rPr>
                <w:rFonts w:ascii="Arial" w:cs="Arial" w:eastAsia="Arial" w:hAnsi="Arial"/>
                <w:sz w:val="18"/>
                <w:szCs w:val="18"/>
                <w:color w:val="auto"/>
              </w:rPr>
              <w:t>Controls and Procedures</w:t>
            </w:r>
          </w:p>
        </w:tc>
      </w:tr>
      <w:tr>
        <w:trPr>
          <w:trHeight w:val="270"/>
        </w:trPr>
        <w:tc>
          <w:tcPr>
            <w:tcW w:w="8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5500" w:type="dxa"/>
            <w:vAlign w:val="bottom"/>
          </w:tcPr>
          <w:p>
            <w:pPr>
              <w:jc w:val="center"/>
              <w:ind w:left="1630"/>
              <w:spacing w:after="0"/>
              <w:rPr>
                <w:sz w:val="20"/>
                <w:szCs w:val="20"/>
                <w:color w:val="auto"/>
              </w:rPr>
            </w:pPr>
            <w:r>
              <w:rPr>
                <w:rFonts w:ascii="Arial" w:cs="Arial" w:eastAsia="Arial" w:hAnsi="Arial"/>
                <w:sz w:val="18"/>
                <w:szCs w:val="18"/>
                <w:b w:val="1"/>
                <w:bCs w:val="1"/>
                <w:color w:val="auto"/>
              </w:rPr>
              <w:t>PART II</w:t>
            </w: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Item 1.</w:t>
            </w:r>
          </w:p>
        </w:tc>
        <w:tc>
          <w:tcPr>
            <w:tcW w:w="6620" w:type="dxa"/>
            <w:vAlign w:val="bottom"/>
            <w:gridSpan w:val="2"/>
          </w:tcPr>
          <w:p>
            <w:pPr>
              <w:ind w:left="160"/>
              <w:spacing w:after="0"/>
              <w:rPr>
                <w:sz w:val="20"/>
                <w:szCs w:val="20"/>
                <w:color w:val="auto"/>
              </w:rPr>
            </w:pPr>
            <w:r>
              <w:rPr>
                <w:rFonts w:ascii="Arial" w:cs="Arial" w:eastAsia="Arial" w:hAnsi="Arial"/>
                <w:sz w:val="18"/>
                <w:szCs w:val="18"/>
                <w:color w:val="auto"/>
              </w:rPr>
              <w:t>Legal Proceedings</w:t>
            </w: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Item 1A.</w:t>
            </w:r>
          </w:p>
        </w:tc>
        <w:tc>
          <w:tcPr>
            <w:tcW w:w="1120" w:type="dxa"/>
            <w:vAlign w:val="bottom"/>
          </w:tcPr>
          <w:p>
            <w:pPr>
              <w:ind w:left="160"/>
              <w:spacing w:after="0"/>
              <w:rPr>
                <w:sz w:val="20"/>
                <w:szCs w:val="20"/>
                <w:color w:val="auto"/>
              </w:rPr>
            </w:pPr>
            <w:r>
              <w:rPr>
                <w:rFonts w:ascii="Arial" w:cs="Arial" w:eastAsia="Arial" w:hAnsi="Arial"/>
                <w:sz w:val="18"/>
                <w:szCs w:val="18"/>
                <w:color w:val="auto"/>
                <w:w w:val="93"/>
              </w:rPr>
              <w:t>Risk Factors</w:t>
            </w:r>
          </w:p>
        </w:tc>
        <w:tc>
          <w:tcPr>
            <w:tcW w:w="5500" w:type="dxa"/>
            <w:vAlign w:val="bottom"/>
          </w:tcPr>
          <w:p>
            <w:pPr>
              <w:spacing w:after="0"/>
              <w:rPr>
                <w:sz w:val="23"/>
                <w:szCs w:val="23"/>
                <w:color w:val="auto"/>
              </w:rPr>
            </w:pP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Item 2.</w:t>
            </w:r>
          </w:p>
        </w:tc>
        <w:tc>
          <w:tcPr>
            <w:tcW w:w="6620" w:type="dxa"/>
            <w:vAlign w:val="bottom"/>
            <w:gridSpan w:val="2"/>
          </w:tcPr>
          <w:p>
            <w:pPr>
              <w:ind w:left="160"/>
              <w:spacing w:after="0"/>
              <w:rPr>
                <w:sz w:val="20"/>
                <w:szCs w:val="20"/>
                <w:color w:val="auto"/>
              </w:rPr>
            </w:pPr>
            <w:r>
              <w:rPr>
                <w:rFonts w:ascii="Arial" w:cs="Arial" w:eastAsia="Arial" w:hAnsi="Arial"/>
                <w:sz w:val="18"/>
                <w:szCs w:val="18"/>
                <w:color w:val="auto"/>
              </w:rPr>
              <w:t>Unregistered Sales of Equity Securities and Use of Proceeds</w:t>
            </w: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Item 6.</w:t>
            </w:r>
          </w:p>
        </w:tc>
        <w:tc>
          <w:tcPr>
            <w:tcW w:w="1120" w:type="dxa"/>
            <w:vAlign w:val="bottom"/>
          </w:tcPr>
          <w:p>
            <w:pPr>
              <w:ind w:left="160"/>
              <w:spacing w:after="0"/>
              <w:rPr>
                <w:sz w:val="20"/>
                <w:szCs w:val="20"/>
                <w:color w:val="auto"/>
              </w:rPr>
            </w:pPr>
            <w:r>
              <w:rPr>
                <w:rFonts w:ascii="Arial" w:cs="Arial" w:eastAsia="Arial" w:hAnsi="Arial"/>
                <w:sz w:val="18"/>
                <w:szCs w:val="18"/>
                <w:color w:val="auto"/>
              </w:rPr>
              <w:t>Exhibits</w:t>
            </w:r>
          </w:p>
        </w:tc>
        <w:tc>
          <w:tcPr>
            <w:tcW w:w="5500" w:type="dxa"/>
            <w:vAlign w:val="bottom"/>
          </w:tcPr>
          <w:p>
            <w:pPr>
              <w:spacing w:after="0"/>
              <w:rPr>
                <w:sz w:val="23"/>
                <w:szCs w:val="23"/>
                <w:color w:val="auto"/>
              </w:rPr>
            </w:pP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Signature</w:t>
            </w:r>
          </w:p>
        </w:tc>
        <w:tc>
          <w:tcPr>
            <w:tcW w:w="1120" w:type="dxa"/>
            <w:vAlign w:val="bottom"/>
          </w:tcPr>
          <w:p>
            <w:pPr>
              <w:spacing w:after="0"/>
              <w:rPr>
                <w:sz w:val="23"/>
                <w:szCs w:val="23"/>
                <w:color w:val="auto"/>
              </w:rPr>
            </w:pPr>
          </w:p>
        </w:tc>
        <w:tc>
          <w:tcPr>
            <w:tcW w:w="550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805815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-6154420</wp:posOffset>
            </wp:positionV>
            <wp:extent cx="7115175"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-5811520</wp:posOffset>
            </wp:positionV>
            <wp:extent cx="7115175"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-5468620</wp:posOffset>
            </wp:positionV>
            <wp:extent cx="7115175"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-5125720</wp:posOffset>
            </wp:positionV>
            <wp:extent cx="7115175"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-4782820</wp:posOffset>
            </wp:positionV>
            <wp:extent cx="7115175"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-4439920</wp:posOffset>
            </wp:positionV>
            <wp:extent cx="7115175"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-4097020</wp:posOffset>
            </wp:positionV>
            <wp:extent cx="7115175"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-3754120</wp:posOffset>
            </wp:positionV>
            <wp:extent cx="7115175"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-3411220</wp:posOffset>
            </wp:positionV>
            <wp:extent cx="7115175"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-3068320</wp:posOffset>
            </wp:positionV>
            <wp:extent cx="7115175"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-2725420</wp:posOffset>
            </wp:positionV>
            <wp:extent cx="7115175"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-2382520</wp:posOffset>
            </wp:positionV>
            <wp:extent cx="7115175"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-2039620</wp:posOffset>
            </wp:positionV>
            <wp:extent cx="7115175"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-1696720</wp:posOffset>
            </wp:positionV>
            <wp:extent cx="7115175"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-1353820</wp:posOffset>
            </wp:positionV>
            <wp:extent cx="7115175"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-1010920</wp:posOffset>
            </wp:positionV>
            <wp:extent cx="7115175"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-668020</wp:posOffset>
            </wp:positionV>
            <wp:extent cx="7115175"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-325120</wp:posOffset>
            </wp:positionV>
            <wp:extent cx="7115175"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Page</w:t>
      </w:r>
    </w:p>
    <w:p>
      <w:pPr>
        <w:spacing w:after="0" w:line="364" w:lineRule="exact"/>
        <w:rPr>
          <w:sz w:val="20"/>
          <w:szCs w:val="20"/>
          <w:color w:val="auto"/>
        </w:rPr>
      </w:pPr>
    </w:p>
    <w:p>
      <w:pPr>
        <w:jc w:val="right"/>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1</w:t>
        </w:r>
      </w:hyperlink>
    </w:p>
    <w:p>
      <w:pPr>
        <w:spacing w:after="0" w:line="63" w:lineRule="exact"/>
        <w:rPr>
          <w:sz w:val="20"/>
          <w:szCs w:val="20"/>
          <w:color w:val="auto"/>
        </w:rPr>
      </w:pPr>
    </w:p>
    <w:p>
      <w:pPr>
        <w:jc w:val="right"/>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1</w:t>
        </w:r>
      </w:hyperlink>
    </w:p>
    <w:p>
      <w:pPr>
        <w:spacing w:after="0" w:line="63" w:lineRule="exact"/>
        <w:rPr>
          <w:sz w:val="20"/>
          <w:szCs w:val="20"/>
          <w:color w:val="auto"/>
        </w:rPr>
      </w:pPr>
    </w:p>
    <w:p>
      <w:pPr>
        <w:jc w:val="right"/>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1</w:t>
        </w:r>
      </w:hyperlink>
    </w:p>
    <w:p>
      <w:pPr>
        <w:spacing w:after="0" w:line="63" w:lineRule="exact"/>
        <w:rPr>
          <w:sz w:val="20"/>
          <w:szCs w:val="20"/>
          <w:color w:val="auto"/>
        </w:rPr>
      </w:pPr>
    </w:p>
    <w:p>
      <w:pPr>
        <w:jc w:val="right"/>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2</w:t>
        </w:r>
      </w:hyperlink>
    </w:p>
    <w:p>
      <w:pPr>
        <w:spacing w:after="0" w:line="63" w:lineRule="exact"/>
        <w:rPr>
          <w:sz w:val="20"/>
          <w:szCs w:val="20"/>
          <w:color w:val="auto"/>
        </w:rPr>
      </w:pPr>
    </w:p>
    <w:p>
      <w:pPr>
        <w:jc w:val="right"/>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3</w:t>
        </w:r>
      </w:hyperlink>
    </w:p>
    <w:p>
      <w:pPr>
        <w:spacing w:after="0" w:line="63" w:lineRule="exact"/>
        <w:rPr>
          <w:sz w:val="20"/>
          <w:szCs w:val="20"/>
          <w:color w:val="auto"/>
        </w:rPr>
      </w:pPr>
    </w:p>
    <w:p>
      <w:pPr>
        <w:jc w:val="right"/>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4</w:t>
        </w:r>
      </w:hyperlink>
    </w:p>
    <w:p>
      <w:pPr>
        <w:spacing w:after="0" w:line="63" w:lineRule="exact"/>
        <w:rPr>
          <w:sz w:val="20"/>
          <w:szCs w:val="20"/>
          <w:color w:val="auto"/>
        </w:rPr>
      </w:pPr>
    </w:p>
    <w:p>
      <w:pPr>
        <w:jc w:val="right"/>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5</w:t>
        </w:r>
      </w:hyperlink>
    </w:p>
    <w:p>
      <w:pPr>
        <w:spacing w:after="0" w:line="63" w:lineRule="exact"/>
        <w:rPr>
          <w:sz w:val="20"/>
          <w:szCs w:val="20"/>
          <w:color w:val="auto"/>
        </w:rPr>
      </w:pPr>
    </w:p>
    <w:p>
      <w:pPr>
        <w:jc w:val="right"/>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5</w:t>
        </w:r>
      </w:hyperlink>
    </w:p>
    <w:p>
      <w:pPr>
        <w:spacing w:after="0" w:line="63" w:lineRule="exact"/>
        <w:rPr>
          <w:sz w:val="20"/>
          <w:szCs w:val="20"/>
          <w:color w:val="auto"/>
        </w:rPr>
      </w:pPr>
    </w:p>
    <w:p>
      <w:pPr>
        <w:jc w:val="right"/>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5</w:t>
        </w:r>
      </w:hyperlink>
    </w:p>
    <w:p>
      <w:pPr>
        <w:spacing w:after="0" w:line="23" w:lineRule="exact"/>
        <w:rPr>
          <w:sz w:val="20"/>
          <w:szCs w:val="20"/>
          <w:color w:val="auto"/>
        </w:rPr>
      </w:pPr>
    </w:p>
    <w:p>
      <w:pPr>
        <w:jc w:val="right"/>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6</w:t>
        </w:r>
      </w:hyperlink>
    </w:p>
    <w:p>
      <w:pPr>
        <w:spacing w:after="0" w:line="62" w:lineRule="exact"/>
        <w:rPr>
          <w:sz w:val="20"/>
          <w:szCs w:val="20"/>
          <w:color w:val="auto"/>
        </w:rPr>
      </w:pPr>
    </w:p>
    <w:p>
      <w:pPr>
        <w:jc w:val="right"/>
        <w:spacing w:after="0"/>
        <w:rPr>
          <w:rFonts w:ascii="Arial" w:cs="Arial" w:eastAsia="Arial" w:hAnsi="Arial"/>
          <w:sz w:val="18"/>
          <w:szCs w:val="18"/>
          <w:u w:val="single" w:color="auto"/>
          <w:color w:val="0000FF"/>
        </w:rPr>
      </w:pPr>
      <w:hyperlink w:anchor="page9">
        <w:r>
          <w:rPr>
            <w:rFonts w:ascii="Arial" w:cs="Arial" w:eastAsia="Arial" w:hAnsi="Arial"/>
            <w:sz w:val="18"/>
            <w:szCs w:val="18"/>
            <w:u w:val="single" w:color="auto"/>
            <w:color w:val="0000FF"/>
          </w:rPr>
          <w:t>8</w:t>
        </w:r>
      </w:hyperlink>
    </w:p>
    <w:p>
      <w:pPr>
        <w:spacing w:after="0" w:line="104" w:lineRule="exact"/>
        <w:rPr>
          <w:sz w:val="20"/>
          <w:szCs w:val="20"/>
          <w:color w:val="auto"/>
        </w:rPr>
      </w:pPr>
    </w:p>
    <w:p>
      <w:pPr>
        <w:jc w:val="right"/>
        <w:spacing w:after="0"/>
        <w:rPr>
          <w:rFonts w:ascii="Arial" w:cs="Arial" w:eastAsia="Arial" w:hAnsi="Arial"/>
          <w:sz w:val="18"/>
          <w:szCs w:val="18"/>
          <w:u w:val="single" w:color="auto"/>
          <w:color w:val="0000FF"/>
        </w:rPr>
      </w:pPr>
      <w:hyperlink w:anchor="page11">
        <w:r>
          <w:rPr>
            <w:rFonts w:ascii="Arial" w:cs="Arial" w:eastAsia="Arial" w:hAnsi="Arial"/>
            <w:sz w:val="18"/>
            <w:szCs w:val="18"/>
            <w:u w:val="single" w:color="auto"/>
            <w:color w:val="0000FF"/>
          </w:rPr>
          <w:t>9</w:t>
        </w:r>
      </w:hyperlink>
    </w:p>
    <w:p>
      <w:pPr>
        <w:spacing w:after="0" w:line="63" w:lineRule="exact"/>
        <w:rPr>
          <w:sz w:val="20"/>
          <w:szCs w:val="20"/>
          <w:color w:val="auto"/>
        </w:rPr>
      </w:pPr>
    </w:p>
    <w:p>
      <w:pPr>
        <w:jc w:val="right"/>
        <w:spacing w:after="0"/>
        <w:rPr>
          <w:rFonts w:ascii="Arial" w:cs="Arial" w:eastAsia="Arial" w:hAnsi="Arial"/>
          <w:sz w:val="18"/>
          <w:szCs w:val="18"/>
          <w:u w:val="single" w:color="auto"/>
          <w:color w:val="0000FF"/>
        </w:rPr>
      </w:pPr>
      <w:hyperlink w:anchor="page13">
        <w:r>
          <w:rPr>
            <w:rFonts w:ascii="Arial" w:cs="Arial" w:eastAsia="Arial" w:hAnsi="Arial"/>
            <w:sz w:val="18"/>
            <w:szCs w:val="18"/>
            <w:u w:val="single" w:color="auto"/>
            <w:color w:val="0000FF"/>
          </w:rPr>
          <w:t>11</w:t>
        </w:r>
      </w:hyperlink>
    </w:p>
    <w:p>
      <w:pPr>
        <w:spacing w:after="0" w:line="63" w:lineRule="exact"/>
        <w:rPr>
          <w:sz w:val="20"/>
          <w:szCs w:val="20"/>
          <w:color w:val="auto"/>
        </w:rPr>
      </w:pPr>
    </w:p>
    <w:p>
      <w:pPr>
        <w:ind w:left="320"/>
        <w:spacing w:after="0"/>
        <w:rPr>
          <w:rFonts w:ascii="Arial" w:cs="Arial" w:eastAsia="Arial" w:hAnsi="Arial"/>
          <w:sz w:val="16"/>
          <w:szCs w:val="16"/>
          <w:u w:val="single" w:color="auto"/>
          <w:color w:val="0000FF"/>
        </w:rPr>
      </w:pPr>
      <w:hyperlink w:anchor="page13">
        <w:r>
          <w:rPr>
            <w:rFonts w:ascii="Arial" w:cs="Arial" w:eastAsia="Arial" w:hAnsi="Arial"/>
            <w:sz w:val="16"/>
            <w:szCs w:val="16"/>
            <w:u w:val="single" w:color="auto"/>
            <w:color w:val="0000FF"/>
          </w:rPr>
          <w:t>12</w:t>
        </w:r>
      </w:hyperlink>
    </w:p>
    <w:p>
      <w:pPr>
        <w:spacing w:after="0" w:line="86" w:lineRule="exact"/>
        <w:rPr>
          <w:sz w:val="20"/>
          <w:szCs w:val="20"/>
          <w:color w:val="auto"/>
        </w:rPr>
      </w:pPr>
    </w:p>
    <w:p>
      <w:pPr>
        <w:ind w:left="320"/>
        <w:spacing w:after="0"/>
        <w:rPr>
          <w:rFonts w:ascii="Arial" w:cs="Arial" w:eastAsia="Arial" w:hAnsi="Arial"/>
          <w:sz w:val="16"/>
          <w:szCs w:val="16"/>
          <w:u w:val="single" w:color="auto"/>
          <w:color w:val="0000FF"/>
        </w:rPr>
      </w:pPr>
      <w:hyperlink w:anchor="page14">
        <w:r>
          <w:rPr>
            <w:rFonts w:ascii="Arial" w:cs="Arial" w:eastAsia="Arial" w:hAnsi="Arial"/>
            <w:sz w:val="16"/>
            <w:szCs w:val="16"/>
            <w:u w:val="single" w:color="auto"/>
            <w:color w:val="0000FF"/>
          </w:rPr>
          <w:t>12</w:t>
        </w:r>
      </w:hyperlink>
    </w:p>
    <w:p>
      <w:pPr>
        <w:spacing w:after="0" w:line="86" w:lineRule="exact"/>
        <w:rPr>
          <w:sz w:val="20"/>
          <w:szCs w:val="20"/>
          <w:color w:val="auto"/>
        </w:rPr>
      </w:pPr>
    </w:p>
    <w:p>
      <w:pPr>
        <w:ind w:left="320"/>
        <w:spacing w:after="0"/>
        <w:rPr>
          <w:rFonts w:ascii="Arial" w:cs="Arial" w:eastAsia="Arial" w:hAnsi="Arial"/>
          <w:sz w:val="16"/>
          <w:szCs w:val="16"/>
          <w:u w:val="single" w:color="auto"/>
          <w:color w:val="0000FF"/>
        </w:rPr>
      </w:pPr>
      <w:hyperlink w:anchor="page14">
        <w:r>
          <w:rPr>
            <w:rFonts w:ascii="Arial" w:cs="Arial" w:eastAsia="Arial" w:hAnsi="Arial"/>
            <w:sz w:val="16"/>
            <w:szCs w:val="16"/>
            <w:u w:val="single" w:color="auto"/>
            <w:color w:val="0000FF"/>
          </w:rPr>
          <w:t>12</w:t>
        </w:r>
      </w:hyperlink>
    </w:p>
    <w:p>
      <w:pPr>
        <w:spacing w:after="0" w:line="86" w:lineRule="exact"/>
        <w:rPr>
          <w:sz w:val="20"/>
          <w:szCs w:val="20"/>
          <w:color w:val="auto"/>
        </w:rPr>
      </w:pPr>
    </w:p>
    <w:p>
      <w:pPr>
        <w:ind w:left="320"/>
        <w:spacing w:after="0"/>
        <w:rPr>
          <w:rFonts w:ascii="Arial" w:cs="Arial" w:eastAsia="Arial" w:hAnsi="Arial"/>
          <w:sz w:val="16"/>
          <w:szCs w:val="16"/>
          <w:u w:val="single" w:color="auto"/>
          <w:color w:val="0000FF"/>
        </w:rPr>
      </w:pPr>
      <w:hyperlink w:anchor="page15">
        <w:r>
          <w:rPr>
            <w:rFonts w:ascii="Arial" w:cs="Arial" w:eastAsia="Arial" w:hAnsi="Arial"/>
            <w:sz w:val="16"/>
            <w:szCs w:val="16"/>
            <w:u w:val="single" w:color="auto"/>
            <w:color w:val="0000FF"/>
          </w:rPr>
          <w:t>13</w:t>
        </w:r>
      </w:hyperlink>
    </w:p>
    <w:p>
      <w:pPr>
        <w:spacing w:after="0" w:line="86" w:lineRule="exact"/>
        <w:rPr>
          <w:sz w:val="20"/>
          <w:szCs w:val="20"/>
          <w:color w:val="auto"/>
        </w:rPr>
      </w:pPr>
    </w:p>
    <w:p>
      <w:pPr>
        <w:ind w:left="320"/>
        <w:spacing w:after="0"/>
        <w:rPr>
          <w:rFonts w:ascii="Arial" w:cs="Arial" w:eastAsia="Arial" w:hAnsi="Arial"/>
          <w:sz w:val="16"/>
          <w:szCs w:val="16"/>
          <w:u w:val="single" w:color="auto"/>
          <w:color w:val="0000FF"/>
        </w:rPr>
      </w:pPr>
      <w:hyperlink w:anchor="page15">
        <w:r>
          <w:rPr>
            <w:rFonts w:ascii="Arial" w:cs="Arial" w:eastAsia="Arial" w:hAnsi="Arial"/>
            <w:sz w:val="16"/>
            <w:szCs w:val="16"/>
            <w:u w:val="single" w:color="auto"/>
            <w:color w:val="0000FF"/>
          </w:rPr>
          <w:t>14</w:t>
        </w:r>
      </w:hyperlink>
    </w:p>
    <w:p>
      <w:pPr>
        <w:spacing w:after="0" w:line="86" w:lineRule="exact"/>
        <w:rPr>
          <w:sz w:val="20"/>
          <w:szCs w:val="20"/>
          <w:color w:val="auto"/>
        </w:rPr>
      </w:pPr>
    </w:p>
    <w:p>
      <w:pPr>
        <w:ind w:left="320"/>
        <w:spacing w:after="0"/>
        <w:rPr>
          <w:rFonts w:ascii="Arial" w:cs="Arial" w:eastAsia="Arial" w:hAnsi="Arial"/>
          <w:sz w:val="16"/>
          <w:szCs w:val="16"/>
          <w:u w:val="single" w:color="auto"/>
          <w:color w:val="0000FF"/>
        </w:rPr>
      </w:pPr>
      <w:hyperlink w:anchor="page17">
        <w:r>
          <w:rPr>
            <w:rFonts w:ascii="Arial" w:cs="Arial" w:eastAsia="Arial" w:hAnsi="Arial"/>
            <w:sz w:val="16"/>
            <w:szCs w:val="16"/>
            <w:u w:val="single" w:color="auto"/>
            <w:color w:val="0000FF"/>
          </w:rPr>
          <w:t>15</w:t>
        </w:r>
      </w:hyperlink>
    </w:p>
    <w:p>
      <w:pPr>
        <w:spacing w:after="0" w:line="86" w:lineRule="exact"/>
        <w:rPr>
          <w:sz w:val="20"/>
          <w:szCs w:val="20"/>
          <w:color w:val="auto"/>
        </w:rPr>
      </w:pPr>
    </w:p>
    <w:p>
      <w:pPr>
        <w:ind w:left="320"/>
        <w:spacing w:after="0"/>
        <w:rPr>
          <w:rFonts w:ascii="Arial" w:cs="Arial" w:eastAsia="Arial" w:hAnsi="Arial"/>
          <w:sz w:val="16"/>
          <w:szCs w:val="16"/>
          <w:u w:val="single" w:color="auto"/>
          <w:color w:val="0000FF"/>
        </w:rPr>
      </w:pPr>
      <w:hyperlink w:anchor="page18">
        <w:r>
          <w:rPr>
            <w:rFonts w:ascii="Arial" w:cs="Arial" w:eastAsia="Arial" w:hAnsi="Arial"/>
            <w:sz w:val="16"/>
            <w:szCs w:val="16"/>
            <w:u w:val="single" w:color="auto"/>
            <w:color w:val="0000FF"/>
          </w:rPr>
          <w:t>17</w:t>
        </w:r>
      </w:hyperlink>
    </w:p>
    <w:p>
      <w:pPr>
        <w:spacing w:after="0" w:line="86" w:lineRule="exact"/>
        <w:rPr>
          <w:sz w:val="20"/>
          <w:szCs w:val="20"/>
          <w:color w:val="auto"/>
        </w:rPr>
      </w:pPr>
    </w:p>
    <w:p>
      <w:pPr>
        <w:ind w:left="320"/>
        <w:spacing w:after="0"/>
        <w:rPr>
          <w:rFonts w:ascii="Arial" w:cs="Arial" w:eastAsia="Arial" w:hAnsi="Arial"/>
          <w:sz w:val="16"/>
          <w:szCs w:val="16"/>
          <w:u w:val="single" w:color="auto"/>
          <w:color w:val="0000FF"/>
        </w:rPr>
      </w:pPr>
      <w:hyperlink w:anchor="page19">
        <w:r>
          <w:rPr>
            <w:rFonts w:ascii="Arial" w:cs="Arial" w:eastAsia="Arial" w:hAnsi="Arial"/>
            <w:sz w:val="16"/>
            <w:szCs w:val="16"/>
            <w:u w:val="single" w:color="auto"/>
            <w:color w:val="0000FF"/>
          </w:rPr>
          <w:t>18</w:t>
        </w:r>
      </w:hyperlink>
    </w:p>
    <w:p>
      <w:pPr>
        <w:spacing w:after="0" w:line="86" w:lineRule="exact"/>
        <w:rPr>
          <w:sz w:val="20"/>
          <w:szCs w:val="20"/>
          <w:color w:val="auto"/>
        </w:rPr>
      </w:pPr>
    </w:p>
    <w:p>
      <w:pPr>
        <w:ind w:left="320"/>
        <w:spacing w:after="0"/>
        <w:rPr>
          <w:rFonts w:ascii="Arial" w:cs="Arial" w:eastAsia="Arial" w:hAnsi="Arial"/>
          <w:sz w:val="16"/>
          <w:szCs w:val="16"/>
          <w:u w:val="single" w:color="auto"/>
          <w:color w:val="0000FF"/>
        </w:rPr>
      </w:pPr>
      <w:hyperlink w:anchor="page20">
        <w:r>
          <w:rPr>
            <w:rFonts w:ascii="Arial" w:cs="Arial" w:eastAsia="Arial" w:hAnsi="Arial"/>
            <w:sz w:val="16"/>
            <w:szCs w:val="16"/>
            <w:u w:val="single" w:color="auto"/>
            <w:color w:val="0000FF"/>
          </w:rPr>
          <w:t>18</w:t>
        </w:r>
      </w:hyperlink>
    </w:p>
    <w:p>
      <w:pPr>
        <w:spacing w:after="0" w:line="86" w:lineRule="exact"/>
        <w:rPr>
          <w:sz w:val="20"/>
          <w:szCs w:val="20"/>
          <w:color w:val="auto"/>
        </w:rPr>
      </w:pPr>
    </w:p>
    <w:p>
      <w:pPr>
        <w:ind w:left="320"/>
        <w:spacing w:after="0"/>
        <w:rPr>
          <w:rFonts w:ascii="Arial" w:cs="Arial" w:eastAsia="Arial" w:hAnsi="Arial"/>
          <w:sz w:val="16"/>
          <w:szCs w:val="16"/>
          <w:u w:val="single" w:color="auto"/>
          <w:color w:val="0000FF"/>
        </w:rPr>
      </w:pPr>
      <w:hyperlink w:anchor="page25">
        <w:r>
          <w:rPr>
            <w:rFonts w:ascii="Arial" w:cs="Arial" w:eastAsia="Arial" w:hAnsi="Arial"/>
            <w:sz w:val="16"/>
            <w:szCs w:val="16"/>
            <w:u w:val="single" w:color="auto"/>
            <w:color w:val="0000FF"/>
          </w:rPr>
          <w:t>23</w:t>
        </w:r>
      </w:hyperlink>
    </w:p>
    <w:p>
      <w:pPr>
        <w:spacing w:after="0" w:line="86" w:lineRule="exact"/>
        <w:rPr>
          <w:sz w:val="20"/>
          <w:szCs w:val="20"/>
          <w:color w:val="auto"/>
        </w:rPr>
      </w:pPr>
    </w:p>
    <w:p>
      <w:pPr>
        <w:ind w:left="320"/>
        <w:spacing w:after="0"/>
        <w:rPr>
          <w:rFonts w:ascii="Arial" w:cs="Arial" w:eastAsia="Arial" w:hAnsi="Arial"/>
          <w:sz w:val="16"/>
          <w:szCs w:val="16"/>
          <w:u w:val="single" w:color="auto"/>
          <w:color w:val="0000FF"/>
        </w:rPr>
      </w:pPr>
      <w:hyperlink w:anchor="page25">
        <w:r>
          <w:rPr>
            <w:rFonts w:ascii="Arial" w:cs="Arial" w:eastAsia="Arial" w:hAnsi="Arial"/>
            <w:sz w:val="16"/>
            <w:szCs w:val="16"/>
            <w:u w:val="single" w:color="auto"/>
            <w:color w:val="0000FF"/>
          </w:rPr>
          <w:t>23</w:t>
        </w:r>
      </w:hyperlink>
    </w:p>
    <w:p>
      <w:pPr>
        <w:spacing w:after="0" w:line="86" w:lineRule="exact"/>
        <w:rPr>
          <w:sz w:val="20"/>
          <w:szCs w:val="20"/>
          <w:color w:val="auto"/>
        </w:rPr>
      </w:pPr>
    </w:p>
    <w:p>
      <w:pPr>
        <w:ind w:left="320"/>
        <w:spacing w:after="0"/>
        <w:rPr>
          <w:rFonts w:ascii="Arial" w:cs="Arial" w:eastAsia="Arial" w:hAnsi="Arial"/>
          <w:sz w:val="16"/>
          <w:szCs w:val="16"/>
          <w:u w:val="single" w:color="auto"/>
          <w:color w:val="0000FF"/>
        </w:rPr>
      </w:pPr>
      <w:hyperlink w:anchor="page26">
        <w:r>
          <w:rPr>
            <w:rFonts w:ascii="Arial" w:cs="Arial" w:eastAsia="Arial" w:hAnsi="Arial"/>
            <w:sz w:val="16"/>
            <w:szCs w:val="16"/>
            <w:u w:val="single" w:color="auto"/>
            <w:color w:val="0000FF"/>
          </w:rPr>
          <w:t>24</w:t>
        </w:r>
      </w:hyperlink>
    </w:p>
    <w:p>
      <w:pPr>
        <w:spacing w:after="0" w:line="86" w:lineRule="exact"/>
        <w:rPr>
          <w:sz w:val="20"/>
          <w:szCs w:val="20"/>
          <w:color w:val="auto"/>
        </w:rPr>
      </w:pPr>
    </w:p>
    <w:p>
      <w:pPr>
        <w:ind w:left="320"/>
        <w:spacing w:after="0"/>
        <w:rPr>
          <w:rFonts w:ascii="Arial" w:cs="Arial" w:eastAsia="Arial" w:hAnsi="Arial"/>
          <w:sz w:val="16"/>
          <w:szCs w:val="16"/>
          <w:u w:val="single" w:color="auto"/>
          <w:color w:val="0000FF"/>
        </w:rPr>
      </w:pPr>
      <w:hyperlink w:anchor="page27">
        <w:r>
          <w:rPr>
            <w:rFonts w:ascii="Arial" w:cs="Arial" w:eastAsia="Arial" w:hAnsi="Arial"/>
            <w:sz w:val="16"/>
            <w:szCs w:val="16"/>
            <w:u w:val="single" w:color="auto"/>
            <w:color w:val="0000FF"/>
          </w:rPr>
          <w:t>25</w:t>
        </w:r>
      </w:hyperlink>
    </w:p>
    <w:p>
      <w:pPr>
        <w:spacing w:after="0" w:line="86" w:lineRule="exact"/>
        <w:rPr>
          <w:sz w:val="20"/>
          <w:szCs w:val="20"/>
          <w:color w:val="auto"/>
        </w:rPr>
      </w:pPr>
    </w:p>
    <w:p>
      <w:pPr>
        <w:ind w:left="320"/>
        <w:spacing w:after="0"/>
        <w:rPr>
          <w:rFonts w:ascii="Arial" w:cs="Arial" w:eastAsia="Arial" w:hAnsi="Arial"/>
          <w:sz w:val="16"/>
          <w:szCs w:val="16"/>
          <w:u w:val="single" w:color="auto"/>
          <w:color w:val="0000FF"/>
        </w:rPr>
      </w:pPr>
      <w:hyperlink w:anchor="page27">
        <w:r>
          <w:rPr>
            <w:rFonts w:ascii="Arial" w:cs="Arial" w:eastAsia="Arial" w:hAnsi="Arial"/>
            <w:sz w:val="16"/>
            <w:szCs w:val="16"/>
            <w:u w:val="single" w:color="auto"/>
            <w:color w:val="0000FF"/>
          </w:rPr>
          <w:t>25</w:t>
        </w:r>
      </w:hyperlink>
    </w:p>
    <w:p>
      <w:pPr>
        <w:spacing w:after="0" w:line="86" w:lineRule="exact"/>
        <w:rPr>
          <w:sz w:val="20"/>
          <w:szCs w:val="20"/>
          <w:color w:val="auto"/>
        </w:rPr>
      </w:pPr>
    </w:p>
    <w:p>
      <w:pPr>
        <w:ind w:left="320"/>
        <w:spacing w:after="0"/>
        <w:rPr>
          <w:rFonts w:ascii="Arial" w:cs="Arial" w:eastAsia="Arial" w:hAnsi="Arial"/>
          <w:sz w:val="16"/>
          <w:szCs w:val="16"/>
          <w:u w:val="single" w:color="auto"/>
          <w:color w:val="0000FF"/>
        </w:rPr>
      </w:pPr>
      <w:hyperlink w:anchor="page31">
        <w:r>
          <w:rPr>
            <w:rFonts w:ascii="Arial" w:cs="Arial" w:eastAsia="Arial" w:hAnsi="Arial"/>
            <w:sz w:val="16"/>
            <w:szCs w:val="16"/>
            <w:u w:val="single" w:color="auto"/>
            <w:color w:val="0000FF"/>
          </w:rPr>
          <w:t>29</w:t>
        </w:r>
      </w:hyperlink>
    </w:p>
    <w:p>
      <w:pPr>
        <w:spacing w:after="0" w:line="86" w:lineRule="exact"/>
        <w:rPr>
          <w:sz w:val="20"/>
          <w:szCs w:val="20"/>
          <w:color w:val="auto"/>
        </w:rPr>
      </w:pPr>
    </w:p>
    <w:p>
      <w:pPr>
        <w:ind w:left="320"/>
        <w:spacing w:after="0"/>
        <w:rPr>
          <w:rFonts w:ascii="Arial" w:cs="Arial" w:eastAsia="Arial" w:hAnsi="Arial"/>
          <w:sz w:val="16"/>
          <w:szCs w:val="16"/>
          <w:u w:val="single" w:color="auto"/>
          <w:color w:val="0000FF"/>
        </w:rPr>
      </w:pPr>
      <w:hyperlink w:anchor="page53">
        <w:r>
          <w:rPr>
            <w:rFonts w:ascii="Arial" w:cs="Arial" w:eastAsia="Arial" w:hAnsi="Arial"/>
            <w:sz w:val="16"/>
            <w:szCs w:val="16"/>
            <w:u w:val="single" w:color="auto"/>
            <w:color w:val="0000FF"/>
          </w:rPr>
          <w:t>51</w:t>
        </w:r>
      </w:hyperlink>
    </w:p>
    <w:p>
      <w:pPr>
        <w:spacing w:after="0" w:line="86" w:lineRule="exact"/>
        <w:rPr>
          <w:sz w:val="20"/>
          <w:szCs w:val="20"/>
          <w:color w:val="auto"/>
        </w:rPr>
      </w:pPr>
    </w:p>
    <w:p>
      <w:pPr>
        <w:ind w:left="320"/>
        <w:spacing w:after="0"/>
        <w:rPr>
          <w:rFonts w:ascii="Arial" w:cs="Arial" w:eastAsia="Arial" w:hAnsi="Arial"/>
          <w:sz w:val="16"/>
          <w:szCs w:val="16"/>
          <w:u w:val="single" w:color="auto"/>
          <w:color w:val="0000FF"/>
        </w:rPr>
      </w:pPr>
      <w:hyperlink w:anchor="page53">
        <w:r>
          <w:rPr>
            <w:rFonts w:ascii="Arial" w:cs="Arial" w:eastAsia="Arial" w:hAnsi="Arial"/>
            <w:sz w:val="16"/>
            <w:szCs w:val="16"/>
            <w:u w:val="single" w:color="auto"/>
            <w:color w:val="0000FF"/>
          </w:rPr>
          <w:t>51</w:t>
        </w:r>
      </w:hyperlink>
    </w:p>
    <w:p>
      <w:pPr>
        <w:spacing w:after="0" w:line="356" w:lineRule="exact"/>
        <w:rPr>
          <w:sz w:val="20"/>
          <w:szCs w:val="20"/>
          <w:color w:val="auto"/>
        </w:rPr>
      </w:pPr>
    </w:p>
    <w:p>
      <w:pPr>
        <w:ind w:left="320"/>
        <w:spacing w:after="0"/>
        <w:rPr>
          <w:rFonts w:ascii="Arial" w:cs="Arial" w:eastAsia="Arial" w:hAnsi="Arial"/>
          <w:sz w:val="16"/>
          <w:szCs w:val="16"/>
          <w:u w:val="single" w:color="auto"/>
          <w:color w:val="0000FF"/>
        </w:rPr>
      </w:pPr>
      <w:hyperlink w:anchor="page54">
        <w:r>
          <w:rPr>
            <w:rFonts w:ascii="Arial" w:cs="Arial" w:eastAsia="Arial" w:hAnsi="Arial"/>
            <w:sz w:val="16"/>
            <w:szCs w:val="16"/>
            <w:u w:val="single" w:color="auto"/>
            <w:color w:val="0000FF"/>
          </w:rPr>
          <w:t>52</w:t>
        </w:r>
      </w:hyperlink>
    </w:p>
    <w:p>
      <w:pPr>
        <w:spacing w:after="0" w:line="86" w:lineRule="exact"/>
        <w:rPr>
          <w:sz w:val="20"/>
          <w:szCs w:val="20"/>
          <w:color w:val="auto"/>
        </w:rPr>
      </w:pPr>
    </w:p>
    <w:p>
      <w:pPr>
        <w:ind w:left="320"/>
        <w:spacing w:after="0"/>
        <w:rPr>
          <w:rFonts w:ascii="Arial" w:cs="Arial" w:eastAsia="Arial" w:hAnsi="Arial"/>
          <w:sz w:val="16"/>
          <w:szCs w:val="16"/>
          <w:u w:val="single" w:color="auto"/>
          <w:color w:val="0000FF"/>
        </w:rPr>
      </w:pPr>
      <w:hyperlink w:anchor="page54">
        <w:r>
          <w:rPr>
            <w:rFonts w:ascii="Arial" w:cs="Arial" w:eastAsia="Arial" w:hAnsi="Arial"/>
            <w:sz w:val="16"/>
            <w:szCs w:val="16"/>
            <w:u w:val="single" w:color="auto"/>
            <w:color w:val="0000FF"/>
          </w:rPr>
          <w:t>52</w:t>
        </w:r>
      </w:hyperlink>
    </w:p>
    <w:p>
      <w:pPr>
        <w:spacing w:after="0" w:line="86" w:lineRule="exact"/>
        <w:rPr>
          <w:sz w:val="20"/>
          <w:szCs w:val="20"/>
          <w:color w:val="auto"/>
        </w:rPr>
      </w:pPr>
    </w:p>
    <w:p>
      <w:pPr>
        <w:ind w:left="320"/>
        <w:spacing w:after="0"/>
        <w:rPr>
          <w:rFonts w:ascii="Arial" w:cs="Arial" w:eastAsia="Arial" w:hAnsi="Arial"/>
          <w:sz w:val="16"/>
          <w:szCs w:val="16"/>
          <w:u w:val="single" w:color="auto"/>
          <w:color w:val="0000FF"/>
        </w:rPr>
      </w:pPr>
      <w:hyperlink w:anchor="page54">
        <w:r>
          <w:rPr>
            <w:rFonts w:ascii="Arial" w:cs="Arial" w:eastAsia="Arial" w:hAnsi="Arial"/>
            <w:sz w:val="16"/>
            <w:szCs w:val="16"/>
            <w:u w:val="single" w:color="auto"/>
            <w:color w:val="0000FF"/>
          </w:rPr>
          <w:t>53</w:t>
        </w:r>
      </w:hyperlink>
    </w:p>
    <w:p>
      <w:pPr>
        <w:spacing w:after="0" w:line="86" w:lineRule="exact"/>
        <w:rPr>
          <w:sz w:val="20"/>
          <w:szCs w:val="20"/>
          <w:color w:val="auto"/>
        </w:rPr>
      </w:pPr>
    </w:p>
    <w:p>
      <w:pPr>
        <w:ind w:left="320"/>
        <w:spacing w:after="0"/>
        <w:rPr>
          <w:rFonts w:ascii="Arial" w:cs="Arial" w:eastAsia="Arial" w:hAnsi="Arial"/>
          <w:sz w:val="16"/>
          <w:szCs w:val="16"/>
          <w:u w:val="single" w:color="auto"/>
          <w:color w:val="0000FF"/>
        </w:rPr>
      </w:pPr>
      <w:hyperlink w:anchor="page55">
        <w:r>
          <w:rPr>
            <w:rFonts w:ascii="Arial" w:cs="Arial" w:eastAsia="Arial" w:hAnsi="Arial"/>
            <w:sz w:val="16"/>
            <w:szCs w:val="16"/>
            <w:u w:val="single" w:color="auto"/>
            <w:color w:val="0000FF"/>
          </w:rPr>
          <w:t>54</w:t>
        </w:r>
      </w:hyperlink>
    </w:p>
    <w:p>
      <w:pPr>
        <w:spacing w:after="0" w:line="86" w:lineRule="exact"/>
        <w:rPr>
          <w:sz w:val="20"/>
          <w:szCs w:val="20"/>
          <w:color w:val="auto"/>
        </w:rPr>
      </w:pPr>
    </w:p>
    <w:p>
      <w:pPr>
        <w:ind w:left="320"/>
        <w:spacing w:after="0"/>
        <w:rPr>
          <w:rFonts w:ascii="Arial" w:cs="Arial" w:eastAsia="Arial" w:hAnsi="Arial"/>
          <w:sz w:val="16"/>
          <w:szCs w:val="16"/>
          <w:u w:val="single" w:color="auto"/>
          <w:color w:val="0000FF"/>
        </w:rPr>
      </w:pPr>
      <w:hyperlink w:anchor="page56">
        <w:r>
          <w:rPr>
            <w:rFonts w:ascii="Arial" w:cs="Arial" w:eastAsia="Arial" w:hAnsi="Arial"/>
            <w:sz w:val="16"/>
            <w:szCs w:val="16"/>
            <w:u w:val="single" w:color="auto"/>
            <w:color w:val="0000FF"/>
          </w:rPr>
          <w:t>55</w:t>
        </w:r>
      </w:hyperlink>
    </w:p>
    <w:p>
      <w:pPr>
        <w:sectPr>
          <w:pgSz w:w="11900" w:h="16838" w:orient="portrait"/>
          <w:cols w:equalWidth="0" w:num="2">
            <w:col w:w="9960" w:space="720"/>
            <w:col w:w="500"/>
          </w:cols>
          <w:pgMar w:left="340" w:top="931" w:right="37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INCOME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 (Unaudited)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7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840"/>
              <w:spacing w:after="0"/>
              <w:rPr>
                <w:sz w:val="20"/>
                <w:szCs w:val="20"/>
                <w:color w:val="auto"/>
              </w:rPr>
            </w:pPr>
            <w:r>
              <w:rPr>
                <w:rFonts w:ascii="Arial" w:cs="Arial" w:eastAsia="Arial" w:hAnsi="Arial"/>
                <w:sz w:val="14"/>
                <w:szCs w:val="14"/>
                <w:b w:val="1"/>
                <w:bCs w:val="1"/>
                <w:color w:val="auto"/>
              </w:rPr>
              <w:t>Six Months Ended</w:t>
            </w:r>
          </w:p>
        </w:tc>
      </w:tr>
      <w:tr>
        <w:trPr>
          <w:trHeight w:val="182"/>
        </w:trPr>
        <w:tc>
          <w:tcPr>
            <w:tcW w:w="5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2"/>
          </w:tcPr>
          <w:p>
            <w:pPr>
              <w:ind w:left="120"/>
              <w:spacing w:after="0"/>
              <w:rPr>
                <w:sz w:val="20"/>
                <w:szCs w:val="20"/>
                <w:color w:val="auto"/>
              </w:rPr>
            </w:pPr>
            <w:r>
              <w:rPr>
                <w:rFonts w:ascii="Arial" w:cs="Arial" w:eastAsia="Arial" w:hAnsi="Arial"/>
                <w:sz w:val="13"/>
                <w:szCs w:val="13"/>
                <w:b w:val="1"/>
                <w:bCs w:val="1"/>
                <w:color w:val="auto"/>
              </w:rPr>
              <w:t>June 30, 2020</w:t>
            </w:r>
          </w:p>
        </w:tc>
        <w:tc>
          <w:tcPr>
            <w:tcW w:w="220" w:type="dxa"/>
            <w:vAlign w:val="bottom"/>
          </w:tcPr>
          <w:p>
            <w:pPr>
              <w:spacing w:after="0"/>
              <w:rPr>
                <w:sz w:val="15"/>
                <w:szCs w:val="15"/>
                <w:color w:val="auto"/>
              </w:rPr>
            </w:pPr>
          </w:p>
        </w:tc>
        <w:tc>
          <w:tcPr>
            <w:tcW w:w="1300" w:type="dxa"/>
            <w:vAlign w:val="bottom"/>
            <w:gridSpan w:val="2"/>
          </w:tcPr>
          <w:p>
            <w:pPr>
              <w:ind w:left="120"/>
              <w:spacing w:after="0"/>
              <w:rPr>
                <w:sz w:val="20"/>
                <w:szCs w:val="20"/>
                <w:color w:val="auto"/>
              </w:rPr>
            </w:pPr>
            <w:r>
              <w:rPr>
                <w:rFonts w:ascii="Arial" w:cs="Arial" w:eastAsia="Arial" w:hAnsi="Arial"/>
                <w:sz w:val="13"/>
                <w:szCs w:val="13"/>
                <w:b w:val="1"/>
                <w:bCs w:val="1"/>
                <w:color w:val="auto"/>
              </w:rPr>
              <w:t>June 30, 2019</w:t>
            </w:r>
          </w:p>
        </w:tc>
        <w:tc>
          <w:tcPr>
            <w:tcW w:w="240" w:type="dxa"/>
            <w:vAlign w:val="bottom"/>
          </w:tcPr>
          <w:p>
            <w:pPr>
              <w:spacing w:after="0"/>
              <w:rPr>
                <w:sz w:val="15"/>
                <w:szCs w:val="15"/>
                <w:color w:val="auto"/>
              </w:rPr>
            </w:pPr>
          </w:p>
        </w:tc>
        <w:tc>
          <w:tcPr>
            <w:tcW w:w="1300" w:type="dxa"/>
            <w:vAlign w:val="bottom"/>
            <w:gridSpan w:val="2"/>
          </w:tcPr>
          <w:p>
            <w:pPr>
              <w:ind w:left="120"/>
              <w:spacing w:after="0"/>
              <w:rPr>
                <w:sz w:val="20"/>
                <w:szCs w:val="20"/>
                <w:color w:val="auto"/>
              </w:rPr>
            </w:pPr>
            <w:r>
              <w:rPr>
                <w:rFonts w:ascii="Arial" w:cs="Arial" w:eastAsia="Arial" w:hAnsi="Arial"/>
                <w:sz w:val="13"/>
                <w:szCs w:val="13"/>
                <w:b w:val="1"/>
                <w:bCs w:val="1"/>
                <w:color w:val="auto"/>
              </w:rPr>
              <w:t>June 30, 2020</w:t>
            </w:r>
          </w:p>
        </w:tc>
        <w:tc>
          <w:tcPr>
            <w:tcW w:w="240" w:type="dxa"/>
            <w:vAlign w:val="bottom"/>
          </w:tcPr>
          <w:p>
            <w:pPr>
              <w:spacing w:after="0"/>
              <w:rPr>
                <w:sz w:val="15"/>
                <w:szCs w:val="15"/>
                <w:color w:val="auto"/>
              </w:rPr>
            </w:pPr>
          </w:p>
        </w:tc>
        <w:tc>
          <w:tcPr>
            <w:tcW w:w="1200" w:type="dxa"/>
            <w:vAlign w:val="bottom"/>
          </w:tcPr>
          <w:p>
            <w:pPr>
              <w:jc w:val="right"/>
              <w:ind w:right="260"/>
              <w:spacing w:after="0"/>
              <w:rPr>
                <w:sz w:val="20"/>
                <w:szCs w:val="20"/>
                <w:color w:val="auto"/>
              </w:rPr>
            </w:pPr>
            <w:r>
              <w:rPr>
                <w:rFonts w:ascii="Arial" w:cs="Arial" w:eastAsia="Arial" w:hAnsi="Arial"/>
                <w:sz w:val="13"/>
                <w:szCs w:val="13"/>
                <w:b w:val="1"/>
                <w:bCs w:val="1"/>
                <w:color w:val="auto"/>
                <w:w w:val="99"/>
              </w:rPr>
              <w:t>June 30, 2019</w:t>
            </w:r>
          </w:p>
        </w:tc>
      </w:tr>
      <w:tr>
        <w:trPr>
          <w:trHeight w:val="210"/>
        </w:trPr>
        <w:tc>
          <w:tcPr>
            <w:tcW w:w="5200" w:type="dxa"/>
            <w:vAlign w:val="bottom"/>
          </w:tcPr>
          <w:p>
            <w:pPr>
              <w:ind w:left="20"/>
              <w:spacing w:after="0"/>
              <w:rPr>
                <w:sz w:val="20"/>
                <w:szCs w:val="20"/>
                <w:color w:val="auto"/>
              </w:rPr>
            </w:pPr>
            <w:r>
              <w:rPr>
                <w:rFonts w:ascii="Arial" w:cs="Arial" w:eastAsia="Arial" w:hAnsi="Arial"/>
                <w:sz w:val="16"/>
                <w:szCs w:val="16"/>
                <w:b w:val="1"/>
                <w:bCs w:val="1"/>
                <w:color w:val="auto"/>
              </w:rPr>
              <w:t>Net sales and revenue</w:t>
            </w:r>
          </w:p>
        </w:tc>
        <w:tc>
          <w:tcPr>
            <w:tcW w:w="2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r>
      <w:tr>
        <w:trPr>
          <w:trHeight w:val="33"/>
        </w:trPr>
        <w:tc>
          <w:tcPr>
            <w:tcW w:w="5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52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Automotive</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13,363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32,425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42,513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63,686</w:t>
            </w:r>
          </w:p>
        </w:tc>
      </w:tr>
      <w:tr>
        <w:trPr>
          <w:trHeight w:val="223"/>
        </w:trPr>
        <w:tc>
          <w:tcPr>
            <w:tcW w:w="5200" w:type="dxa"/>
            <w:vAlign w:val="bottom"/>
          </w:tcPr>
          <w:p>
            <w:pPr>
              <w:ind w:left="120"/>
              <w:spacing w:after="0"/>
              <w:rPr>
                <w:sz w:val="20"/>
                <w:szCs w:val="20"/>
                <w:color w:val="auto"/>
              </w:rPr>
            </w:pPr>
            <w:r>
              <w:rPr>
                <w:rFonts w:ascii="Arial" w:cs="Arial" w:eastAsia="Arial" w:hAnsi="Arial"/>
                <w:sz w:val="16"/>
                <w:szCs w:val="16"/>
                <w:color w:val="auto"/>
              </w:rPr>
              <w:t>GM Financial</w:t>
            </w:r>
          </w:p>
        </w:tc>
        <w:tc>
          <w:tcPr>
            <w:tcW w:w="220" w:type="dxa"/>
            <w:vAlign w:val="bottom"/>
          </w:tcPr>
          <w:p>
            <w:pPr>
              <w:spacing w:after="0"/>
              <w:rPr>
                <w:sz w:val="19"/>
                <w:szCs w:val="19"/>
                <w:color w:val="auto"/>
              </w:rPr>
            </w:pPr>
          </w:p>
        </w:tc>
        <w:tc>
          <w:tcPr>
            <w:tcW w:w="1200" w:type="dxa"/>
            <w:vAlign w:val="bottom"/>
          </w:tcPr>
          <w:p>
            <w:pPr>
              <w:jc w:val="right"/>
              <w:ind w:right="60"/>
              <w:spacing w:after="0"/>
              <w:rPr>
                <w:sz w:val="20"/>
                <w:szCs w:val="20"/>
                <w:color w:val="auto"/>
              </w:rPr>
            </w:pPr>
            <w:r>
              <w:rPr>
                <w:rFonts w:ascii="Arial" w:cs="Arial" w:eastAsia="Arial" w:hAnsi="Arial"/>
                <w:sz w:val="16"/>
                <w:szCs w:val="16"/>
                <w:color w:val="auto"/>
              </w:rPr>
              <w:t>3,415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ind w:right="60"/>
              <w:spacing w:after="0"/>
              <w:rPr>
                <w:sz w:val="20"/>
                <w:szCs w:val="20"/>
                <w:color w:val="auto"/>
              </w:rPr>
            </w:pPr>
            <w:r>
              <w:rPr>
                <w:rFonts w:ascii="Arial" w:cs="Arial" w:eastAsia="Arial" w:hAnsi="Arial"/>
                <w:sz w:val="16"/>
                <w:szCs w:val="16"/>
                <w:color w:val="auto"/>
              </w:rPr>
              <w:t>3,635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ind w:right="60"/>
              <w:spacing w:after="0"/>
              <w:rPr>
                <w:sz w:val="20"/>
                <w:szCs w:val="20"/>
                <w:color w:val="auto"/>
              </w:rPr>
            </w:pPr>
            <w:r>
              <w:rPr>
                <w:rFonts w:ascii="Arial" w:cs="Arial" w:eastAsia="Arial" w:hAnsi="Arial"/>
                <w:sz w:val="16"/>
                <w:szCs w:val="16"/>
                <w:color w:val="auto"/>
              </w:rPr>
              <w:t>6,974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ind w:right="60"/>
              <w:spacing w:after="0"/>
              <w:rPr>
                <w:sz w:val="20"/>
                <w:szCs w:val="20"/>
                <w:color w:val="auto"/>
              </w:rPr>
            </w:pPr>
            <w:r>
              <w:rPr>
                <w:rFonts w:ascii="Arial" w:cs="Arial" w:eastAsia="Arial" w:hAnsi="Arial"/>
                <w:sz w:val="16"/>
                <w:szCs w:val="16"/>
                <w:color w:val="auto"/>
              </w:rPr>
              <w:t>7,252</w:t>
            </w:r>
          </w:p>
        </w:tc>
      </w:tr>
      <w:tr>
        <w:trPr>
          <w:trHeight w:val="33"/>
        </w:trPr>
        <w:tc>
          <w:tcPr>
            <w:tcW w:w="5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net sales and revenue (Note 3)</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16,778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36,060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49,487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70,938</w:t>
            </w:r>
          </w:p>
        </w:tc>
      </w:tr>
      <w:tr>
        <w:trPr>
          <w:trHeight w:val="204"/>
        </w:trPr>
        <w:tc>
          <w:tcPr>
            <w:tcW w:w="5200" w:type="dxa"/>
            <w:vAlign w:val="bottom"/>
          </w:tcPr>
          <w:p>
            <w:pPr>
              <w:ind w:left="20"/>
              <w:spacing w:after="0"/>
              <w:rPr>
                <w:sz w:val="20"/>
                <w:szCs w:val="20"/>
                <w:color w:val="auto"/>
              </w:rPr>
            </w:pPr>
            <w:r>
              <w:rPr>
                <w:rFonts w:ascii="Arial" w:cs="Arial" w:eastAsia="Arial" w:hAnsi="Arial"/>
                <w:sz w:val="16"/>
                <w:szCs w:val="16"/>
                <w:b w:val="1"/>
                <w:bCs w:val="1"/>
                <w:color w:val="auto"/>
              </w:rPr>
              <w:t>Costs and expenses</w:t>
            </w:r>
          </w:p>
        </w:tc>
        <w:tc>
          <w:tcPr>
            <w:tcW w:w="2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r>
      <w:tr>
        <w:trPr>
          <w:trHeight w:val="33"/>
        </w:trPr>
        <w:tc>
          <w:tcPr>
            <w:tcW w:w="5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52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Automotive and other cost of sales</w:t>
            </w: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13,444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28,327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40,170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56,556</w:t>
            </w:r>
          </w:p>
        </w:tc>
      </w:tr>
      <w:tr>
        <w:trPr>
          <w:trHeight w:val="224"/>
        </w:trPr>
        <w:tc>
          <w:tcPr>
            <w:tcW w:w="5200" w:type="dxa"/>
            <w:vAlign w:val="bottom"/>
          </w:tcPr>
          <w:p>
            <w:pPr>
              <w:ind w:left="120"/>
              <w:spacing w:after="0"/>
              <w:rPr>
                <w:sz w:val="20"/>
                <w:szCs w:val="20"/>
                <w:color w:val="auto"/>
              </w:rPr>
            </w:pPr>
            <w:r>
              <w:rPr>
                <w:rFonts w:ascii="Arial" w:cs="Arial" w:eastAsia="Arial" w:hAnsi="Arial"/>
                <w:sz w:val="16"/>
                <w:szCs w:val="16"/>
                <w:color w:val="auto"/>
              </w:rPr>
              <w:t>GM Financial interest, operating and other expenses</w:t>
            </w:r>
          </w:p>
        </w:tc>
        <w:tc>
          <w:tcPr>
            <w:tcW w:w="220" w:type="dxa"/>
            <w:vAlign w:val="bottom"/>
          </w:tcPr>
          <w:p>
            <w:pPr>
              <w:spacing w:after="0"/>
              <w:rPr>
                <w:sz w:val="19"/>
                <w:szCs w:val="19"/>
                <w:color w:val="auto"/>
              </w:rPr>
            </w:pPr>
          </w:p>
        </w:tc>
        <w:tc>
          <w:tcPr>
            <w:tcW w:w="1200" w:type="dxa"/>
            <w:vAlign w:val="bottom"/>
          </w:tcPr>
          <w:p>
            <w:pPr>
              <w:jc w:val="right"/>
              <w:ind w:right="60"/>
              <w:spacing w:after="0"/>
              <w:rPr>
                <w:sz w:val="20"/>
                <w:szCs w:val="20"/>
                <w:color w:val="auto"/>
              </w:rPr>
            </w:pPr>
            <w:r>
              <w:rPr>
                <w:rFonts w:ascii="Arial" w:cs="Arial" w:eastAsia="Arial" w:hAnsi="Arial"/>
                <w:sz w:val="16"/>
                <w:szCs w:val="16"/>
                <w:color w:val="auto"/>
              </w:rPr>
              <w:t>3,238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ind w:right="60"/>
              <w:spacing w:after="0"/>
              <w:rPr>
                <w:sz w:val="20"/>
                <w:szCs w:val="20"/>
                <w:color w:val="auto"/>
              </w:rPr>
            </w:pPr>
            <w:r>
              <w:rPr>
                <w:rFonts w:ascii="Arial" w:cs="Arial" w:eastAsia="Arial" w:hAnsi="Arial"/>
                <w:sz w:val="16"/>
                <w:szCs w:val="16"/>
                <w:color w:val="auto"/>
              </w:rPr>
              <w:t>3,144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ind w:right="60"/>
              <w:spacing w:after="0"/>
              <w:rPr>
                <w:sz w:val="20"/>
                <w:szCs w:val="20"/>
                <w:color w:val="auto"/>
              </w:rPr>
            </w:pPr>
            <w:r>
              <w:rPr>
                <w:rFonts w:ascii="Arial" w:cs="Arial" w:eastAsia="Arial" w:hAnsi="Arial"/>
                <w:sz w:val="16"/>
                <w:szCs w:val="16"/>
                <w:color w:val="auto"/>
              </w:rPr>
              <w:t>6,594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ind w:right="60"/>
              <w:spacing w:after="0"/>
              <w:rPr>
                <w:sz w:val="20"/>
                <w:szCs w:val="20"/>
                <w:color w:val="auto"/>
              </w:rPr>
            </w:pPr>
            <w:r>
              <w:rPr>
                <w:rFonts w:ascii="Arial" w:cs="Arial" w:eastAsia="Arial" w:hAnsi="Arial"/>
                <w:sz w:val="16"/>
                <w:szCs w:val="16"/>
                <w:color w:val="auto"/>
              </w:rPr>
              <w:t>6,450</w:t>
            </w:r>
          </w:p>
        </w:tc>
      </w:tr>
      <w:tr>
        <w:trPr>
          <w:trHeight w:val="33"/>
        </w:trPr>
        <w:tc>
          <w:tcPr>
            <w:tcW w:w="5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3"/>
        </w:trPr>
        <w:tc>
          <w:tcPr>
            <w:tcW w:w="5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Automotive and other selling, general and administrative expense</w:t>
            </w:r>
          </w:p>
        </w:tc>
        <w:tc>
          <w:tcPr>
            <w:tcW w:w="22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1,310</w:t>
            </w: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2,102</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3,280</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4,201</w:t>
            </w:r>
          </w:p>
        </w:tc>
      </w:tr>
      <w:tr>
        <w:trPr>
          <w:trHeight w:val="220"/>
        </w:trPr>
        <w:tc>
          <w:tcPr>
            <w:tcW w:w="5200" w:type="dxa"/>
            <w:vAlign w:val="bottom"/>
          </w:tcPr>
          <w:p>
            <w:pPr>
              <w:ind w:left="120"/>
              <w:spacing w:after="0"/>
              <w:rPr>
                <w:sz w:val="20"/>
                <w:szCs w:val="20"/>
                <w:color w:val="auto"/>
              </w:rPr>
            </w:pPr>
            <w:r>
              <w:rPr>
                <w:rFonts w:ascii="Arial" w:cs="Arial" w:eastAsia="Arial" w:hAnsi="Arial"/>
                <w:sz w:val="16"/>
                <w:szCs w:val="16"/>
                <w:color w:val="auto"/>
              </w:rPr>
              <w:t>Total costs and expenses</w:t>
            </w:r>
          </w:p>
        </w:tc>
        <w:tc>
          <w:tcPr>
            <w:tcW w:w="220" w:type="dxa"/>
            <w:vAlign w:val="bottom"/>
          </w:tcPr>
          <w:p>
            <w:pPr>
              <w:spacing w:after="0"/>
              <w:rPr>
                <w:sz w:val="19"/>
                <w:szCs w:val="19"/>
                <w:color w:val="auto"/>
              </w:rPr>
            </w:pPr>
          </w:p>
        </w:tc>
        <w:tc>
          <w:tcPr>
            <w:tcW w:w="1200" w:type="dxa"/>
            <w:vAlign w:val="bottom"/>
          </w:tcPr>
          <w:p>
            <w:pPr>
              <w:jc w:val="right"/>
              <w:ind w:right="60"/>
              <w:spacing w:after="0"/>
              <w:rPr>
                <w:sz w:val="20"/>
                <w:szCs w:val="20"/>
                <w:color w:val="auto"/>
              </w:rPr>
            </w:pPr>
            <w:r>
              <w:rPr>
                <w:rFonts w:ascii="Arial" w:cs="Arial" w:eastAsia="Arial" w:hAnsi="Arial"/>
                <w:sz w:val="16"/>
                <w:szCs w:val="16"/>
                <w:color w:val="auto"/>
              </w:rPr>
              <w:t>17,992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ind w:right="60"/>
              <w:spacing w:after="0"/>
              <w:rPr>
                <w:sz w:val="20"/>
                <w:szCs w:val="20"/>
                <w:color w:val="auto"/>
              </w:rPr>
            </w:pPr>
            <w:r>
              <w:rPr>
                <w:rFonts w:ascii="Arial" w:cs="Arial" w:eastAsia="Arial" w:hAnsi="Arial"/>
                <w:sz w:val="16"/>
                <w:szCs w:val="16"/>
                <w:color w:val="auto"/>
              </w:rPr>
              <w:t>33,573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ind w:right="60"/>
              <w:spacing w:after="0"/>
              <w:rPr>
                <w:sz w:val="20"/>
                <w:szCs w:val="20"/>
                <w:color w:val="auto"/>
              </w:rPr>
            </w:pPr>
            <w:r>
              <w:rPr>
                <w:rFonts w:ascii="Arial" w:cs="Arial" w:eastAsia="Arial" w:hAnsi="Arial"/>
                <w:sz w:val="16"/>
                <w:szCs w:val="16"/>
                <w:color w:val="auto"/>
              </w:rPr>
              <w:t>50,044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ind w:right="60"/>
              <w:spacing w:after="0"/>
              <w:rPr>
                <w:sz w:val="20"/>
                <w:szCs w:val="20"/>
                <w:color w:val="auto"/>
              </w:rPr>
            </w:pPr>
            <w:r>
              <w:rPr>
                <w:rFonts w:ascii="Arial" w:cs="Arial" w:eastAsia="Arial" w:hAnsi="Arial"/>
                <w:sz w:val="16"/>
                <w:szCs w:val="16"/>
                <w:color w:val="auto"/>
              </w:rPr>
              <w:t>67,207</w:t>
            </w:r>
          </w:p>
        </w:tc>
      </w:tr>
      <w:tr>
        <w:trPr>
          <w:trHeight w:val="33"/>
        </w:trPr>
        <w:tc>
          <w:tcPr>
            <w:tcW w:w="5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5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Operating income (loss)</w:t>
            </w: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(1,214)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2,487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(557)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3,731</w:t>
            </w:r>
          </w:p>
        </w:tc>
      </w:tr>
      <w:tr>
        <w:trPr>
          <w:trHeight w:val="223"/>
        </w:trPr>
        <w:tc>
          <w:tcPr>
            <w:tcW w:w="5200" w:type="dxa"/>
            <w:vAlign w:val="bottom"/>
          </w:tcPr>
          <w:p>
            <w:pPr>
              <w:ind w:left="20"/>
              <w:spacing w:after="0"/>
              <w:rPr>
                <w:sz w:val="20"/>
                <w:szCs w:val="20"/>
                <w:color w:val="auto"/>
              </w:rPr>
            </w:pPr>
            <w:r>
              <w:rPr>
                <w:rFonts w:ascii="Arial" w:cs="Arial" w:eastAsia="Arial" w:hAnsi="Arial"/>
                <w:sz w:val="16"/>
                <w:szCs w:val="16"/>
                <w:color w:val="auto"/>
              </w:rPr>
              <w:t>Automotive interest expense</w:t>
            </w:r>
          </w:p>
        </w:tc>
        <w:tc>
          <w:tcPr>
            <w:tcW w:w="220" w:type="dxa"/>
            <w:vAlign w:val="bottom"/>
          </w:tcPr>
          <w:p>
            <w:pPr>
              <w:spacing w:after="0"/>
              <w:rPr>
                <w:sz w:val="19"/>
                <w:szCs w:val="19"/>
                <w:color w:val="auto"/>
              </w:rPr>
            </w:pPr>
          </w:p>
        </w:tc>
        <w:tc>
          <w:tcPr>
            <w:tcW w:w="1200" w:type="dxa"/>
            <w:vAlign w:val="bottom"/>
          </w:tcPr>
          <w:p>
            <w:pPr>
              <w:jc w:val="right"/>
              <w:ind w:right="60"/>
              <w:spacing w:after="0"/>
              <w:rPr>
                <w:sz w:val="20"/>
                <w:szCs w:val="20"/>
                <w:color w:val="auto"/>
              </w:rPr>
            </w:pPr>
            <w:r>
              <w:rPr>
                <w:rFonts w:ascii="Arial" w:cs="Arial" w:eastAsia="Arial" w:hAnsi="Arial"/>
                <w:sz w:val="16"/>
                <w:szCs w:val="16"/>
                <w:color w:val="auto"/>
              </w:rPr>
              <w:t>303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ind w:right="60"/>
              <w:spacing w:after="0"/>
              <w:rPr>
                <w:sz w:val="20"/>
                <w:szCs w:val="20"/>
                <w:color w:val="auto"/>
              </w:rPr>
            </w:pPr>
            <w:r>
              <w:rPr>
                <w:rFonts w:ascii="Arial" w:cs="Arial" w:eastAsia="Arial" w:hAnsi="Arial"/>
                <w:sz w:val="16"/>
                <w:szCs w:val="16"/>
                <w:color w:val="auto"/>
              </w:rPr>
              <w:t>195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ind w:right="60"/>
              <w:spacing w:after="0"/>
              <w:rPr>
                <w:sz w:val="20"/>
                <w:szCs w:val="20"/>
                <w:color w:val="auto"/>
              </w:rPr>
            </w:pPr>
            <w:r>
              <w:rPr>
                <w:rFonts w:ascii="Arial" w:cs="Arial" w:eastAsia="Arial" w:hAnsi="Arial"/>
                <w:sz w:val="16"/>
                <w:szCs w:val="16"/>
                <w:color w:val="auto"/>
              </w:rPr>
              <w:t>496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ind w:right="60"/>
              <w:spacing w:after="0"/>
              <w:rPr>
                <w:sz w:val="20"/>
                <w:szCs w:val="20"/>
                <w:color w:val="auto"/>
              </w:rPr>
            </w:pPr>
            <w:r>
              <w:rPr>
                <w:rFonts w:ascii="Arial" w:cs="Arial" w:eastAsia="Arial" w:hAnsi="Arial"/>
                <w:sz w:val="16"/>
                <w:szCs w:val="16"/>
                <w:color w:val="auto"/>
              </w:rPr>
              <w:t>376</w:t>
            </w:r>
          </w:p>
        </w:tc>
      </w:tr>
      <w:tr>
        <w:trPr>
          <w:trHeight w:val="33"/>
        </w:trPr>
        <w:tc>
          <w:tcPr>
            <w:tcW w:w="5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income and other non-operating income, net</w:t>
            </w: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413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364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724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1,169</w:t>
            </w:r>
          </w:p>
        </w:tc>
      </w:tr>
      <w:tr>
        <w:trPr>
          <w:trHeight w:val="253"/>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Equity income (Note 8)</w:t>
            </w:r>
          </w:p>
        </w:tc>
        <w:tc>
          <w:tcPr>
            <w:tcW w:w="2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212</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271</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80</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685</w:t>
            </w:r>
          </w:p>
        </w:tc>
      </w:tr>
      <w:tr>
        <w:trPr>
          <w:trHeight w:val="233"/>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(loss) before income taxes</w:t>
            </w: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(892)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2,927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5,209</w:t>
            </w:r>
          </w:p>
        </w:tc>
      </w:tr>
      <w:tr>
        <w:trPr>
          <w:trHeight w:val="223"/>
        </w:trPr>
        <w:tc>
          <w:tcPr>
            <w:tcW w:w="5200" w:type="dxa"/>
            <w:vAlign w:val="bottom"/>
          </w:tcPr>
          <w:p>
            <w:pPr>
              <w:ind w:left="20"/>
              <w:spacing w:after="0"/>
              <w:rPr>
                <w:sz w:val="20"/>
                <w:szCs w:val="20"/>
                <w:color w:val="auto"/>
              </w:rPr>
            </w:pPr>
            <w:r>
              <w:rPr>
                <w:rFonts w:ascii="Arial" w:cs="Arial" w:eastAsia="Arial" w:hAnsi="Arial"/>
                <w:sz w:val="16"/>
                <w:szCs w:val="16"/>
                <w:color w:val="auto"/>
              </w:rPr>
              <w:t>Income tax expense (benefit) (Note 16)</w:t>
            </w:r>
          </w:p>
        </w:tc>
        <w:tc>
          <w:tcPr>
            <w:tcW w:w="220" w:type="dxa"/>
            <w:vAlign w:val="bottom"/>
          </w:tcPr>
          <w:p>
            <w:pPr>
              <w:spacing w:after="0"/>
              <w:rPr>
                <w:sz w:val="19"/>
                <w:szCs w:val="19"/>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(112)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ind w:right="60"/>
              <w:spacing w:after="0"/>
              <w:rPr>
                <w:sz w:val="20"/>
                <w:szCs w:val="20"/>
                <w:color w:val="auto"/>
              </w:rPr>
            </w:pPr>
            <w:r>
              <w:rPr>
                <w:rFonts w:ascii="Arial" w:cs="Arial" w:eastAsia="Arial" w:hAnsi="Arial"/>
                <w:sz w:val="16"/>
                <w:szCs w:val="16"/>
                <w:color w:val="auto"/>
              </w:rPr>
              <w:t>524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ind w:right="60"/>
              <w:spacing w:after="0"/>
              <w:rPr>
                <w:sz w:val="20"/>
                <w:szCs w:val="20"/>
                <w:color w:val="auto"/>
              </w:rPr>
            </w:pPr>
            <w:r>
              <w:rPr>
                <w:rFonts w:ascii="Arial" w:cs="Arial" w:eastAsia="Arial" w:hAnsi="Arial"/>
                <w:sz w:val="16"/>
                <w:szCs w:val="16"/>
                <w:color w:val="auto"/>
              </w:rPr>
              <w:t>245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ind w:right="60"/>
              <w:spacing w:after="0"/>
              <w:rPr>
                <w:sz w:val="20"/>
                <w:szCs w:val="20"/>
                <w:color w:val="auto"/>
              </w:rPr>
            </w:pPr>
            <w:r>
              <w:rPr>
                <w:rFonts w:ascii="Arial" w:cs="Arial" w:eastAsia="Arial" w:hAnsi="Arial"/>
                <w:sz w:val="16"/>
                <w:szCs w:val="16"/>
                <w:color w:val="auto"/>
              </w:rPr>
              <w:t>661</w:t>
            </w:r>
          </w:p>
        </w:tc>
      </w:tr>
      <w:tr>
        <w:trPr>
          <w:trHeight w:val="33"/>
        </w:trPr>
        <w:tc>
          <w:tcPr>
            <w:tcW w:w="5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w:t>
            </w: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(780)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2,403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(494)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4,548</w:t>
            </w:r>
          </w:p>
        </w:tc>
      </w:tr>
      <w:tr>
        <w:trPr>
          <w:trHeight w:val="223"/>
        </w:trPr>
        <w:tc>
          <w:tcPr>
            <w:tcW w:w="5200" w:type="dxa"/>
            <w:vAlign w:val="bottom"/>
          </w:tcPr>
          <w:p>
            <w:pPr>
              <w:ind w:left="20"/>
              <w:spacing w:after="0"/>
              <w:rPr>
                <w:sz w:val="20"/>
                <w:szCs w:val="20"/>
                <w:color w:val="auto"/>
              </w:rPr>
            </w:pPr>
            <w:r>
              <w:rPr>
                <w:rFonts w:ascii="Arial" w:cs="Arial" w:eastAsia="Arial" w:hAnsi="Arial"/>
                <w:sz w:val="16"/>
                <w:szCs w:val="16"/>
                <w:color w:val="auto"/>
              </w:rPr>
              <w:t>Net loss attributable to noncontrolling interests</w:t>
            </w:r>
          </w:p>
        </w:tc>
        <w:tc>
          <w:tcPr>
            <w:tcW w:w="220" w:type="dxa"/>
            <w:vAlign w:val="bottom"/>
          </w:tcPr>
          <w:p>
            <w:pPr>
              <w:spacing w:after="0"/>
              <w:rPr>
                <w:sz w:val="19"/>
                <w:szCs w:val="19"/>
                <w:color w:val="auto"/>
              </w:rPr>
            </w:pPr>
          </w:p>
        </w:tc>
        <w:tc>
          <w:tcPr>
            <w:tcW w:w="1200" w:type="dxa"/>
            <w:vAlign w:val="bottom"/>
          </w:tcPr>
          <w:p>
            <w:pPr>
              <w:jc w:val="right"/>
              <w:ind w:right="60"/>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ind w:right="60"/>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ind w:right="60"/>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ind w:right="60"/>
              <w:spacing w:after="0"/>
              <w:rPr>
                <w:sz w:val="20"/>
                <w:szCs w:val="20"/>
                <w:color w:val="auto"/>
              </w:rPr>
            </w:pPr>
            <w:r>
              <w:rPr>
                <w:rFonts w:ascii="Arial" w:cs="Arial" w:eastAsia="Arial" w:hAnsi="Arial"/>
                <w:sz w:val="16"/>
                <w:szCs w:val="16"/>
                <w:color w:val="auto"/>
              </w:rPr>
              <w:t>27</w:t>
            </w:r>
          </w:p>
        </w:tc>
      </w:tr>
      <w:tr>
        <w:trPr>
          <w:trHeight w:val="33"/>
        </w:trPr>
        <w:tc>
          <w:tcPr>
            <w:tcW w:w="5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72"/>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 attributable to stockholders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(758)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2,418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(464)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4,575</w:t>
            </w:r>
          </w:p>
        </w:tc>
      </w:tr>
      <w:tr>
        <w:trPr>
          <w:trHeight w:val="22"/>
        </w:trPr>
        <w:tc>
          <w:tcPr>
            <w:tcW w:w="5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59"/>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 attributable to common stockholders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(806)</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2,381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(559)</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4,500</w:t>
            </w:r>
          </w:p>
        </w:tc>
      </w:tr>
      <w:tr>
        <w:trPr>
          <w:trHeight w:val="54"/>
        </w:trPr>
        <w:tc>
          <w:tcPr>
            <w:tcW w:w="5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0" w:type="dxa"/>
            <w:vAlign w:val="bottom"/>
          </w:tcPr>
          <w:p>
            <w:pPr>
              <w:spacing w:after="0"/>
              <w:rPr>
                <w:sz w:val="4"/>
                <w:szCs w:val="4"/>
                <w:color w:val="auto"/>
              </w:rPr>
            </w:pPr>
          </w:p>
        </w:tc>
      </w:tr>
      <w:tr>
        <w:trPr>
          <w:trHeight w:val="237"/>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Earnings (loss) per share (Note 19)</w:t>
            </w: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23"/>
        </w:trPr>
        <w:tc>
          <w:tcPr>
            <w:tcW w:w="5200" w:type="dxa"/>
            <w:vAlign w:val="bottom"/>
          </w:tcPr>
          <w:p>
            <w:pPr>
              <w:ind w:left="120"/>
              <w:spacing w:after="0"/>
              <w:rPr>
                <w:sz w:val="20"/>
                <w:szCs w:val="20"/>
                <w:color w:val="auto"/>
              </w:rPr>
            </w:pPr>
            <w:r>
              <w:rPr>
                <w:rFonts w:ascii="Arial" w:cs="Arial" w:eastAsia="Arial" w:hAnsi="Arial"/>
                <w:sz w:val="16"/>
                <w:szCs w:val="16"/>
                <w:color w:val="auto"/>
              </w:rPr>
              <w:t>Basic earnings (loss) per common share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(0.56)</w:t>
            </w:r>
          </w:p>
        </w:tc>
        <w:tc>
          <w:tcPr>
            <w:tcW w:w="12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60"/>
              <w:spacing w:after="0"/>
              <w:rPr>
                <w:sz w:val="20"/>
                <w:szCs w:val="20"/>
                <w:color w:val="auto"/>
              </w:rPr>
            </w:pPr>
            <w:r>
              <w:rPr>
                <w:rFonts w:ascii="Arial" w:cs="Arial" w:eastAsia="Arial" w:hAnsi="Arial"/>
                <w:sz w:val="16"/>
                <w:szCs w:val="16"/>
                <w:color w:val="auto"/>
              </w:rPr>
              <w:t>1.68</w:t>
            </w:r>
          </w:p>
        </w:tc>
        <w:tc>
          <w:tcPr>
            <w:tcW w:w="10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(0.39)</w:t>
            </w:r>
          </w:p>
        </w:tc>
        <w:tc>
          <w:tcPr>
            <w:tcW w:w="10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60"/>
              <w:spacing w:after="0"/>
              <w:rPr>
                <w:sz w:val="20"/>
                <w:szCs w:val="20"/>
                <w:color w:val="auto"/>
              </w:rPr>
            </w:pPr>
            <w:r>
              <w:rPr>
                <w:rFonts w:ascii="Arial" w:cs="Arial" w:eastAsia="Arial" w:hAnsi="Arial"/>
                <w:sz w:val="16"/>
                <w:szCs w:val="16"/>
                <w:color w:val="auto"/>
              </w:rPr>
              <w:t>3.17</w:t>
            </w:r>
          </w:p>
        </w:tc>
      </w:tr>
      <w:tr>
        <w:trPr>
          <w:trHeight w:val="33"/>
        </w:trPr>
        <w:tc>
          <w:tcPr>
            <w:tcW w:w="5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52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Weighted-average common shares outstanding – basic</w:t>
            </w: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1,432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1,420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1,432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1,419</w:t>
            </w:r>
          </w:p>
        </w:tc>
      </w:tr>
      <w:tr>
        <w:trPr>
          <w:trHeight w:val="54"/>
        </w:trPr>
        <w:tc>
          <w:tcPr>
            <w:tcW w:w="5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0" w:type="dxa"/>
            <w:vAlign w:val="bottom"/>
          </w:tcPr>
          <w:p>
            <w:pPr>
              <w:spacing w:after="0"/>
              <w:rPr>
                <w:sz w:val="4"/>
                <w:szCs w:val="4"/>
                <w:color w:val="auto"/>
              </w:rPr>
            </w:pPr>
          </w:p>
        </w:tc>
      </w:tr>
      <w:tr>
        <w:trPr>
          <w:trHeight w:val="237"/>
        </w:trPr>
        <w:tc>
          <w:tcPr>
            <w:tcW w:w="52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Diluted earnings (loss) per common share</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(0.56)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1.66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(0.39)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3.13</w:t>
            </w:r>
          </w:p>
        </w:tc>
      </w:tr>
      <w:tr>
        <w:trPr>
          <w:trHeight w:val="290"/>
        </w:trPr>
        <w:tc>
          <w:tcPr>
            <w:tcW w:w="52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Weighted-average common shares outstanding – diluted</w:t>
            </w:r>
          </w:p>
        </w:tc>
        <w:tc>
          <w:tcPr>
            <w:tcW w:w="220" w:type="dxa"/>
            <w:vAlign w:val="bottom"/>
            <w:tcBorders>
              <w:bottom w:val="single" w:sz="8" w:color="CCEEFF"/>
            </w:tcBorders>
          </w:tcPr>
          <w:p>
            <w:pPr>
              <w:spacing w:after="0"/>
              <w:rPr>
                <w:sz w:val="24"/>
                <w:szCs w:val="24"/>
                <w:color w:val="auto"/>
              </w:rPr>
            </w:pPr>
          </w:p>
        </w:tc>
        <w:tc>
          <w:tcPr>
            <w:tcW w:w="1200" w:type="dxa"/>
            <w:vAlign w:val="bottom"/>
            <w:tcBorders>
              <w:bottom w:val="single" w:sz="8" w:color="CCEEFF"/>
            </w:tcBorders>
          </w:tcPr>
          <w:p>
            <w:pPr>
              <w:jc w:val="right"/>
              <w:ind w:right="60"/>
              <w:spacing w:after="0"/>
              <w:rPr>
                <w:sz w:val="20"/>
                <w:szCs w:val="20"/>
                <w:color w:val="auto"/>
              </w:rPr>
            </w:pPr>
            <w:r>
              <w:rPr>
                <w:rFonts w:ascii="Arial" w:cs="Arial" w:eastAsia="Arial" w:hAnsi="Arial"/>
                <w:sz w:val="16"/>
                <w:szCs w:val="16"/>
                <w:color w:val="auto"/>
              </w:rPr>
              <w:t>1,432</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200" w:type="dxa"/>
            <w:vAlign w:val="bottom"/>
            <w:tcBorders>
              <w:bottom w:val="single" w:sz="8" w:color="CCEEFF"/>
            </w:tcBorders>
          </w:tcPr>
          <w:p>
            <w:pPr>
              <w:jc w:val="right"/>
              <w:ind w:right="60"/>
              <w:spacing w:after="0"/>
              <w:rPr>
                <w:sz w:val="20"/>
                <w:szCs w:val="20"/>
                <w:color w:val="auto"/>
              </w:rPr>
            </w:pPr>
            <w:r>
              <w:rPr>
                <w:rFonts w:ascii="Arial" w:cs="Arial" w:eastAsia="Arial" w:hAnsi="Arial"/>
                <w:sz w:val="16"/>
                <w:szCs w:val="16"/>
                <w:color w:val="auto"/>
              </w:rPr>
              <w:t>1,438</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1200" w:type="dxa"/>
            <w:vAlign w:val="bottom"/>
            <w:tcBorders>
              <w:bottom w:val="single" w:sz="8" w:color="CCEEFF"/>
            </w:tcBorders>
          </w:tcPr>
          <w:p>
            <w:pPr>
              <w:jc w:val="right"/>
              <w:ind w:right="60"/>
              <w:spacing w:after="0"/>
              <w:rPr>
                <w:sz w:val="20"/>
                <w:szCs w:val="20"/>
                <w:color w:val="auto"/>
              </w:rPr>
            </w:pPr>
            <w:r>
              <w:rPr>
                <w:rFonts w:ascii="Arial" w:cs="Arial" w:eastAsia="Arial" w:hAnsi="Arial"/>
                <w:sz w:val="16"/>
                <w:szCs w:val="16"/>
                <w:color w:val="auto"/>
              </w:rPr>
              <w:t>1,432</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1200" w:type="dxa"/>
            <w:vAlign w:val="bottom"/>
            <w:tcBorders>
              <w:bottom w:val="single" w:sz="8" w:color="CCEEFF"/>
            </w:tcBorders>
          </w:tcPr>
          <w:p>
            <w:pPr>
              <w:jc w:val="right"/>
              <w:ind w:right="60"/>
              <w:spacing w:after="0"/>
              <w:rPr>
                <w:sz w:val="20"/>
                <w:szCs w:val="20"/>
                <w:color w:val="auto"/>
              </w:rPr>
            </w:pPr>
            <w:r>
              <w:rPr>
                <w:rFonts w:ascii="Arial" w:cs="Arial" w:eastAsia="Arial" w:hAnsi="Arial"/>
                <w:sz w:val="16"/>
                <w:szCs w:val="16"/>
                <w:color w:val="auto"/>
              </w:rPr>
              <w:t>1,437</w:t>
            </w:r>
          </w:p>
        </w:tc>
      </w:tr>
      <w:tr>
        <w:trPr>
          <w:trHeight w:val="223"/>
        </w:trPr>
        <w:tc>
          <w:tcPr>
            <w:tcW w:w="5200" w:type="dxa"/>
            <w:vAlign w:val="bottom"/>
          </w:tcPr>
          <w:p>
            <w:pPr>
              <w:ind w:left="20"/>
              <w:spacing w:after="0"/>
              <w:rPr>
                <w:sz w:val="20"/>
                <w:szCs w:val="20"/>
                <w:color w:val="auto"/>
              </w:rPr>
            </w:pPr>
            <w:r>
              <w:rPr>
                <w:rFonts w:ascii="Arial" w:cs="Arial" w:eastAsia="Arial" w:hAnsi="Arial"/>
                <w:sz w:val="16"/>
                <w:szCs w:val="16"/>
                <w:b w:val="1"/>
                <w:bCs w:val="1"/>
                <w:color w:val="auto"/>
              </w:rPr>
              <w:t>Dividends declared per common share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60"/>
              <w:spacing w:after="0"/>
              <w:rPr>
                <w:sz w:val="20"/>
                <w:szCs w:val="20"/>
                <w:color w:val="auto"/>
              </w:rPr>
            </w:pPr>
            <w:r>
              <w:rPr>
                <w:rFonts w:ascii="Arial" w:cs="Arial" w:eastAsia="Arial" w:hAnsi="Arial"/>
                <w:sz w:val="16"/>
                <w:szCs w:val="16"/>
                <w:color w:val="auto"/>
              </w:rPr>
              <w:t>0.38</w:t>
            </w:r>
          </w:p>
        </w:tc>
        <w:tc>
          <w:tcPr>
            <w:tcW w:w="10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60"/>
              <w:spacing w:after="0"/>
              <w:rPr>
                <w:sz w:val="20"/>
                <w:szCs w:val="20"/>
                <w:color w:val="auto"/>
              </w:rPr>
            </w:pPr>
            <w:r>
              <w:rPr>
                <w:rFonts w:ascii="Arial" w:cs="Arial" w:eastAsia="Arial" w:hAnsi="Arial"/>
                <w:sz w:val="16"/>
                <w:szCs w:val="16"/>
                <w:color w:val="auto"/>
              </w:rPr>
              <w:t>0.38</w:t>
            </w:r>
          </w:p>
        </w:tc>
        <w:tc>
          <w:tcPr>
            <w:tcW w:w="10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60"/>
              <w:spacing w:after="0"/>
              <w:rPr>
                <w:sz w:val="20"/>
                <w:szCs w:val="20"/>
                <w:color w:val="auto"/>
              </w:rPr>
            </w:pPr>
            <w:r>
              <w:rPr>
                <w:rFonts w:ascii="Arial" w:cs="Arial" w:eastAsia="Arial" w:hAnsi="Arial"/>
                <w:sz w:val="16"/>
                <w:szCs w:val="16"/>
                <w:color w:val="auto"/>
              </w:rPr>
              <w:t>0.76</w:t>
            </w:r>
          </w:p>
        </w:tc>
      </w:tr>
    </w:tbl>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741"/>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821"/>
              <w:spacing w:after="0"/>
              <w:rPr>
                <w:sz w:val="20"/>
                <w:szCs w:val="20"/>
                <w:color w:val="auto"/>
              </w:rPr>
            </w:pPr>
            <w:r>
              <w:rPr>
                <w:rFonts w:ascii="Arial" w:cs="Arial" w:eastAsia="Arial" w:hAnsi="Arial"/>
                <w:sz w:val="14"/>
                <w:szCs w:val="14"/>
                <w:b w:val="1"/>
                <w:bCs w:val="1"/>
                <w:color w:val="auto"/>
              </w:rPr>
              <w:t>Six Months Ended</w:t>
            </w:r>
          </w:p>
        </w:tc>
      </w:tr>
      <w:tr>
        <w:trPr>
          <w:trHeight w:val="182"/>
        </w:trPr>
        <w:tc>
          <w:tcPr>
            <w:tcW w:w="5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2"/>
          </w:tcPr>
          <w:p>
            <w:pPr>
              <w:ind w:left="120"/>
              <w:spacing w:after="0"/>
              <w:rPr>
                <w:sz w:val="20"/>
                <w:szCs w:val="20"/>
                <w:color w:val="auto"/>
              </w:rPr>
            </w:pPr>
            <w:r>
              <w:rPr>
                <w:rFonts w:ascii="Arial" w:cs="Arial" w:eastAsia="Arial" w:hAnsi="Arial"/>
                <w:sz w:val="13"/>
                <w:szCs w:val="13"/>
                <w:b w:val="1"/>
                <w:bCs w:val="1"/>
                <w:color w:val="auto"/>
              </w:rPr>
              <w:t>June 30, 2020</w:t>
            </w:r>
          </w:p>
        </w:tc>
        <w:tc>
          <w:tcPr>
            <w:tcW w:w="220" w:type="dxa"/>
            <w:vAlign w:val="bottom"/>
          </w:tcPr>
          <w:p>
            <w:pPr>
              <w:spacing w:after="0"/>
              <w:rPr>
                <w:sz w:val="15"/>
                <w:szCs w:val="15"/>
                <w:color w:val="auto"/>
              </w:rPr>
            </w:pPr>
          </w:p>
        </w:tc>
        <w:tc>
          <w:tcPr>
            <w:tcW w:w="1320" w:type="dxa"/>
            <w:vAlign w:val="bottom"/>
            <w:gridSpan w:val="2"/>
          </w:tcPr>
          <w:p>
            <w:pPr>
              <w:ind w:left="120"/>
              <w:spacing w:after="0"/>
              <w:rPr>
                <w:sz w:val="20"/>
                <w:szCs w:val="20"/>
                <w:color w:val="auto"/>
              </w:rPr>
            </w:pPr>
            <w:r>
              <w:rPr>
                <w:rFonts w:ascii="Arial" w:cs="Arial" w:eastAsia="Arial" w:hAnsi="Arial"/>
                <w:sz w:val="13"/>
                <w:szCs w:val="13"/>
                <w:b w:val="1"/>
                <w:bCs w:val="1"/>
                <w:color w:val="auto"/>
              </w:rPr>
              <w:t>June 30, 2019</w:t>
            </w:r>
          </w:p>
        </w:tc>
        <w:tc>
          <w:tcPr>
            <w:tcW w:w="220" w:type="dxa"/>
            <w:vAlign w:val="bottom"/>
          </w:tcPr>
          <w:p>
            <w:pPr>
              <w:spacing w:after="0"/>
              <w:rPr>
                <w:sz w:val="15"/>
                <w:szCs w:val="15"/>
                <w:color w:val="auto"/>
              </w:rPr>
            </w:pPr>
          </w:p>
        </w:tc>
        <w:tc>
          <w:tcPr>
            <w:tcW w:w="1280" w:type="dxa"/>
            <w:vAlign w:val="bottom"/>
            <w:gridSpan w:val="2"/>
          </w:tcPr>
          <w:p>
            <w:pPr>
              <w:ind w:left="120"/>
              <w:spacing w:after="0"/>
              <w:rPr>
                <w:sz w:val="20"/>
                <w:szCs w:val="20"/>
                <w:color w:val="auto"/>
              </w:rPr>
            </w:pPr>
            <w:r>
              <w:rPr>
                <w:rFonts w:ascii="Arial" w:cs="Arial" w:eastAsia="Arial" w:hAnsi="Arial"/>
                <w:sz w:val="13"/>
                <w:szCs w:val="13"/>
                <w:b w:val="1"/>
                <w:bCs w:val="1"/>
                <w:color w:val="auto"/>
              </w:rPr>
              <w:t>June 30, 2020</w:t>
            </w:r>
          </w:p>
        </w:tc>
        <w:tc>
          <w:tcPr>
            <w:tcW w:w="240" w:type="dxa"/>
            <w:vAlign w:val="bottom"/>
          </w:tcPr>
          <w:p>
            <w:pPr>
              <w:spacing w:after="0"/>
              <w:rPr>
                <w:sz w:val="15"/>
                <w:szCs w:val="15"/>
                <w:color w:val="auto"/>
              </w:rPr>
            </w:pPr>
          </w:p>
        </w:tc>
        <w:tc>
          <w:tcPr>
            <w:tcW w:w="1200" w:type="dxa"/>
            <w:vAlign w:val="bottom"/>
          </w:tcPr>
          <w:p>
            <w:pPr>
              <w:jc w:val="right"/>
              <w:ind w:right="261"/>
              <w:spacing w:after="0"/>
              <w:rPr>
                <w:sz w:val="20"/>
                <w:szCs w:val="20"/>
                <w:color w:val="auto"/>
              </w:rPr>
            </w:pPr>
            <w:r>
              <w:rPr>
                <w:rFonts w:ascii="Arial" w:cs="Arial" w:eastAsia="Arial" w:hAnsi="Arial"/>
                <w:sz w:val="13"/>
                <w:szCs w:val="13"/>
                <w:b w:val="1"/>
                <w:bCs w:val="1"/>
                <w:color w:val="auto"/>
                <w:w w:val="99"/>
              </w:rPr>
              <w:t>June 30, 2019</w:t>
            </w:r>
          </w:p>
        </w:tc>
      </w:tr>
      <w:tr>
        <w:trPr>
          <w:trHeight w:val="236"/>
        </w:trPr>
        <w:tc>
          <w:tcPr>
            <w:tcW w:w="5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w:t>
            </w:r>
          </w:p>
        </w:tc>
        <w:tc>
          <w:tcPr>
            <w:tcW w:w="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(780)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2,403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(494)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4,548</w:t>
            </w:r>
          </w:p>
        </w:tc>
      </w:tr>
      <w:tr>
        <w:trPr>
          <w:trHeight w:val="223"/>
        </w:trPr>
        <w:tc>
          <w:tcPr>
            <w:tcW w:w="5220" w:type="dxa"/>
            <w:vAlign w:val="bottom"/>
          </w:tcPr>
          <w:p>
            <w:pPr>
              <w:ind w:left="20"/>
              <w:spacing w:after="0"/>
              <w:rPr>
                <w:sz w:val="20"/>
                <w:szCs w:val="20"/>
                <w:color w:val="auto"/>
              </w:rPr>
            </w:pPr>
            <w:r>
              <w:rPr>
                <w:rFonts w:ascii="Arial" w:cs="Arial" w:eastAsia="Arial" w:hAnsi="Arial"/>
                <w:sz w:val="16"/>
                <w:szCs w:val="16"/>
                <w:b w:val="1"/>
                <w:bCs w:val="1"/>
                <w:color w:val="auto"/>
              </w:rPr>
              <w:t>Other comprehensive income (loss), net of tax (Note 18)</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33"/>
        </w:trPr>
        <w:tc>
          <w:tcPr>
            <w:tcW w:w="5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6"/>
        </w:trPr>
        <w:tc>
          <w:tcPr>
            <w:tcW w:w="52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Foreign currency translation adjustments and other</w:t>
            </w: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68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(1,031)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217</w:t>
            </w:r>
          </w:p>
        </w:tc>
      </w:tr>
      <w:tr>
        <w:trPr>
          <w:trHeight w:val="224"/>
        </w:trPr>
        <w:tc>
          <w:tcPr>
            <w:tcW w:w="5220" w:type="dxa"/>
            <w:vAlign w:val="bottom"/>
          </w:tcPr>
          <w:p>
            <w:pPr>
              <w:ind w:left="120"/>
              <w:spacing w:after="0"/>
              <w:rPr>
                <w:sz w:val="20"/>
                <w:szCs w:val="20"/>
                <w:color w:val="auto"/>
              </w:rPr>
            </w:pPr>
            <w:r>
              <w:rPr>
                <w:rFonts w:ascii="Arial" w:cs="Arial" w:eastAsia="Arial" w:hAnsi="Arial"/>
                <w:sz w:val="16"/>
                <w:szCs w:val="16"/>
                <w:color w:val="auto"/>
              </w:rPr>
              <w:t>Defined benefit plans</w:t>
            </w:r>
          </w:p>
        </w:tc>
        <w:tc>
          <w:tcPr>
            <w:tcW w:w="220" w:type="dxa"/>
            <w:vAlign w:val="bottom"/>
          </w:tcPr>
          <w:p>
            <w:pPr>
              <w:spacing w:after="0"/>
              <w:rPr>
                <w:sz w:val="19"/>
                <w:szCs w:val="19"/>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ind w:right="61"/>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ind w:right="62"/>
              <w:spacing w:after="0"/>
              <w:rPr>
                <w:sz w:val="20"/>
                <w:szCs w:val="20"/>
                <w:color w:val="auto"/>
              </w:rPr>
            </w:pPr>
            <w:r>
              <w:rPr>
                <w:rFonts w:ascii="Arial" w:cs="Arial" w:eastAsia="Arial" w:hAnsi="Arial"/>
                <w:sz w:val="16"/>
                <w:szCs w:val="16"/>
                <w:color w:val="auto"/>
              </w:rPr>
              <w:t>278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ind w:right="61"/>
              <w:spacing w:after="0"/>
              <w:rPr>
                <w:sz w:val="20"/>
                <w:szCs w:val="20"/>
                <w:color w:val="auto"/>
              </w:rPr>
            </w:pPr>
            <w:r>
              <w:rPr>
                <w:rFonts w:ascii="Arial" w:cs="Arial" w:eastAsia="Arial" w:hAnsi="Arial"/>
                <w:sz w:val="16"/>
                <w:szCs w:val="16"/>
                <w:color w:val="auto"/>
              </w:rPr>
              <w:t>42</w:t>
            </w:r>
          </w:p>
        </w:tc>
      </w:tr>
      <w:tr>
        <w:trPr>
          <w:trHeight w:val="33"/>
        </w:trPr>
        <w:tc>
          <w:tcPr>
            <w:tcW w:w="5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Other comprehensive income (loss), net of tax</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(97)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(753)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259</w:t>
            </w:r>
          </w:p>
        </w:tc>
      </w:tr>
      <w:tr>
        <w:trPr>
          <w:trHeight w:val="217"/>
        </w:trPr>
        <w:tc>
          <w:tcPr>
            <w:tcW w:w="5220" w:type="dxa"/>
            <w:vAlign w:val="bottom"/>
          </w:tcPr>
          <w:p>
            <w:pPr>
              <w:ind w:left="20"/>
              <w:spacing w:after="0"/>
              <w:rPr>
                <w:sz w:val="20"/>
                <w:szCs w:val="20"/>
                <w:color w:val="auto"/>
              </w:rPr>
            </w:pPr>
            <w:r>
              <w:rPr>
                <w:rFonts w:ascii="Arial" w:cs="Arial" w:eastAsia="Arial" w:hAnsi="Arial"/>
                <w:sz w:val="16"/>
                <w:szCs w:val="16"/>
                <w:b w:val="1"/>
                <w:bCs w:val="1"/>
                <w:color w:val="auto"/>
              </w:rPr>
              <w:t>Comprehensive income (loss)</w:t>
            </w:r>
          </w:p>
        </w:tc>
        <w:tc>
          <w:tcPr>
            <w:tcW w:w="2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(877)</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rPr>
              <w:t>2,477</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(1,247)</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rPr>
              <w:t>4,807</w:t>
            </w:r>
          </w:p>
        </w:tc>
      </w:tr>
      <w:tr>
        <w:trPr>
          <w:trHeight w:val="33"/>
        </w:trPr>
        <w:tc>
          <w:tcPr>
            <w:tcW w:w="5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6"/>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loss attributable to noncontrolling interests</w:t>
            </w: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37</w:t>
            </w:r>
          </w:p>
        </w:tc>
      </w:tr>
      <w:tr>
        <w:trPr>
          <w:trHeight w:val="247"/>
        </w:trPr>
        <w:tc>
          <w:tcPr>
            <w:tcW w:w="5220" w:type="dxa"/>
            <w:vAlign w:val="bottom"/>
          </w:tcPr>
          <w:p>
            <w:pPr>
              <w:ind w:left="20"/>
              <w:spacing w:after="0"/>
              <w:rPr>
                <w:sz w:val="20"/>
                <w:szCs w:val="20"/>
                <w:color w:val="auto"/>
              </w:rPr>
            </w:pPr>
            <w:r>
              <w:rPr>
                <w:rFonts w:ascii="Arial" w:cs="Arial" w:eastAsia="Arial" w:hAnsi="Arial"/>
                <w:sz w:val="16"/>
                <w:szCs w:val="16"/>
                <w:b w:val="1"/>
                <w:bCs w:val="1"/>
                <w:color w:val="auto"/>
              </w:rPr>
              <w:t>Comprehensive income (loss) attributable to stockholders</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(859)</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rPr>
              <w:t>2,497</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(1,209)</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rPr>
              <w:t>4,844</w:t>
            </w:r>
          </w:p>
        </w:tc>
      </w:tr>
      <w:tr>
        <w:trPr>
          <w:trHeight w:val="24"/>
        </w:trPr>
        <w:tc>
          <w:tcPr>
            <w:tcW w:w="5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Reference should be made to the notes to condensed consolidated financial statements.</w:t>
      </w:r>
    </w:p>
    <w:p>
      <w:pPr>
        <w:sectPr>
          <w:pgSz w:w="11900" w:h="16838" w:orient="portrait"/>
          <w:cols w:equalWidth="0" w:num="1">
            <w:col w:w="11240"/>
          </w:cols>
          <w:pgMar w:left="320" w:top="125" w:right="3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 (Unaudited)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2020</w:t>
            </w:r>
          </w:p>
        </w:tc>
        <w:tc>
          <w:tcPr>
            <w:tcW w:w="160" w:type="dxa"/>
            <w:vAlign w:val="bottom"/>
          </w:tcPr>
          <w:p>
            <w:pPr>
              <w:spacing w:after="0"/>
              <w:rPr>
                <w:sz w:val="16"/>
                <w:szCs w:val="16"/>
                <w:color w:val="auto"/>
              </w:rPr>
            </w:pPr>
          </w:p>
        </w:tc>
        <w:tc>
          <w:tcPr>
            <w:tcW w:w="1480" w:type="dxa"/>
            <w:vAlign w:val="bottom"/>
          </w:tcPr>
          <w:p>
            <w:pPr>
              <w:jc w:val="right"/>
              <w:ind w:right="159"/>
              <w:spacing w:after="0"/>
              <w:rPr>
                <w:sz w:val="20"/>
                <w:szCs w:val="20"/>
                <w:color w:val="auto"/>
              </w:rPr>
            </w:pPr>
            <w:r>
              <w:rPr>
                <w:rFonts w:ascii="Arial" w:cs="Arial" w:eastAsia="Arial" w:hAnsi="Arial"/>
                <w:sz w:val="14"/>
                <w:szCs w:val="14"/>
                <w:b w:val="1"/>
                <w:bCs w:val="1"/>
                <w:color w:val="auto"/>
                <w:w w:val="96"/>
              </w:rPr>
              <w:t>December 31, 2019</w:t>
            </w:r>
          </w:p>
        </w:tc>
        <w:tc>
          <w:tcPr>
            <w:tcW w:w="0" w:type="dxa"/>
            <w:vAlign w:val="bottom"/>
          </w:tcPr>
          <w:p>
            <w:pPr>
              <w:spacing w:after="0"/>
              <w:rPr>
                <w:sz w:val="1"/>
                <w:szCs w:val="1"/>
                <w:color w:val="auto"/>
              </w:rPr>
            </w:pPr>
          </w:p>
        </w:tc>
      </w:tr>
      <w:tr>
        <w:trPr>
          <w:trHeight w:val="210"/>
        </w:trPr>
        <w:tc>
          <w:tcPr>
            <w:tcW w:w="7860" w:type="dxa"/>
            <w:vAlign w:val="bottom"/>
          </w:tcPr>
          <w:p>
            <w:pPr>
              <w:ind w:left="3620"/>
              <w:spacing w:after="0"/>
              <w:rPr>
                <w:sz w:val="20"/>
                <w:szCs w:val="20"/>
                <w:color w:val="auto"/>
              </w:rPr>
            </w:pPr>
            <w:r>
              <w:rPr>
                <w:rFonts w:ascii="Arial" w:cs="Arial" w:eastAsia="Arial" w:hAnsi="Arial"/>
                <w:sz w:val="16"/>
                <w:szCs w:val="16"/>
                <w:b w:val="1"/>
                <w:bCs w:val="1"/>
                <w:color w:val="auto"/>
              </w:rPr>
              <w:t>ASSETS</w:t>
            </w:r>
          </w:p>
        </w:tc>
        <w:tc>
          <w:tcPr>
            <w:tcW w:w="2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7860" w:type="dxa"/>
            <w:vAlign w:val="bottom"/>
          </w:tcPr>
          <w:p>
            <w:pPr>
              <w:ind w:left="20"/>
              <w:spacing w:after="0"/>
              <w:rPr>
                <w:sz w:val="20"/>
                <w:szCs w:val="20"/>
                <w:color w:val="auto"/>
              </w:rPr>
            </w:pPr>
            <w:r>
              <w:rPr>
                <w:rFonts w:ascii="Arial" w:cs="Arial" w:eastAsia="Arial" w:hAnsi="Arial"/>
                <w:sz w:val="16"/>
                <w:szCs w:val="16"/>
                <w:b w:val="1"/>
                <w:bCs w:val="1"/>
                <w:color w:val="auto"/>
              </w:rPr>
              <w:t>Current Assets</w:t>
            </w:r>
          </w:p>
        </w:tc>
        <w:tc>
          <w:tcPr>
            <w:tcW w:w="2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Cash and cash equivalents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28,228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19,069</w:t>
            </w:r>
          </w:p>
        </w:tc>
        <w:tc>
          <w:tcPr>
            <w:tcW w:w="0" w:type="dxa"/>
            <w:vAlign w:val="bottom"/>
          </w:tcPr>
          <w:p>
            <w:pPr>
              <w:spacing w:after="0"/>
              <w:rPr>
                <w:sz w:val="1"/>
                <w:szCs w:val="1"/>
                <w:color w:val="auto"/>
              </w:rPr>
            </w:pPr>
          </w:p>
        </w:tc>
      </w:tr>
      <w:tr>
        <w:trPr>
          <w:trHeight w:val="223"/>
        </w:trPr>
        <w:tc>
          <w:tcPr>
            <w:tcW w:w="7860" w:type="dxa"/>
            <w:vAlign w:val="bottom"/>
          </w:tcPr>
          <w:p>
            <w:pPr>
              <w:ind w:left="120"/>
              <w:spacing w:after="0"/>
              <w:rPr>
                <w:sz w:val="20"/>
                <w:szCs w:val="20"/>
                <w:color w:val="auto"/>
              </w:rPr>
            </w:pPr>
            <w:r>
              <w:rPr>
                <w:rFonts w:ascii="Arial" w:cs="Arial" w:eastAsia="Arial" w:hAnsi="Arial"/>
                <w:sz w:val="16"/>
                <w:szCs w:val="16"/>
                <w:color w:val="auto"/>
              </w:rPr>
              <w:t>Marketable debt securities (Note 4)</w:t>
            </w:r>
          </w:p>
        </w:tc>
        <w:tc>
          <w:tcPr>
            <w:tcW w:w="240" w:type="dxa"/>
            <w:vAlign w:val="bottom"/>
          </w:tcPr>
          <w:p>
            <w:pPr>
              <w:spacing w:after="0"/>
              <w:rPr>
                <w:sz w:val="19"/>
                <w:szCs w:val="19"/>
                <w:color w:val="auto"/>
              </w:rPr>
            </w:pPr>
          </w:p>
        </w:tc>
        <w:tc>
          <w:tcPr>
            <w:tcW w:w="1380" w:type="dxa"/>
            <w:vAlign w:val="bottom"/>
          </w:tcPr>
          <w:p>
            <w:pPr>
              <w:jc w:val="right"/>
              <w:ind w:right="59"/>
              <w:spacing w:after="0"/>
              <w:rPr>
                <w:sz w:val="20"/>
                <w:szCs w:val="20"/>
                <w:color w:val="auto"/>
              </w:rPr>
            </w:pPr>
            <w:r>
              <w:rPr>
                <w:rFonts w:ascii="Arial" w:cs="Arial" w:eastAsia="Arial" w:hAnsi="Arial"/>
                <w:sz w:val="16"/>
                <w:szCs w:val="16"/>
                <w:color w:val="auto"/>
              </w:rPr>
              <w:t>9,254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ind w:right="59"/>
              <w:spacing w:after="0"/>
              <w:rPr>
                <w:sz w:val="20"/>
                <w:szCs w:val="20"/>
                <w:color w:val="auto"/>
              </w:rPr>
            </w:pPr>
            <w:r>
              <w:rPr>
                <w:rFonts w:ascii="Arial" w:cs="Arial" w:eastAsia="Arial" w:hAnsi="Arial"/>
                <w:sz w:val="16"/>
                <w:szCs w:val="16"/>
                <w:color w:val="auto"/>
              </w:rPr>
              <w:t>4,174</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Accounts and notes receivable, net</w:t>
            </w:r>
          </w:p>
        </w:tc>
        <w:tc>
          <w:tcPr>
            <w:tcW w:w="2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7,946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6,797</w:t>
            </w:r>
          </w:p>
        </w:tc>
        <w:tc>
          <w:tcPr>
            <w:tcW w:w="0" w:type="dxa"/>
            <w:vAlign w:val="bottom"/>
          </w:tcPr>
          <w:p>
            <w:pPr>
              <w:spacing w:after="0"/>
              <w:rPr>
                <w:sz w:val="1"/>
                <w:szCs w:val="1"/>
                <w:color w:val="auto"/>
              </w:rPr>
            </w:pPr>
          </w:p>
        </w:tc>
      </w:tr>
      <w:tr>
        <w:trPr>
          <w:trHeight w:val="224"/>
        </w:trPr>
        <w:tc>
          <w:tcPr>
            <w:tcW w:w="7860" w:type="dxa"/>
            <w:vAlign w:val="bottom"/>
          </w:tcPr>
          <w:p>
            <w:pPr>
              <w:ind w:left="120"/>
              <w:spacing w:after="0"/>
              <w:rPr>
                <w:sz w:val="20"/>
                <w:szCs w:val="20"/>
                <w:color w:val="auto"/>
              </w:rPr>
            </w:pPr>
            <w:r>
              <w:rPr>
                <w:rFonts w:ascii="Arial" w:cs="Arial" w:eastAsia="Arial" w:hAnsi="Arial"/>
                <w:sz w:val="16"/>
                <w:szCs w:val="16"/>
                <w:color w:val="auto"/>
              </w:rPr>
              <w:t>GM Financial receivables, net (Note 5; Note 10 at VIEs)</w:t>
            </w:r>
          </w:p>
        </w:tc>
        <w:tc>
          <w:tcPr>
            <w:tcW w:w="240" w:type="dxa"/>
            <w:vAlign w:val="bottom"/>
          </w:tcPr>
          <w:p>
            <w:pPr>
              <w:spacing w:after="0"/>
              <w:rPr>
                <w:sz w:val="19"/>
                <w:szCs w:val="19"/>
                <w:color w:val="auto"/>
              </w:rPr>
            </w:pPr>
          </w:p>
        </w:tc>
        <w:tc>
          <w:tcPr>
            <w:tcW w:w="1380" w:type="dxa"/>
            <w:vAlign w:val="bottom"/>
          </w:tcPr>
          <w:p>
            <w:pPr>
              <w:jc w:val="right"/>
              <w:ind w:right="59"/>
              <w:spacing w:after="0"/>
              <w:rPr>
                <w:sz w:val="20"/>
                <w:szCs w:val="20"/>
                <w:color w:val="auto"/>
              </w:rPr>
            </w:pPr>
            <w:r>
              <w:rPr>
                <w:rFonts w:ascii="Arial" w:cs="Arial" w:eastAsia="Arial" w:hAnsi="Arial"/>
                <w:sz w:val="16"/>
                <w:szCs w:val="16"/>
                <w:color w:val="auto"/>
              </w:rPr>
              <w:t>22,851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ind w:right="59"/>
              <w:spacing w:after="0"/>
              <w:rPr>
                <w:sz w:val="20"/>
                <w:szCs w:val="20"/>
                <w:color w:val="auto"/>
              </w:rPr>
            </w:pPr>
            <w:r>
              <w:rPr>
                <w:rFonts w:ascii="Arial" w:cs="Arial" w:eastAsia="Arial" w:hAnsi="Arial"/>
                <w:sz w:val="16"/>
                <w:szCs w:val="16"/>
                <w:color w:val="auto"/>
              </w:rPr>
              <w:t>26,601</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Inventories (Note 6)</w:t>
            </w:r>
          </w:p>
        </w:tc>
        <w:tc>
          <w:tcPr>
            <w:tcW w:w="2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10,280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10,398</w:t>
            </w:r>
          </w:p>
        </w:tc>
        <w:tc>
          <w:tcPr>
            <w:tcW w:w="0" w:type="dxa"/>
            <w:vAlign w:val="bottom"/>
          </w:tcPr>
          <w:p>
            <w:pPr>
              <w:spacing w:after="0"/>
              <w:rPr>
                <w:sz w:val="1"/>
                <w:szCs w:val="1"/>
                <w:color w:val="auto"/>
              </w:rPr>
            </w:pPr>
          </w:p>
        </w:tc>
      </w:tr>
      <w:tr>
        <w:trPr>
          <w:trHeight w:val="223"/>
        </w:trPr>
        <w:tc>
          <w:tcPr>
            <w:tcW w:w="7860" w:type="dxa"/>
            <w:vAlign w:val="bottom"/>
          </w:tcPr>
          <w:p>
            <w:pPr>
              <w:ind w:left="120"/>
              <w:spacing w:after="0"/>
              <w:rPr>
                <w:sz w:val="20"/>
                <w:szCs w:val="20"/>
                <w:color w:val="auto"/>
              </w:rPr>
            </w:pPr>
            <w:r>
              <w:rPr>
                <w:rFonts w:ascii="Arial" w:cs="Arial" w:eastAsia="Arial" w:hAnsi="Arial"/>
                <w:sz w:val="16"/>
                <w:szCs w:val="16"/>
                <w:color w:val="auto"/>
              </w:rPr>
              <w:t>Other current assets (Note 4; Note 10 at VIEs)</w:t>
            </w:r>
          </w:p>
        </w:tc>
        <w:tc>
          <w:tcPr>
            <w:tcW w:w="240" w:type="dxa"/>
            <w:vAlign w:val="bottom"/>
          </w:tcPr>
          <w:p>
            <w:pPr>
              <w:spacing w:after="0"/>
              <w:rPr>
                <w:sz w:val="19"/>
                <w:szCs w:val="19"/>
                <w:color w:val="auto"/>
              </w:rPr>
            </w:pPr>
          </w:p>
        </w:tc>
        <w:tc>
          <w:tcPr>
            <w:tcW w:w="1380" w:type="dxa"/>
            <w:vAlign w:val="bottom"/>
          </w:tcPr>
          <w:p>
            <w:pPr>
              <w:jc w:val="right"/>
              <w:ind w:right="59"/>
              <w:spacing w:after="0"/>
              <w:rPr>
                <w:sz w:val="20"/>
                <w:szCs w:val="20"/>
                <w:color w:val="auto"/>
              </w:rPr>
            </w:pPr>
            <w:r>
              <w:rPr>
                <w:rFonts w:ascii="Arial" w:cs="Arial" w:eastAsia="Arial" w:hAnsi="Arial"/>
                <w:sz w:val="16"/>
                <w:szCs w:val="16"/>
                <w:color w:val="auto"/>
              </w:rPr>
              <w:t>8,938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ind w:right="59"/>
              <w:spacing w:after="0"/>
              <w:rPr>
                <w:sz w:val="20"/>
                <w:szCs w:val="20"/>
                <w:color w:val="auto"/>
              </w:rPr>
            </w:pPr>
            <w:r>
              <w:rPr>
                <w:rFonts w:ascii="Arial" w:cs="Arial" w:eastAsia="Arial" w:hAnsi="Arial"/>
                <w:sz w:val="16"/>
                <w:szCs w:val="16"/>
                <w:color w:val="auto"/>
              </w:rPr>
              <w:t>7,953</w:t>
            </w:r>
          </w:p>
        </w:tc>
        <w:tc>
          <w:tcPr>
            <w:tcW w:w="0" w:type="dxa"/>
            <w:vAlign w:val="bottom"/>
          </w:tcPr>
          <w:p>
            <w:pPr>
              <w:spacing w:after="0"/>
              <w:rPr>
                <w:sz w:val="1"/>
                <w:szCs w:val="1"/>
                <w:color w:val="auto"/>
              </w:rPr>
            </w:pPr>
          </w:p>
        </w:tc>
      </w:tr>
      <w:tr>
        <w:trPr>
          <w:trHeight w:val="33"/>
        </w:trPr>
        <w:tc>
          <w:tcPr>
            <w:tcW w:w="7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current assets</w:t>
            </w:r>
          </w:p>
        </w:tc>
        <w:tc>
          <w:tcPr>
            <w:tcW w:w="2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87,497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74,992</w:t>
            </w:r>
          </w:p>
        </w:tc>
        <w:tc>
          <w:tcPr>
            <w:tcW w:w="0" w:type="dxa"/>
            <w:vAlign w:val="bottom"/>
          </w:tcPr>
          <w:p>
            <w:pPr>
              <w:spacing w:after="0"/>
              <w:rPr>
                <w:sz w:val="1"/>
                <w:szCs w:val="1"/>
                <w:color w:val="auto"/>
              </w:rPr>
            </w:pPr>
          </w:p>
        </w:tc>
      </w:tr>
      <w:tr>
        <w:trPr>
          <w:trHeight w:val="223"/>
        </w:trPr>
        <w:tc>
          <w:tcPr>
            <w:tcW w:w="7860" w:type="dxa"/>
            <w:vAlign w:val="bottom"/>
          </w:tcPr>
          <w:p>
            <w:pPr>
              <w:ind w:left="20"/>
              <w:spacing w:after="0"/>
              <w:rPr>
                <w:sz w:val="20"/>
                <w:szCs w:val="20"/>
                <w:color w:val="auto"/>
              </w:rPr>
            </w:pPr>
            <w:r>
              <w:rPr>
                <w:rFonts w:ascii="Arial" w:cs="Arial" w:eastAsia="Arial" w:hAnsi="Arial"/>
                <w:sz w:val="16"/>
                <w:szCs w:val="16"/>
                <w:b w:val="1"/>
                <w:bCs w:val="1"/>
                <w:color w:val="auto"/>
              </w:rPr>
              <w:t>Non-current Assets</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7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GM Financial receivables, net (Note 5; Note 10 at VIEs)</w:t>
            </w:r>
          </w:p>
        </w:tc>
        <w:tc>
          <w:tcPr>
            <w:tcW w:w="24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28,999</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26,355</w:t>
            </w:r>
          </w:p>
        </w:tc>
        <w:tc>
          <w:tcPr>
            <w:tcW w:w="0" w:type="dxa"/>
            <w:vAlign w:val="bottom"/>
          </w:tcPr>
          <w:p>
            <w:pPr>
              <w:spacing w:after="0"/>
              <w:rPr>
                <w:sz w:val="1"/>
                <w:szCs w:val="1"/>
                <w:color w:val="auto"/>
              </w:rPr>
            </w:pPr>
          </w:p>
        </w:tc>
      </w:tr>
      <w:tr>
        <w:trPr>
          <w:trHeight w:val="224"/>
        </w:trPr>
        <w:tc>
          <w:tcPr>
            <w:tcW w:w="7860" w:type="dxa"/>
            <w:vAlign w:val="bottom"/>
          </w:tcPr>
          <w:p>
            <w:pPr>
              <w:ind w:left="120"/>
              <w:spacing w:after="0"/>
              <w:rPr>
                <w:sz w:val="20"/>
                <w:szCs w:val="20"/>
                <w:color w:val="auto"/>
              </w:rPr>
            </w:pPr>
            <w:r>
              <w:rPr>
                <w:rFonts w:ascii="Arial" w:cs="Arial" w:eastAsia="Arial" w:hAnsi="Arial"/>
                <w:sz w:val="16"/>
                <w:szCs w:val="16"/>
                <w:color w:val="auto"/>
              </w:rPr>
              <w:t>Equity in net assets of nonconsolidated affiliates (Note 8)</w:t>
            </w:r>
          </w:p>
        </w:tc>
        <w:tc>
          <w:tcPr>
            <w:tcW w:w="240" w:type="dxa"/>
            <w:vAlign w:val="bottom"/>
          </w:tcPr>
          <w:p>
            <w:pPr>
              <w:spacing w:after="0"/>
              <w:rPr>
                <w:sz w:val="19"/>
                <w:szCs w:val="19"/>
                <w:color w:val="auto"/>
              </w:rPr>
            </w:pPr>
          </w:p>
        </w:tc>
        <w:tc>
          <w:tcPr>
            <w:tcW w:w="1380" w:type="dxa"/>
            <w:vAlign w:val="bottom"/>
          </w:tcPr>
          <w:p>
            <w:pPr>
              <w:jc w:val="right"/>
              <w:ind w:right="59"/>
              <w:spacing w:after="0"/>
              <w:rPr>
                <w:sz w:val="20"/>
                <w:szCs w:val="20"/>
                <w:color w:val="auto"/>
              </w:rPr>
            </w:pPr>
            <w:r>
              <w:rPr>
                <w:rFonts w:ascii="Arial" w:cs="Arial" w:eastAsia="Arial" w:hAnsi="Arial"/>
                <w:sz w:val="16"/>
                <w:szCs w:val="16"/>
                <w:color w:val="auto"/>
              </w:rPr>
              <w:t>7,724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ind w:right="59"/>
              <w:spacing w:after="0"/>
              <w:rPr>
                <w:sz w:val="20"/>
                <w:szCs w:val="20"/>
                <w:color w:val="auto"/>
              </w:rPr>
            </w:pPr>
            <w:r>
              <w:rPr>
                <w:rFonts w:ascii="Arial" w:cs="Arial" w:eastAsia="Arial" w:hAnsi="Arial"/>
                <w:sz w:val="16"/>
                <w:szCs w:val="16"/>
                <w:color w:val="auto"/>
              </w:rPr>
              <w:t>8,562</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Property, net</w:t>
            </w:r>
          </w:p>
        </w:tc>
        <w:tc>
          <w:tcPr>
            <w:tcW w:w="2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37,066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38,750</w:t>
            </w:r>
          </w:p>
        </w:tc>
        <w:tc>
          <w:tcPr>
            <w:tcW w:w="0" w:type="dxa"/>
            <w:vAlign w:val="bottom"/>
          </w:tcPr>
          <w:p>
            <w:pPr>
              <w:spacing w:after="0"/>
              <w:rPr>
                <w:sz w:val="1"/>
                <w:szCs w:val="1"/>
                <w:color w:val="auto"/>
              </w:rPr>
            </w:pPr>
          </w:p>
        </w:tc>
      </w:tr>
      <w:tr>
        <w:trPr>
          <w:trHeight w:val="223"/>
        </w:trPr>
        <w:tc>
          <w:tcPr>
            <w:tcW w:w="7860" w:type="dxa"/>
            <w:vAlign w:val="bottom"/>
          </w:tcPr>
          <w:p>
            <w:pPr>
              <w:ind w:left="120"/>
              <w:spacing w:after="0"/>
              <w:rPr>
                <w:sz w:val="20"/>
                <w:szCs w:val="20"/>
                <w:color w:val="auto"/>
              </w:rPr>
            </w:pPr>
            <w:r>
              <w:rPr>
                <w:rFonts w:ascii="Arial" w:cs="Arial" w:eastAsia="Arial" w:hAnsi="Arial"/>
                <w:sz w:val="16"/>
                <w:szCs w:val="16"/>
                <w:color w:val="auto"/>
              </w:rPr>
              <w:t>Goodwill and intangible assets, net</w:t>
            </w:r>
          </w:p>
        </w:tc>
        <w:tc>
          <w:tcPr>
            <w:tcW w:w="240" w:type="dxa"/>
            <w:vAlign w:val="bottom"/>
          </w:tcPr>
          <w:p>
            <w:pPr>
              <w:spacing w:after="0"/>
              <w:rPr>
                <w:sz w:val="19"/>
                <w:szCs w:val="19"/>
                <w:color w:val="auto"/>
              </w:rPr>
            </w:pPr>
          </w:p>
        </w:tc>
        <w:tc>
          <w:tcPr>
            <w:tcW w:w="1380" w:type="dxa"/>
            <w:vAlign w:val="bottom"/>
          </w:tcPr>
          <w:p>
            <w:pPr>
              <w:jc w:val="right"/>
              <w:ind w:right="59"/>
              <w:spacing w:after="0"/>
              <w:rPr>
                <w:sz w:val="20"/>
                <w:szCs w:val="20"/>
                <w:color w:val="auto"/>
              </w:rPr>
            </w:pPr>
            <w:r>
              <w:rPr>
                <w:rFonts w:ascii="Arial" w:cs="Arial" w:eastAsia="Arial" w:hAnsi="Arial"/>
                <w:sz w:val="16"/>
                <w:szCs w:val="16"/>
                <w:color w:val="auto"/>
              </w:rPr>
              <w:t>5,282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ind w:right="59"/>
              <w:spacing w:after="0"/>
              <w:rPr>
                <w:sz w:val="20"/>
                <w:szCs w:val="20"/>
                <w:color w:val="auto"/>
              </w:rPr>
            </w:pPr>
            <w:r>
              <w:rPr>
                <w:rFonts w:ascii="Arial" w:cs="Arial" w:eastAsia="Arial" w:hAnsi="Arial"/>
                <w:sz w:val="16"/>
                <w:szCs w:val="16"/>
                <w:color w:val="auto"/>
              </w:rPr>
              <w:t>5,337</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7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Equipment on operating leases, net (Note 7; Note 10 at VIEs)</w:t>
            </w:r>
          </w:p>
        </w:tc>
        <w:tc>
          <w:tcPr>
            <w:tcW w:w="24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39,601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42,055</w:t>
            </w:r>
          </w:p>
        </w:tc>
        <w:tc>
          <w:tcPr>
            <w:tcW w:w="0" w:type="dxa"/>
            <w:vAlign w:val="bottom"/>
          </w:tcPr>
          <w:p>
            <w:pPr>
              <w:spacing w:after="0"/>
              <w:rPr>
                <w:sz w:val="1"/>
                <w:szCs w:val="1"/>
                <w:color w:val="auto"/>
              </w:rPr>
            </w:pPr>
          </w:p>
        </w:tc>
      </w:tr>
      <w:tr>
        <w:trPr>
          <w:trHeight w:val="224"/>
        </w:trPr>
        <w:tc>
          <w:tcPr>
            <w:tcW w:w="7860" w:type="dxa"/>
            <w:vAlign w:val="bottom"/>
          </w:tcPr>
          <w:p>
            <w:pPr>
              <w:ind w:left="120"/>
              <w:spacing w:after="0"/>
              <w:rPr>
                <w:sz w:val="20"/>
                <w:szCs w:val="20"/>
                <w:color w:val="auto"/>
              </w:rPr>
            </w:pPr>
            <w:r>
              <w:rPr>
                <w:rFonts w:ascii="Arial" w:cs="Arial" w:eastAsia="Arial" w:hAnsi="Arial"/>
                <w:sz w:val="16"/>
                <w:szCs w:val="16"/>
                <w:color w:val="auto"/>
              </w:rPr>
              <w:t>Deferred income taxes</w:t>
            </w:r>
          </w:p>
        </w:tc>
        <w:tc>
          <w:tcPr>
            <w:tcW w:w="240" w:type="dxa"/>
            <w:vAlign w:val="bottom"/>
          </w:tcPr>
          <w:p>
            <w:pPr>
              <w:spacing w:after="0"/>
              <w:rPr>
                <w:sz w:val="19"/>
                <w:szCs w:val="19"/>
                <w:color w:val="auto"/>
              </w:rPr>
            </w:pPr>
          </w:p>
        </w:tc>
        <w:tc>
          <w:tcPr>
            <w:tcW w:w="1380" w:type="dxa"/>
            <w:vAlign w:val="bottom"/>
          </w:tcPr>
          <w:p>
            <w:pPr>
              <w:jc w:val="right"/>
              <w:ind w:right="59"/>
              <w:spacing w:after="0"/>
              <w:rPr>
                <w:sz w:val="20"/>
                <w:szCs w:val="20"/>
                <w:color w:val="auto"/>
              </w:rPr>
            </w:pPr>
            <w:r>
              <w:rPr>
                <w:rFonts w:ascii="Arial" w:cs="Arial" w:eastAsia="Arial" w:hAnsi="Arial"/>
                <w:sz w:val="16"/>
                <w:szCs w:val="16"/>
                <w:color w:val="auto"/>
              </w:rPr>
              <w:t>24,654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ind w:right="59"/>
              <w:spacing w:after="0"/>
              <w:rPr>
                <w:sz w:val="20"/>
                <w:szCs w:val="20"/>
                <w:color w:val="auto"/>
              </w:rPr>
            </w:pPr>
            <w:r>
              <w:rPr>
                <w:rFonts w:ascii="Arial" w:cs="Arial" w:eastAsia="Arial" w:hAnsi="Arial"/>
                <w:sz w:val="16"/>
                <w:szCs w:val="16"/>
                <w:color w:val="auto"/>
              </w:rPr>
              <w:t>24,640</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7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Other assets (Note 4; Note 10 at VIEs)</w:t>
            </w:r>
          </w:p>
        </w:tc>
        <w:tc>
          <w:tcPr>
            <w:tcW w:w="2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6,712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7,346</w:t>
            </w:r>
          </w:p>
        </w:tc>
        <w:tc>
          <w:tcPr>
            <w:tcW w:w="0" w:type="dxa"/>
            <w:vAlign w:val="bottom"/>
          </w:tcPr>
          <w:p>
            <w:pPr>
              <w:spacing w:after="0"/>
              <w:rPr>
                <w:sz w:val="1"/>
                <w:szCs w:val="1"/>
                <w:color w:val="auto"/>
              </w:rPr>
            </w:pPr>
          </w:p>
        </w:tc>
      </w:tr>
      <w:tr>
        <w:trPr>
          <w:trHeight w:val="217"/>
        </w:trPr>
        <w:tc>
          <w:tcPr>
            <w:tcW w:w="7860" w:type="dxa"/>
            <w:vAlign w:val="bottom"/>
          </w:tcPr>
          <w:p>
            <w:pPr>
              <w:ind w:left="120"/>
              <w:spacing w:after="0"/>
              <w:rPr>
                <w:sz w:val="20"/>
                <w:szCs w:val="20"/>
                <w:color w:val="auto"/>
              </w:rPr>
            </w:pPr>
            <w:r>
              <w:rPr>
                <w:rFonts w:ascii="Arial" w:cs="Arial" w:eastAsia="Arial" w:hAnsi="Arial"/>
                <w:sz w:val="16"/>
                <w:szCs w:val="16"/>
                <w:color w:val="auto"/>
              </w:rPr>
              <w:t>Total non-current assets</w:t>
            </w:r>
          </w:p>
        </w:tc>
        <w:tc>
          <w:tcPr>
            <w:tcW w:w="2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150,038</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153,045</w:t>
            </w:r>
          </w:p>
        </w:tc>
        <w:tc>
          <w:tcPr>
            <w:tcW w:w="0" w:type="dxa"/>
            <w:vAlign w:val="bottom"/>
          </w:tcPr>
          <w:p>
            <w:pPr>
              <w:spacing w:after="0"/>
              <w:rPr>
                <w:sz w:val="1"/>
                <w:szCs w:val="1"/>
                <w:color w:val="auto"/>
              </w:rPr>
            </w:pPr>
          </w:p>
        </w:tc>
      </w:tr>
      <w:tr>
        <w:trPr>
          <w:trHeight w:val="33"/>
        </w:trPr>
        <w:tc>
          <w:tcPr>
            <w:tcW w:w="7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Assets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237,535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228,037</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bottom w:val="single" w:sz="8" w:color="CCEEFF"/>
            </w:tcBorders>
            <w:vMerge w:val="restart"/>
          </w:tcPr>
          <w:p>
            <w:pPr>
              <w:ind w:left="2900"/>
              <w:spacing w:after="0"/>
              <w:rPr>
                <w:sz w:val="20"/>
                <w:szCs w:val="20"/>
                <w:color w:val="auto"/>
              </w:rPr>
            </w:pPr>
            <w:r>
              <w:rPr>
                <w:rFonts w:ascii="Arial" w:cs="Arial" w:eastAsia="Arial" w:hAnsi="Arial"/>
                <w:sz w:val="16"/>
                <w:szCs w:val="16"/>
                <w:b w:val="1"/>
                <w:bCs w:val="1"/>
                <w:color w:val="auto"/>
              </w:rPr>
              <w:t>LIABILITIES AND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786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7860" w:type="dxa"/>
            <w:vAlign w:val="bottom"/>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2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Accounts payable (principally trade)</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15,154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21,018</w:t>
            </w:r>
          </w:p>
        </w:tc>
        <w:tc>
          <w:tcPr>
            <w:tcW w:w="0" w:type="dxa"/>
            <w:vAlign w:val="bottom"/>
          </w:tcPr>
          <w:p>
            <w:pPr>
              <w:spacing w:after="0"/>
              <w:rPr>
                <w:sz w:val="1"/>
                <w:szCs w:val="1"/>
                <w:color w:val="auto"/>
              </w:rPr>
            </w:pPr>
          </w:p>
        </w:tc>
      </w:tr>
      <w:tr>
        <w:trPr>
          <w:trHeight w:val="223"/>
        </w:trPr>
        <w:tc>
          <w:tcPr>
            <w:tcW w:w="7860" w:type="dxa"/>
            <w:vAlign w:val="bottom"/>
          </w:tcPr>
          <w:p>
            <w:pPr>
              <w:ind w:left="120"/>
              <w:spacing w:after="0"/>
              <w:rPr>
                <w:sz w:val="20"/>
                <w:szCs w:val="20"/>
                <w:color w:val="auto"/>
              </w:rPr>
            </w:pPr>
            <w:r>
              <w:rPr>
                <w:rFonts w:ascii="Arial" w:cs="Arial" w:eastAsia="Arial" w:hAnsi="Arial"/>
                <w:sz w:val="16"/>
                <w:szCs w:val="16"/>
                <w:color w:val="auto"/>
              </w:rPr>
              <w:t>Short-term debt and current portion of long-term debt (Note 11)</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8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Automotive</w:t>
            </w:r>
          </w:p>
        </w:tc>
        <w:tc>
          <w:tcPr>
            <w:tcW w:w="2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2,710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1,897</w:t>
            </w:r>
          </w:p>
        </w:tc>
        <w:tc>
          <w:tcPr>
            <w:tcW w:w="0" w:type="dxa"/>
            <w:vAlign w:val="bottom"/>
          </w:tcPr>
          <w:p>
            <w:pPr>
              <w:spacing w:after="0"/>
              <w:rPr>
                <w:sz w:val="1"/>
                <w:szCs w:val="1"/>
                <w:color w:val="auto"/>
              </w:rPr>
            </w:pPr>
          </w:p>
        </w:tc>
      </w:tr>
      <w:tr>
        <w:trPr>
          <w:trHeight w:val="223"/>
        </w:trPr>
        <w:tc>
          <w:tcPr>
            <w:tcW w:w="7860" w:type="dxa"/>
            <w:vAlign w:val="bottom"/>
          </w:tcPr>
          <w:p>
            <w:pPr>
              <w:ind w:left="240"/>
              <w:spacing w:after="0"/>
              <w:rPr>
                <w:sz w:val="20"/>
                <w:szCs w:val="20"/>
                <w:color w:val="auto"/>
              </w:rPr>
            </w:pPr>
            <w:r>
              <w:rPr>
                <w:rFonts w:ascii="Arial" w:cs="Arial" w:eastAsia="Arial" w:hAnsi="Arial"/>
                <w:sz w:val="16"/>
                <w:szCs w:val="16"/>
                <w:color w:val="auto"/>
              </w:rPr>
              <w:t>GM Financial (Note 10 at VIEs)</w:t>
            </w:r>
          </w:p>
        </w:tc>
        <w:tc>
          <w:tcPr>
            <w:tcW w:w="240" w:type="dxa"/>
            <w:vAlign w:val="bottom"/>
          </w:tcPr>
          <w:p>
            <w:pPr>
              <w:spacing w:after="0"/>
              <w:rPr>
                <w:sz w:val="19"/>
                <w:szCs w:val="19"/>
                <w:color w:val="auto"/>
              </w:rPr>
            </w:pPr>
          </w:p>
        </w:tc>
        <w:tc>
          <w:tcPr>
            <w:tcW w:w="1380" w:type="dxa"/>
            <w:vAlign w:val="bottom"/>
          </w:tcPr>
          <w:p>
            <w:pPr>
              <w:jc w:val="right"/>
              <w:ind w:right="59"/>
              <w:spacing w:after="0"/>
              <w:rPr>
                <w:sz w:val="20"/>
                <w:szCs w:val="20"/>
                <w:color w:val="auto"/>
              </w:rPr>
            </w:pPr>
            <w:r>
              <w:rPr>
                <w:rFonts w:ascii="Arial" w:cs="Arial" w:eastAsia="Arial" w:hAnsi="Arial"/>
                <w:sz w:val="16"/>
                <w:szCs w:val="16"/>
                <w:color w:val="auto"/>
              </w:rPr>
              <w:t>37,313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ind w:right="59"/>
              <w:spacing w:after="0"/>
              <w:rPr>
                <w:sz w:val="20"/>
                <w:szCs w:val="20"/>
                <w:color w:val="auto"/>
              </w:rPr>
            </w:pPr>
            <w:r>
              <w:rPr>
                <w:rFonts w:ascii="Arial" w:cs="Arial" w:eastAsia="Arial" w:hAnsi="Arial"/>
                <w:sz w:val="16"/>
                <w:szCs w:val="16"/>
                <w:color w:val="auto"/>
              </w:rPr>
              <w:t>35,503</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7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Accrued liabilities (Note 13)</w:t>
            </w:r>
          </w:p>
        </w:tc>
        <w:tc>
          <w:tcPr>
            <w:tcW w:w="2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22,727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26,487</w:t>
            </w:r>
          </w:p>
        </w:tc>
        <w:tc>
          <w:tcPr>
            <w:tcW w:w="0" w:type="dxa"/>
            <w:vAlign w:val="bottom"/>
          </w:tcPr>
          <w:p>
            <w:pPr>
              <w:spacing w:after="0"/>
              <w:rPr>
                <w:sz w:val="1"/>
                <w:szCs w:val="1"/>
                <w:color w:val="auto"/>
              </w:rPr>
            </w:pPr>
          </w:p>
        </w:tc>
      </w:tr>
      <w:tr>
        <w:trPr>
          <w:trHeight w:val="217"/>
        </w:trPr>
        <w:tc>
          <w:tcPr>
            <w:tcW w:w="7860" w:type="dxa"/>
            <w:vAlign w:val="bottom"/>
          </w:tcPr>
          <w:p>
            <w:pPr>
              <w:ind w:left="120"/>
              <w:spacing w:after="0"/>
              <w:rPr>
                <w:sz w:val="20"/>
                <w:szCs w:val="20"/>
                <w:color w:val="auto"/>
              </w:rPr>
            </w:pPr>
            <w:r>
              <w:rPr>
                <w:rFonts w:ascii="Arial" w:cs="Arial" w:eastAsia="Arial" w:hAnsi="Arial"/>
                <w:sz w:val="16"/>
                <w:szCs w:val="16"/>
                <w:color w:val="auto"/>
              </w:rPr>
              <w:t>Total current liabilities</w:t>
            </w:r>
          </w:p>
        </w:tc>
        <w:tc>
          <w:tcPr>
            <w:tcW w:w="2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77,904</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84,905</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Non-current Liabilities</w:t>
            </w:r>
          </w:p>
        </w:tc>
        <w:tc>
          <w:tcPr>
            <w:tcW w:w="2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7860" w:type="dxa"/>
            <w:vAlign w:val="bottom"/>
          </w:tcPr>
          <w:p>
            <w:pPr>
              <w:ind w:left="120"/>
              <w:spacing w:after="0"/>
              <w:rPr>
                <w:sz w:val="20"/>
                <w:szCs w:val="20"/>
                <w:color w:val="auto"/>
              </w:rPr>
            </w:pPr>
            <w:r>
              <w:rPr>
                <w:rFonts w:ascii="Arial" w:cs="Arial" w:eastAsia="Arial" w:hAnsi="Arial"/>
                <w:sz w:val="16"/>
                <w:szCs w:val="16"/>
                <w:color w:val="auto"/>
              </w:rPr>
              <w:t>Long-term debt (Note 11)</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8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Automotive</w:t>
            </w:r>
          </w:p>
        </w:tc>
        <w:tc>
          <w:tcPr>
            <w:tcW w:w="2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32,211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12,489</w:t>
            </w:r>
          </w:p>
        </w:tc>
        <w:tc>
          <w:tcPr>
            <w:tcW w:w="0" w:type="dxa"/>
            <w:vAlign w:val="bottom"/>
          </w:tcPr>
          <w:p>
            <w:pPr>
              <w:spacing w:after="0"/>
              <w:rPr>
                <w:sz w:val="1"/>
                <w:szCs w:val="1"/>
                <w:color w:val="auto"/>
              </w:rPr>
            </w:pPr>
          </w:p>
        </w:tc>
      </w:tr>
      <w:tr>
        <w:trPr>
          <w:trHeight w:val="224"/>
        </w:trPr>
        <w:tc>
          <w:tcPr>
            <w:tcW w:w="7860" w:type="dxa"/>
            <w:vAlign w:val="bottom"/>
          </w:tcPr>
          <w:p>
            <w:pPr>
              <w:ind w:left="240"/>
              <w:spacing w:after="0"/>
              <w:rPr>
                <w:sz w:val="20"/>
                <w:szCs w:val="20"/>
                <w:color w:val="auto"/>
              </w:rPr>
            </w:pPr>
            <w:r>
              <w:rPr>
                <w:rFonts w:ascii="Arial" w:cs="Arial" w:eastAsia="Arial" w:hAnsi="Arial"/>
                <w:sz w:val="16"/>
                <w:szCs w:val="16"/>
                <w:color w:val="auto"/>
              </w:rPr>
              <w:t>GM Financial (Note 10 at VIEs)</w:t>
            </w:r>
          </w:p>
        </w:tc>
        <w:tc>
          <w:tcPr>
            <w:tcW w:w="240" w:type="dxa"/>
            <w:vAlign w:val="bottom"/>
          </w:tcPr>
          <w:p>
            <w:pPr>
              <w:spacing w:after="0"/>
              <w:rPr>
                <w:sz w:val="19"/>
                <w:szCs w:val="19"/>
                <w:color w:val="auto"/>
              </w:rPr>
            </w:pPr>
          </w:p>
        </w:tc>
        <w:tc>
          <w:tcPr>
            <w:tcW w:w="1380" w:type="dxa"/>
            <w:vAlign w:val="bottom"/>
          </w:tcPr>
          <w:p>
            <w:pPr>
              <w:jc w:val="right"/>
              <w:ind w:right="59"/>
              <w:spacing w:after="0"/>
              <w:rPr>
                <w:sz w:val="20"/>
                <w:szCs w:val="20"/>
                <w:color w:val="auto"/>
              </w:rPr>
            </w:pPr>
            <w:r>
              <w:rPr>
                <w:rFonts w:ascii="Arial" w:cs="Arial" w:eastAsia="Arial" w:hAnsi="Arial"/>
                <w:sz w:val="16"/>
                <w:szCs w:val="16"/>
                <w:color w:val="auto"/>
              </w:rPr>
              <w:t>54,939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ind w:right="59"/>
              <w:spacing w:after="0"/>
              <w:rPr>
                <w:sz w:val="20"/>
                <w:szCs w:val="20"/>
                <w:color w:val="auto"/>
              </w:rPr>
            </w:pPr>
            <w:r>
              <w:rPr>
                <w:rFonts w:ascii="Arial" w:cs="Arial" w:eastAsia="Arial" w:hAnsi="Arial"/>
                <w:sz w:val="16"/>
                <w:szCs w:val="16"/>
                <w:color w:val="auto"/>
              </w:rPr>
              <w:t>53,435</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Postretirement benefits other than pensions (Note 14)</w:t>
            </w:r>
          </w:p>
        </w:tc>
        <w:tc>
          <w:tcPr>
            <w:tcW w:w="2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5,836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5,935</w:t>
            </w:r>
          </w:p>
        </w:tc>
        <w:tc>
          <w:tcPr>
            <w:tcW w:w="0" w:type="dxa"/>
            <w:vAlign w:val="bottom"/>
          </w:tcPr>
          <w:p>
            <w:pPr>
              <w:spacing w:after="0"/>
              <w:rPr>
                <w:sz w:val="1"/>
                <w:szCs w:val="1"/>
                <w:color w:val="auto"/>
              </w:rPr>
            </w:pPr>
          </w:p>
        </w:tc>
      </w:tr>
      <w:tr>
        <w:trPr>
          <w:trHeight w:val="223"/>
        </w:trPr>
        <w:tc>
          <w:tcPr>
            <w:tcW w:w="7860" w:type="dxa"/>
            <w:vAlign w:val="bottom"/>
          </w:tcPr>
          <w:p>
            <w:pPr>
              <w:ind w:left="120"/>
              <w:spacing w:after="0"/>
              <w:rPr>
                <w:sz w:val="20"/>
                <w:szCs w:val="20"/>
                <w:color w:val="auto"/>
              </w:rPr>
            </w:pPr>
            <w:r>
              <w:rPr>
                <w:rFonts w:ascii="Arial" w:cs="Arial" w:eastAsia="Arial" w:hAnsi="Arial"/>
                <w:sz w:val="16"/>
                <w:szCs w:val="16"/>
                <w:color w:val="auto"/>
              </w:rPr>
              <w:t>Pensions (Note 14)</w:t>
            </w:r>
          </w:p>
        </w:tc>
        <w:tc>
          <w:tcPr>
            <w:tcW w:w="240" w:type="dxa"/>
            <w:vAlign w:val="bottom"/>
          </w:tcPr>
          <w:p>
            <w:pPr>
              <w:spacing w:after="0"/>
              <w:rPr>
                <w:sz w:val="19"/>
                <w:szCs w:val="19"/>
                <w:color w:val="auto"/>
              </w:rPr>
            </w:pPr>
          </w:p>
        </w:tc>
        <w:tc>
          <w:tcPr>
            <w:tcW w:w="1380" w:type="dxa"/>
            <w:vAlign w:val="bottom"/>
          </w:tcPr>
          <w:p>
            <w:pPr>
              <w:jc w:val="right"/>
              <w:ind w:right="59"/>
              <w:spacing w:after="0"/>
              <w:rPr>
                <w:sz w:val="20"/>
                <w:szCs w:val="20"/>
                <w:color w:val="auto"/>
              </w:rPr>
            </w:pPr>
            <w:r>
              <w:rPr>
                <w:rFonts w:ascii="Arial" w:cs="Arial" w:eastAsia="Arial" w:hAnsi="Arial"/>
                <w:sz w:val="16"/>
                <w:szCs w:val="16"/>
                <w:color w:val="auto"/>
              </w:rPr>
              <w:t>11,249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ind w:right="59"/>
              <w:spacing w:after="0"/>
              <w:rPr>
                <w:sz w:val="20"/>
                <w:szCs w:val="20"/>
                <w:color w:val="auto"/>
              </w:rPr>
            </w:pPr>
            <w:r>
              <w:rPr>
                <w:rFonts w:ascii="Arial" w:cs="Arial" w:eastAsia="Arial" w:hAnsi="Arial"/>
                <w:sz w:val="16"/>
                <w:szCs w:val="16"/>
                <w:color w:val="auto"/>
              </w:rPr>
              <w:t>12,170</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7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Other liabilities (Note 13)</w:t>
            </w:r>
          </w:p>
        </w:tc>
        <w:tc>
          <w:tcPr>
            <w:tcW w:w="2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11,903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13,146</w:t>
            </w:r>
          </w:p>
        </w:tc>
        <w:tc>
          <w:tcPr>
            <w:tcW w:w="0" w:type="dxa"/>
            <w:vAlign w:val="bottom"/>
          </w:tcPr>
          <w:p>
            <w:pPr>
              <w:spacing w:after="0"/>
              <w:rPr>
                <w:sz w:val="1"/>
                <w:szCs w:val="1"/>
                <w:color w:val="auto"/>
              </w:rPr>
            </w:pPr>
          </w:p>
        </w:tc>
      </w:tr>
      <w:tr>
        <w:trPr>
          <w:trHeight w:val="217"/>
        </w:trPr>
        <w:tc>
          <w:tcPr>
            <w:tcW w:w="7860" w:type="dxa"/>
            <w:vAlign w:val="bottom"/>
          </w:tcPr>
          <w:p>
            <w:pPr>
              <w:ind w:left="120"/>
              <w:spacing w:after="0"/>
              <w:rPr>
                <w:sz w:val="20"/>
                <w:szCs w:val="20"/>
                <w:color w:val="auto"/>
              </w:rPr>
            </w:pPr>
            <w:r>
              <w:rPr>
                <w:rFonts w:ascii="Arial" w:cs="Arial" w:eastAsia="Arial" w:hAnsi="Arial"/>
                <w:sz w:val="16"/>
                <w:szCs w:val="16"/>
                <w:color w:val="auto"/>
              </w:rPr>
              <w:t>Total non-current liabilities</w:t>
            </w:r>
          </w:p>
        </w:tc>
        <w:tc>
          <w:tcPr>
            <w:tcW w:w="2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116,138</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97,175</w:t>
            </w:r>
          </w:p>
        </w:tc>
        <w:tc>
          <w:tcPr>
            <w:tcW w:w="0" w:type="dxa"/>
            <w:vAlign w:val="bottom"/>
          </w:tcPr>
          <w:p>
            <w:pPr>
              <w:spacing w:after="0"/>
              <w:rPr>
                <w:sz w:val="1"/>
                <w:szCs w:val="1"/>
                <w:color w:val="auto"/>
              </w:rPr>
            </w:pPr>
          </w:p>
        </w:tc>
      </w:tr>
      <w:tr>
        <w:trPr>
          <w:trHeight w:val="33"/>
        </w:trPr>
        <w:tc>
          <w:tcPr>
            <w:tcW w:w="7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Liabilities</w:t>
            </w:r>
          </w:p>
        </w:tc>
        <w:tc>
          <w:tcPr>
            <w:tcW w:w="2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194,042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182,080</w:t>
            </w:r>
          </w:p>
        </w:tc>
        <w:tc>
          <w:tcPr>
            <w:tcW w:w="0" w:type="dxa"/>
            <w:vAlign w:val="bottom"/>
          </w:tcPr>
          <w:p>
            <w:pPr>
              <w:spacing w:after="0"/>
              <w:rPr>
                <w:sz w:val="1"/>
                <w:szCs w:val="1"/>
                <w:color w:val="auto"/>
              </w:rPr>
            </w:pPr>
          </w:p>
        </w:tc>
      </w:tr>
      <w:tr>
        <w:trPr>
          <w:trHeight w:val="223"/>
        </w:trPr>
        <w:tc>
          <w:tcPr>
            <w:tcW w:w="7860" w:type="dxa"/>
            <w:vAlign w:val="bottom"/>
          </w:tcPr>
          <w:p>
            <w:pPr>
              <w:ind w:left="20"/>
              <w:spacing w:after="0"/>
              <w:rPr>
                <w:sz w:val="20"/>
                <w:szCs w:val="20"/>
                <w:color w:val="auto"/>
              </w:rPr>
            </w:pPr>
            <w:r>
              <w:rPr>
                <w:rFonts w:ascii="Arial" w:cs="Arial" w:eastAsia="Arial" w:hAnsi="Arial"/>
                <w:sz w:val="16"/>
                <w:szCs w:val="16"/>
                <w:color w:val="auto"/>
              </w:rPr>
              <w:t>Commitments and contingencies (Note 15)</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Equity (Note 18)</w:t>
            </w:r>
          </w:p>
        </w:tc>
        <w:tc>
          <w:tcPr>
            <w:tcW w:w="2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860" w:type="dxa"/>
            <w:vAlign w:val="bottom"/>
          </w:tcPr>
          <w:p>
            <w:pPr>
              <w:ind w:left="140"/>
              <w:spacing w:after="0"/>
              <w:rPr>
                <w:sz w:val="20"/>
                <w:szCs w:val="20"/>
                <w:color w:val="auto"/>
              </w:rPr>
            </w:pPr>
            <w:r>
              <w:rPr>
                <w:rFonts w:ascii="Arial" w:cs="Arial" w:eastAsia="Arial" w:hAnsi="Arial"/>
                <w:sz w:val="16"/>
                <w:szCs w:val="16"/>
                <w:color w:val="auto"/>
              </w:rPr>
              <w:t>Common stock, $0.01 par value</w:t>
            </w:r>
          </w:p>
        </w:tc>
        <w:tc>
          <w:tcPr>
            <w:tcW w:w="240" w:type="dxa"/>
            <w:vAlign w:val="bottom"/>
          </w:tcPr>
          <w:p>
            <w:pPr>
              <w:spacing w:after="0"/>
              <w:rPr>
                <w:sz w:val="19"/>
                <w:szCs w:val="19"/>
                <w:color w:val="auto"/>
              </w:rPr>
            </w:pPr>
          </w:p>
        </w:tc>
        <w:tc>
          <w:tcPr>
            <w:tcW w:w="1380" w:type="dxa"/>
            <w:vAlign w:val="bottom"/>
          </w:tcPr>
          <w:p>
            <w:pPr>
              <w:jc w:val="right"/>
              <w:ind w:right="59"/>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ind w:right="59"/>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Additional paid-in capital</w:t>
            </w:r>
          </w:p>
        </w:tc>
        <w:tc>
          <w:tcPr>
            <w:tcW w:w="2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26,087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26,074</w:t>
            </w:r>
          </w:p>
        </w:tc>
        <w:tc>
          <w:tcPr>
            <w:tcW w:w="0" w:type="dxa"/>
            <w:vAlign w:val="bottom"/>
          </w:tcPr>
          <w:p>
            <w:pPr>
              <w:spacing w:after="0"/>
              <w:rPr>
                <w:sz w:val="1"/>
                <w:szCs w:val="1"/>
                <w:color w:val="auto"/>
              </w:rPr>
            </w:pPr>
          </w:p>
        </w:tc>
      </w:tr>
      <w:tr>
        <w:trPr>
          <w:trHeight w:val="223"/>
        </w:trPr>
        <w:tc>
          <w:tcPr>
            <w:tcW w:w="7860" w:type="dxa"/>
            <w:vAlign w:val="bottom"/>
          </w:tcPr>
          <w:p>
            <w:pPr>
              <w:ind w:left="120"/>
              <w:spacing w:after="0"/>
              <w:rPr>
                <w:sz w:val="20"/>
                <w:szCs w:val="20"/>
                <w:color w:val="auto"/>
              </w:rPr>
            </w:pPr>
            <w:r>
              <w:rPr>
                <w:rFonts w:ascii="Arial" w:cs="Arial" w:eastAsia="Arial" w:hAnsi="Arial"/>
                <w:sz w:val="16"/>
                <w:szCs w:val="16"/>
                <w:color w:val="auto"/>
              </w:rPr>
              <w:t>Retained earnings</w:t>
            </w:r>
          </w:p>
        </w:tc>
        <w:tc>
          <w:tcPr>
            <w:tcW w:w="240" w:type="dxa"/>
            <w:vAlign w:val="bottom"/>
          </w:tcPr>
          <w:p>
            <w:pPr>
              <w:spacing w:after="0"/>
              <w:rPr>
                <w:sz w:val="19"/>
                <w:szCs w:val="19"/>
                <w:color w:val="auto"/>
              </w:rPr>
            </w:pPr>
          </w:p>
        </w:tc>
        <w:tc>
          <w:tcPr>
            <w:tcW w:w="1380" w:type="dxa"/>
            <w:vAlign w:val="bottom"/>
          </w:tcPr>
          <w:p>
            <w:pPr>
              <w:jc w:val="right"/>
              <w:ind w:right="59"/>
              <w:spacing w:after="0"/>
              <w:rPr>
                <w:sz w:val="20"/>
                <w:szCs w:val="20"/>
                <w:color w:val="auto"/>
              </w:rPr>
            </w:pPr>
            <w:r>
              <w:rPr>
                <w:rFonts w:ascii="Arial" w:cs="Arial" w:eastAsia="Arial" w:hAnsi="Arial"/>
                <w:sz w:val="16"/>
                <w:szCs w:val="16"/>
                <w:color w:val="auto"/>
              </w:rPr>
              <w:t>25,104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ind w:right="59"/>
              <w:spacing w:after="0"/>
              <w:rPr>
                <w:sz w:val="20"/>
                <w:szCs w:val="20"/>
                <w:color w:val="auto"/>
              </w:rPr>
            </w:pPr>
            <w:r>
              <w:rPr>
                <w:rFonts w:ascii="Arial" w:cs="Arial" w:eastAsia="Arial" w:hAnsi="Arial"/>
                <w:sz w:val="16"/>
                <w:szCs w:val="16"/>
                <w:color w:val="auto"/>
              </w:rPr>
              <w:t>26,860</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7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Accumulated other comprehensive loss</w:t>
            </w:r>
          </w:p>
        </w:tc>
        <w:tc>
          <w:tcPr>
            <w:tcW w:w="2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(11,901)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(11,156)</w:t>
            </w:r>
          </w:p>
        </w:tc>
        <w:tc>
          <w:tcPr>
            <w:tcW w:w="0" w:type="dxa"/>
            <w:vAlign w:val="bottom"/>
          </w:tcPr>
          <w:p>
            <w:pPr>
              <w:spacing w:after="0"/>
              <w:rPr>
                <w:sz w:val="1"/>
                <w:szCs w:val="1"/>
                <w:color w:val="auto"/>
              </w:rPr>
            </w:pPr>
          </w:p>
        </w:tc>
      </w:tr>
      <w:tr>
        <w:trPr>
          <w:trHeight w:val="217"/>
        </w:trPr>
        <w:tc>
          <w:tcPr>
            <w:tcW w:w="7860" w:type="dxa"/>
            <w:vAlign w:val="bottom"/>
          </w:tcPr>
          <w:p>
            <w:pPr>
              <w:ind w:left="120"/>
              <w:spacing w:after="0"/>
              <w:rPr>
                <w:sz w:val="20"/>
                <w:szCs w:val="20"/>
                <w:color w:val="auto"/>
              </w:rPr>
            </w:pPr>
            <w:r>
              <w:rPr>
                <w:rFonts w:ascii="Arial" w:cs="Arial" w:eastAsia="Arial" w:hAnsi="Arial"/>
                <w:sz w:val="16"/>
                <w:szCs w:val="16"/>
                <w:color w:val="auto"/>
              </w:rPr>
              <w:t>Total stockholders’ equity</w:t>
            </w:r>
          </w:p>
        </w:tc>
        <w:tc>
          <w:tcPr>
            <w:tcW w:w="2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39,304</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41,792</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7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Noncontrolling interests</w:t>
            </w:r>
          </w:p>
        </w:tc>
        <w:tc>
          <w:tcPr>
            <w:tcW w:w="2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4,189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4,165</w:t>
            </w:r>
          </w:p>
        </w:tc>
        <w:tc>
          <w:tcPr>
            <w:tcW w:w="0" w:type="dxa"/>
            <w:vAlign w:val="bottom"/>
          </w:tcPr>
          <w:p>
            <w:pPr>
              <w:spacing w:after="0"/>
              <w:rPr>
                <w:sz w:val="1"/>
                <w:szCs w:val="1"/>
                <w:color w:val="auto"/>
              </w:rPr>
            </w:pPr>
          </w:p>
        </w:tc>
      </w:tr>
      <w:tr>
        <w:trPr>
          <w:trHeight w:val="217"/>
        </w:trPr>
        <w:tc>
          <w:tcPr>
            <w:tcW w:w="7860" w:type="dxa"/>
            <w:vAlign w:val="bottom"/>
          </w:tcPr>
          <w:p>
            <w:pPr>
              <w:ind w:left="20"/>
              <w:spacing w:after="0"/>
              <w:rPr>
                <w:sz w:val="20"/>
                <w:szCs w:val="20"/>
                <w:color w:val="auto"/>
              </w:rPr>
            </w:pPr>
            <w:r>
              <w:rPr>
                <w:rFonts w:ascii="Arial" w:cs="Arial" w:eastAsia="Arial" w:hAnsi="Arial"/>
                <w:sz w:val="16"/>
                <w:szCs w:val="16"/>
                <w:b w:val="1"/>
                <w:bCs w:val="1"/>
                <w:color w:val="auto"/>
              </w:rPr>
              <w:t>Total Equity</w:t>
            </w:r>
          </w:p>
        </w:tc>
        <w:tc>
          <w:tcPr>
            <w:tcW w:w="2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43,493</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45,957</w:t>
            </w:r>
          </w:p>
        </w:tc>
        <w:tc>
          <w:tcPr>
            <w:tcW w:w="0" w:type="dxa"/>
            <w:vAlign w:val="bottom"/>
          </w:tcPr>
          <w:p>
            <w:pPr>
              <w:spacing w:after="0"/>
              <w:rPr>
                <w:sz w:val="1"/>
                <w:szCs w:val="1"/>
                <w:color w:val="auto"/>
              </w:rPr>
            </w:pPr>
          </w:p>
        </w:tc>
      </w:tr>
      <w:tr>
        <w:trPr>
          <w:trHeight w:val="33"/>
        </w:trPr>
        <w:tc>
          <w:tcPr>
            <w:tcW w:w="7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Liabilities and Equity</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237,535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228,037</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Reference should be made to the notes to condensed consolidated financial statements.</w:t>
      </w:r>
    </w:p>
    <w:p>
      <w:pPr>
        <w:sectPr>
          <w:pgSz w:w="11900" w:h="16838" w:orient="portrait"/>
          <w:cols w:equalWidth="0" w:num="1">
            <w:col w:w="11240"/>
          </w:cols>
          <w:pgMar w:left="320" w:top="125" w:right="3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4"/>
          </w:tcPr>
          <w:p>
            <w:pPr>
              <w:jc w:val="right"/>
              <w:ind w:right="1039"/>
              <w:spacing w:after="0"/>
              <w:rPr>
                <w:sz w:val="20"/>
                <w:szCs w:val="20"/>
                <w:color w:val="auto"/>
              </w:rPr>
            </w:pPr>
            <w:r>
              <w:rPr>
                <w:rFonts w:ascii="Arial" w:cs="Arial" w:eastAsia="Arial" w:hAnsi="Arial"/>
                <w:sz w:val="14"/>
                <w:szCs w:val="14"/>
                <w:b w:val="1"/>
                <w:bCs w:val="1"/>
                <w:color w:val="auto"/>
              </w:rPr>
              <w:t>Six Months Ended</w:t>
            </w:r>
          </w:p>
        </w:tc>
      </w:tr>
      <w:tr>
        <w:trPr>
          <w:trHeight w:val="195"/>
        </w:trPr>
        <w:tc>
          <w:tcPr>
            <w:tcW w:w="7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2020</w:t>
            </w:r>
          </w:p>
        </w:tc>
        <w:tc>
          <w:tcPr>
            <w:tcW w:w="240" w:type="dxa"/>
            <w:vAlign w:val="bottom"/>
          </w:tcPr>
          <w:p>
            <w:pPr>
              <w:spacing w:after="0"/>
              <w:rPr>
                <w:sz w:val="17"/>
                <w:szCs w:val="17"/>
                <w:color w:val="auto"/>
              </w:rPr>
            </w:pPr>
          </w:p>
        </w:tc>
        <w:tc>
          <w:tcPr>
            <w:tcW w:w="1400" w:type="dxa"/>
            <w:vAlign w:val="bottom"/>
          </w:tcPr>
          <w:p>
            <w:pPr>
              <w:jc w:val="right"/>
              <w:ind w:right="319"/>
              <w:spacing w:after="0"/>
              <w:rPr>
                <w:sz w:val="20"/>
                <w:szCs w:val="20"/>
                <w:color w:val="auto"/>
              </w:rPr>
            </w:pPr>
            <w:r>
              <w:rPr>
                <w:rFonts w:ascii="Arial" w:cs="Arial" w:eastAsia="Arial" w:hAnsi="Arial"/>
                <w:sz w:val="14"/>
                <w:szCs w:val="14"/>
                <w:b w:val="1"/>
                <w:bCs w:val="1"/>
                <w:color w:val="auto"/>
              </w:rPr>
              <w:t>June 30, 2019</w:t>
            </w:r>
          </w:p>
        </w:tc>
      </w:tr>
      <w:tr>
        <w:trPr>
          <w:trHeight w:val="210"/>
        </w:trPr>
        <w:tc>
          <w:tcPr>
            <w:tcW w:w="7860" w:type="dxa"/>
            <w:vAlign w:val="bottom"/>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2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r>
      <w:tr>
        <w:trPr>
          <w:trHeight w:val="33"/>
        </w:trPr>
        <w:tc>
          <w:tcPr>
            <w:tcW w:w="7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6"/>
        </w:trPr>
        <w:tc>
          <w:tcPr>
            <w:tcW w:w="7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Net income (loss)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(494)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4,548</w:t>
            </w:r>
          </w:p>
        </w:tc>
      </w:tr>
      <w:tr>
        <w:trPr>
          <w:trHeight w:val="224"/>
        </w:trPr>
        <w:tc>
          <w:tcPr>
            <w:tcW w:w="7860" w:type="dxa"/>
            <w:vAlign w:val="bottom"/>
          </w:tcPr>
          <w:p>
            <w:pPr>
              <w:ind w:left="120"/>
              <w:spacing w:after="0"/>
              <w:rPr>
                <w:sz w:val="20"/>
                <w:szCs w:val="20"/>
                <w:color w:val="auto"/>
              </w:rPr>
            </w:pPr>
            <w:r>
              <w:rPr>
                <w:rFonts w:ascii="Arial" w:cs="Arial" w:eastAsia="Arial" w:hAnsi="Arial"/>
                <w:sz w:val="16"/>
                <w:szCs w:val="16"/>
                <w:color w:val="auto"/>
              </w:rPr>
              <w:t>Depreciation and impairment of Equipment on operating leases, net</w:t>
            </w:r>
          </w:p>
        </w:tc>
        <w:tc>
          <w:tcPr>
            <w:tcW w:w="240" w:type="dxa"/>
            <w:vAlign w:val="bottom"/>
          </w:tcPr>
          <w:p>
            <w:pPr>
              <w:spacing w:after="0"/>
              <w:rPr>
                <w:sz w:val="19"/>
                <w:szCs w:val="19"/>
                <w:color w:val="auto"/>
              </w:rPr>
            </w:pPr>
          </w:p>
        </w:tc>
        <w:tc>
          <w:tcPr>
            <w:tcW w:w="1380" w:type="dxa"/>
            <w:vAlign w:val="bottom"/>
          </w:tcPr>
          <w:p>
            <w:pPr>
              <w:jc w:val="right"/>
              <w:ind w:right="60"/>
              <w:spacing w:after="0"/>
              <w:rPr>
                <w:sz w:val="20"/>
                <w:szCs w:val="20"/>
                <w:color w:val="auto"/>
              </w:rPr>
            </w:pPr>
            <w:r>
              <w:rPr>
                <w:rFonts w:ascii="Arial" w:cs="Arial" w:eastAsia="Arial" w:hAnsi="Arial"/>
                <w:sz w:val="16"/>
                <w:szCs w:val="16"/>
                <w:color w:val="auto"/>
              </w:rPr>
              <w:t>3,759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3,748</w:t>
            </w:r>
          </w:p>
        </w:tc>
      </w:tr>
      <w:tr>
        <w:trPr>
          <w:trHeight w:val="33"/>
        </w:trPr>
        <w:tc>
          <w:tcPr>
            <w:tcW w:w="7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7"/>
        </w:trPr>
        <w:tc>
          <w:tcPr>
            <w:tcW w:w="7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Depreciation, amortization and impairment charges on Property, net</w:t>
            </w:r>
          </w:p>
        </w:tc>
        <w:tc>
          <w:tcPr>
            <w:tcW w:w="2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2,814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3,775</w:t>
            </w:r>
          </w:p>
        </w:tc>
      </w:tr>
      <w:tr>
        <w:trPr>
          <w:trHeight w:val="224"/>
        </w:trPr>
        <w:tc>
          <w:tcPr>
            <w:tcW w:w="7860" w:type="dxa"/>
            <w:vAlign w:val="bottom"/>
          </w:tcPr>
          <w:p>
            <w:pPr>
              <w:ind w:left="120"/>
              <w:spacing w:after="0"/>
              <w:rPr>
                <w:sz w:val="20"/>
                <w:szCs w:val="20"/>
                <w:color w:val="auto"/>
              </w:rPr>
            </w:pPr>
            <w:r>
              <w:rPr>
                <w:rFonts w:ascii="Arial" w:cs="Arial" w:eastAsia="Arial" w:hAnsi="Arial"/>
                <w:sz w:val="16"/>
                <w:szCs w:val="16"/>
                <w:color w:val="auto"/>
              </w:rPr>
              <w:t>Foreign currency remeasurement and transaction gains</w:t>
            </w:r>
          </w:p>
        </w:tc>
        <w:tc>
          <w:tcPr>
            <w:tcW w:w="240" w:type="dxa"/>
            <w:vAlign w:val="bottom"/>
          </w:tcPr>
          <w:p>
            <w:pPr>
              <w:spacing w:after="0"/>
              <w:rPr>
                <w:sz w:val="19"/>
                <w:szCs w:val="19"/>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(178)</w:t>
            </w:r>
          </w:p>
        </w:tc>
      </w:tr>
      <w:tr>
        <w:trPr>
          <w:trHeight w:val="33"/>
        </w:trPr>
        <w:tc>
          <w:tcPr>
            <w:tcW w:w="7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7"/>
        </w:trPr>
        <w:tc>
          <w:tcPr>
            <w:tcW w:w="7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Undistributed earnings of nonconsolidated affiliates, net</w:t>
            </w:r>
          </w:p>
        </w:tc>
        <w:tc>
          <w:tcPr>
            <w:tcW w:w="2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446</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256</w:t>
            </w:r>
          </w:p>
        </w:tc>
      </w:tr>
      <w:tr>
        <w:trPr>
          <w:trHeight w:val="223"/>
        </w:trPr>
        <w:tc>
          <w:tcPr>
            <w:tcW w:w="7860" w:type="dxa"/>
            <w:vAlign w:val="bottom"/>
          </w:tcPr>
          <w:p>
            <w:pPr>
              <w:ind w:left="120"/>
              <w:spacing w:after="0"/>
              <w:rPr>
                <w:sz w:val="20"/>
                <w:szCs w:val="20"/>
                <w:color w:val="auto"/>
              </w:rPr>
            </w:pPr>
            <w:r>
              <w:rPr>
                <w:rFonts w:ascii="Arial" w:cs="Arial" w:eastAsia="Arial" w:hAnsi="Arial"/>
                <w:sz w:val="16"/>
                <w:szCs w:val="16"/>
                <w:color w:val="auto"/>
              </w:rPr>
              <w:t>Pension contributions and OPEB payments</w:t>
            </w:r>
          </w:p>
        </w:tc>
        <w:tc>
          <w:tcPr>
            <w:tcW w:w="240" w:type="dxa"/>
            <w:vAlign w:val="bottom"/>
          </w:tcPr>
          <w:p>
            <w:pPr>
              <w:spacing w:after="0"/>
              <w:rPr>
                <w:sz w:val="19"/>
                <w:szCs w:val="19"/>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(327)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(570)</w:t>
            </w:r>
          </w:p>
        </w:tc>
      </w:tr>
      <w:tr>
        <w:trPr>
          <w:trHeight w:val="33"/>
        </w:trPr>
        <w:tc>
          <w:tcPr>
            <w:tcW w:w="7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7"/>
        </w:trPr>
        <w:tc>
          <w:tcPr>
            <w:tcW w:w="7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Pension and OPEB income, net</w:t>
            </w:r>
          </w:p>
        </w:tc>
        <w:tc>
          <w:tcPr>
            <w:tcW w:w="2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(518)</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(306)</w:t>
            </w:r>
          </w:p>
        </w:tc>
      </w:tr>
      <w:tr>
        <w:trPr>
          <w:trHeight w:val="224"/>
        </w:trPr>
        <w:tc>
          <w:tcPr>
            <w:tcW w:w="7860" w:type="dxa"/>
            <w:vAlign w:val="bottom"/>
          </w:tcPr>
          <w:p>
            <w:pPr>
              <w:ind w:left="120"/>
              <w:spacing w:after="0"/>
              <w:rPr>
                <w:sz w:val="20"/>
                <w:szCs w:val="20"/>
                <w:color w:val="auto"/>
              </w:rPr>
            </w:pPr>
            <w:r>
              <w:rPr>
                <w:rFonts w:ascii="Arial" w:cs="Arial" w:eastAsia="Arial" w:hAnsi="Arial"/>
                <w:sz w:val="16"/>
                <w:szCs w:val="16"/>
                <w:color w:val="auto"/>
              </w:rPr>
              <w:t>Provision (benefit) for deferred taxes</w:t>
            </w:r>
          </w:p>
        </w:tc>
        <w:tc>
          <w:tcPr>
            <w:tcW w:w="240" w:type="dxa"/>
            <w:vAlign w:val="bottom"/>
          </w:tcPr>
          <w:p>
            <w:pPr>
              <w:spacing w:after="0"/>
              <w:rPr>
                <w:sz w:val="19"/>
                <w:szCs w:val="19"/>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79</w:t>
            </w:r>
          </w:p>
        </w:tc>
      </w:tr>
      <w:tr>
        <w:trPr>
          <w:trHeight w:val="33"/>
        </w:trPr>
        <w:tc>
          <w:tcPr>
            <w:tcW w:w="7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7"/>
        </w:trPr>
        <w:tc>
          <w:tcPr>
            <w:tcW w:w="7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Change in other operating assets and liabilities</w:t>
            </w:r>
          </w:p>
        </w:tc>
        <w:tc>
          <w:tcPr>
            <w:tcW w:w="2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(6,847)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(6,357)</w:t>
            </w:r>
          </w:p>
        </w:tc>
      </w:tr>
      <w:tr>
        <w:trPr>
          <w:trHeight w:val="217"/>
        </w:trPr>
        <w:tc>
          <w:tcPr>
            <w:tcW w:w="7860" w:type="dxa"/>
            <w:vAlign w:val="bottom"/>
          </w:tcPr>
          <w:p>
            <w:pPr>
              <w:ind w:left="20"/>
              <w:spacing w:after="0"/>
              <w:rPr>
                <w:sz w:val="20"/>
                <w:szCs w:val="20"/>
                <w:color w:val="auto"/>
              </w:rPr>
            </w:pPr>
            <w:r>
              <w:rPr>
                <w:rFonts w:ascii="Arial" w:cs="Arial" w:eastAsia="Arial" w:hAnsi="Arial"/>
                <w:sz w:val="16"/>
                <w:szCs w:val="16"/>
                <w:b w:val="1"/>
                <w:bCs w:val="1"/>
                <w:color w:val="auto"/>
              </w:rPr>
              <w:t>Net cash provided by (used in) operating activities</w:t>
            </w:r>
          </w:p>
        </w:tc>
        <w:tc>
          <w:tcPr>
            <w:tcW w:w="2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(1,254)</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4,995</w:t>
            </w:r>
          </w:p>
        </w:tc>
      </w:tr>
      <w:tr>
        <w:trPr>
          <w:trHeight w:val="33"/>
        </w:trPr>
        <w:tc>
          <w:tcPr>
            <w:tcW w:w="7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6"/>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r>
      <w:tr>
        <w:trPr>
          <w:trHeight w:val="224"/>
        </w:trPr>
        <w:tc>
          <w:tcPr>
            <w:tcW w:w="7860" w:type="dxa"/>
            <w:vAlign w:val="bottom"/>
          </w:tcPr>
          <w:p>
            <w:pPr>
              <w:ind w:left="120"/>
              <w:spacing w:after="0"/>
              <w:rPr>
                <w:sz w:val="20"/>
                <w:szCs w:val="20"/>
                <w:color w:val="auto"/>
              </w:rPr>
            </w:pPr>
            <w:r>
              <w:rPr>
                <w:rFonts w:ascii="Arial" w:cs="Arial" w:eastAsia="Arial" w:hAnsi="Arial"/>
                <w:sz w:val="16"/>
                <w:szCs w:val="16"/>
                <w:color w:val="auto"/>
              </w:rPr>
              <w:t>Expenditures for property</w:t>
            </w:r>
          </w:p>
        </w:tc>
        <w:tc>
          <w:tcPr>
            <w:tcW w:w="240" w:type="dxa"/>
            <w:vAlign w:val="bottom"/>
          </w:tcPr>
          <w:p>
            <w:pPr>
              <w:spacing w:after="0"/>
              <w:rPr>
                <w:sz w:val="19"/>
                <w:szCs w:val="19"/>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(2,336)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(3,476)</w:t>
            </w:r>
          </w:p>
        </w:tc>
      </w:tr>
      <w:tr>
        <w:trPr>
          <w:trHeight w:val="33"/>
        </w:trPr>
        <w:tc>
          <w:tcPr>
            <w:tcW w:w="7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7"/>
        </w:trPr>
        <w:tc>
          <w:tcPr>
            <w:tcW w:w="7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Available-for-sale marketable securities, acquisitions</w:t>
            </w:r>
          </w:p>
        </w:tc>
        <w:tc>
          <w:tcPr>
            <w:tcW w:w="2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(7,656)</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(2,213)</w:t>
            </w:r>
          </w:p>
        </w:tc>
      </w:tr>
      <w:tr>
        <w:trPr>
          <w:trHeight w:val="224"/>
        </w:trPr>
        <w:tc>
          <w:tcPr>
            <w:tcW w:w="7860" w:type="dxa"/>
            <w:vAlign w:val="bottom"/>
          </w:tcPr>
          <w:p>
            <w:pPr>
              <w:ind w:left="120"/>
              <w:spacing w:after="0"/>
              <w:rPr>
                <w:sz w:val="20"/>
                <w:szCs w:val="20"/>
                <w:color w:val="auto"/>
              </w:rPr>
            </w:pPr>
            <w:r>
              <w:rPr>
                <w:rFonts w:ascii="Arial" w:cs="Arial" w:eastAsia="Arial" w:hAnsi="Arial"/>
                <w:sz w:val="16"/>
                <w:szCs w:val="16"/>
                <w:color w:val="auto"/>
              </w:rPr>
              <w:t>Available-for-sale marketable securities, liquidations</w:t>
            </w:r>
          </w:p>
        </w:tc>
        <w:tc>
          <w:tcPr>
            <w:tcW w:w="240" w:type="dxa"/>
            <w:vAlign w:val="bottom"/>
          </w:tcPr>
          <w:p>
            <w:pPr>
              <w:spacing w:after="0"/>
              <w:rPr>
                <w:sz w:val="19"/>
                <w:szCs w:val="19"/>
                <w:color w:val="auto"/>
              </w:rPr>
            </w:pPr>
          </w:p>
        </w:tc>
        <w:tc>
          <w:tcPr>
            <w:tcW w:w="1380" w:type="dxa"/>
            <w:vAlign w:val="bottom"/>
          </w:tcPr>
          <w:p>
            <w:pPr>
              <w:jc w:val="right"/>
              <w:ind w:right="60"/>
              <w:spacing w:after="0"/>
              <w:rPr>
                <w:sz w:val="20"/>
                <w:szCs w:val="20"/>
                <w:color w:val="auto"/>
              </w:rPr>
            </w:pPr>
            <w:r>
              <w:rPr>
                <w:rFonts w:ascii="Arial" w:cs="Arial" w:eastAsia="Arial" w:hAnsi="Arial"/>
                <w:sz w:val="16"/>
                <w:szCs w:val="16"/>
                <w:color w:val="auto"/>
              </w:rPr>
              <w:t>3,694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1,244</w:t>
            </w:r>
          </w:p>
        </w:tc>
      </w:tr>
      <w:tr>
        <w:trPr>
          <w:trHeight w:val="33"/>
        </w:trPr>
        <w:tc>
          <w:tcPr>
            <w:tcW w:w="7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6"/>
        </w:trPr>
        <w:tc>
          <w:tcPr>
            <w:tcW w:w="7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Purchases of finance receivables, net</w:t>
            </w:r>
          </w:p>
        </w:tc>
        <w:tc>
          <w:tcPr>
            <w:tcW w:w="2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(14,929)</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(13,757)</w:t>
            </w:r>
          </w:p>
        </w:tc>
      </w:tr>
      <w:tr>
        <w:trPr>
          <w:trHeight w:val="224"/>
        </w:trPr>
        <w:tc>
          <w:tcPr>
            <w:tcW w:w="7860" w:type="dxa"/>
            <w:vAlign w:val="bottom"/>
          </w:tcPr>
          <w:p>
            <w:pPr>
              <w:ind w:left="120"/>
              <w:spacing w:after="0"/>
              <w:rPr>
                <w:sz w:val="20"/>
                <w:szCs w:val="20"/>
                <w:color w:val="auto"/>
              </w:rPr>
            </w:pPr>
            <w:r>
              <w:rPr>
                <w:rFonts w:ascii="Arial" w:cs="Arial" w:eastAsia="Arial" w:hAnsi="Arial"/>
                <w:sz w:val="16"/>
                <w:szCs w:val="16"/>
                <w:color w:val="auto"/>
              </w:rPr>
              <w:t>Principal collections and recoveries on finance receivables</w:t>
            </w:r>
          </w:p>
        </w:tc>
        <w:tc>
          <w:tcPr>
            <w:tcW w:w="240" w:type="dxa"/>
            <w:vAlign w:val="bottom"/>
          </w:tcPr>
          <w:p>
            <w:pPr>
              <w:spacing w:after="0"/>
              <w:rPr>
                <w:sz w:val="19"/>
                <w:szCs w:val="19"/>
                <w:color w:val="auto"/>
              </w:rPr>
            </w:pPr>
          </w:p>
        </w:tc>
        <w:tc>
          <w:tcPr>
            <w:tcW w:w="1380" w:type="dxa"/>
            <w:vAlign w:val="bottom"/>
          </w:tcPr>
          <w:p>
            <w:pPr>
              <w:jc w:val="right"/>
              <w:ind w:right="60"/>
              <w:spacing w:after="0"/>
              <w:rPr>
                <w:sz w:val="20"/>
                <w:szCs w:val="20"/>
                <w:color w:val="auto"/>
              </w:rPr>
            </w:pPr>
            <w:r>
              <w:rPr>
                <w:rFonts w:ascii="Arial" w:cs="Arial" w:eastAsia="Arial" w:hAnsi="Arial"/>
                <w:sz w:val="16"/>
                <w:szCs w:val="16"/>
                <w:color w:val="auto"/>
              </w:rPr>
              <w:t>9,563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11,708</w:t>
            </w:r>
          </w:p>
        </w:tc>
      </w:tr>
      <w:tr>
        <w:trPr>
          <w:trHeight w:val="33"/>
        </w:trPr>
        <w:tc>
          <w:tcPr>
            <w:tcW w:w="7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7"/>
        </w:trPr>
        <w:tc>
          <w:tcPr>
            <w:tcW w:w="7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Purchases of leased vehicles, net</w:t>
            </w:r>
          </w:p>
        </w:tc>
        <w:tc>
          <w:tcPr>
            <w:tcW w:w="2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(6,054)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(8,189)</w:t>
            </w:r>
          </w:p>
        </w:tc>
      </w:tr>
      <w:tr>
        <w:trPr>
          <w:trHeight w:val="223"/>
        </w:trPr>
        <w:tc>
          <w:tcPr>
            <w:tcW w:w="7860" w:type="dxa"/>
            <w:vAlign w:val="bottom"/>
          </w:tcPr>
          <w:p>
            <w:pPr>
              <w:ind w:left="120"/>
              <w:spacing w:after="0"/>
              <w:rPr>
                <w:sz w:val="20"/>
                <w:szCs w:val="20"/>
                <w:color w:val="auto"/>
              </w:rPr>
            </w:pPr>
            <w:r>
              <w:rPr>
                <w:rFonts w:ascii="Arial" w:cs="Arial" w:eastAsia="Arial" w:hAnsi="Arial"/>
                <w:sz w:val="16"/>
                <w:szCs w:val="16"/>
                <w:color w:val="auto"/>
              </w:rPr>
              <w:t>Proceeds from termination of leased vehicles</w:t>
            </w:r>
          </w:p>
        </w:tc>
        <w:tc>
          <w:tcPr>
            <w:tcW w:w="240" w:type="dxa"/>
            <w:vAlign w:val="bottom"/>
          </w:tcPr>
          <w:p>
            <w:pPr>
              <w:spacing w:after="0"/>
              <w:rPr>
                <w:sz w:val="19"/>
                <w:szCs w:val="19"/>
                <w:color w:val="auto"/>
              </w:rPr>
            </w:pPr>
          </w:p>
        </w:tc>
        <w:tc>
          <w:tcPr>
            <w:tcW w:w="1380" w:type="dxa"/>
            <w:vAlign w:val="bottom"/>
          </w:tcPr>
          <w:p>
            <w:pPr>
              <w:jc w:val="right"/>
              <w:ind w:right="60"/>
              <w:spacing w:after="0"/>
              <w:rPr>
                <w:sz w:val="20"/>
                <w:szCs w:val="20"/>
                <w:color w:val="auto"/>
              </w:rPr>
            </w:pPr>
            <w:r>
              <w:rPr>
                <w:rFonts w:ascii="Arial" w:cs="Arial" w:eastAsia="Arial" w:hAnsi="Arial"/>
                <w:sz w:val="16"/>
                <w:szCs w:val="16"/>
                <w:color w:val="auto"/>
              </w:rPr>
              <w:t>5,537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6,444</w:t>
            </w:r>
          </w:p>
        </w:tc>
      </w:tr>
      <w:tr>
        <w:trPr>
          <w:trHeight w:val="33"/>
        </w:trPr>
        <w:tc>
          <w:tcPr>
            <w:tcW w:w="7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6"/>
        </w:trPr>
        <w:tc>
          <w:tcPr>
            <w:tcW w:w="7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Other investing activities</w:t>
            </w:r>
          </w:p>
        </w:tc>
        <w:tc>
          <w:tcPr>
            <w:tcW w:w="2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99</w:t>
            </w:r>
          </w:p>
        </w:tc>
      </w:tr>
      <w:tr>
        <w:trPr>
          <w:trHeight w:val="217"/>
        </w:trPr>
        <w:tc>
          <w:tcPr>
            <w:tcW w:w="7860" w:type="dxa"/>
            <w:vAlign w:val="bottom"/>
          </w:tcPr>
          <w:p>
            <w:pPr>
              <w:ind w:left="20"/>
              <w:spacing w:after="0"/>
              <w:rPr>
                <w:sz w:val="20"/>
                <w:szCs w:val="20"/>
                <w:color w:val="auto"/>
              </w:rPr>
            </w:pPr>
            <w:r>
              <w:rPr>
                <w:rFonts w:ascii="Arial" w:cs="Arial" w:eastAsia="Arial" w:hAnsi="Arial"/>
                <w:sz w:val="16"/>
                <w:szCs w:val="16"/>
                <w:b w:val="1"/>
                <w:bCs w:val="1"/>
                <w:color w:val="auto"/>
              </w:rPr>
              <w:t>Net cash used in investing activities</w:t>
            </w:r>
          </w:p>
        </w:tc>
        <w:tc>
          <w:tcPr>
            <w:tcW w:w="2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(12,336)</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(8,140)</w:t>
            </w:r>
          </w:p>
        </w:tc>
      </w:tr>
      <w:tr>
        <w:trPr>
          <w:trHeight w:val="33"/>
        </w:trPr>
        <w:tc>
          <w:tcPr>
            <w:tcW w:w="7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7"/>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2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r>
      <w:tr>
        <w:trPr>
          <w:trHeight w:val="223"/>
        </w:trPr>
        <w:tc>
          <w:tcPr>
            <w:tcW w:w="7860" w:type="dxa"/>
            <w:vAlign w:val="bottom"/>
          </w:tcPr>
          <w:p>
            <w:pPr>
              <w:ind w:left="120"/>
              <w:spacing w:after="0"/>
              <w:rPr>
                <w:sz w:val="20"/>
                <w:szCs w:val="20"/>
                <w:color w:val="auto"/>
              </w:rPr>
            </w:pPr>
            <w:r>
              <w:rPr>
                <w:rFonts w:ascii="Arial" w:cs="Arial" w:eastAsia="Arial" w:hAnsi="Arial"/>
                <w:sz w:val="16"/>
                <w:szCs w:val="16"/>
                <w:color w:val="auto"/>
              </w:rPr>
              <w:t>Net increase in short-term debt</w:t>
            </w:r>
          </w:p>
        </w:tc>
        <w:tc>
          <w:tcPr>
            <w:tcW w:w="240" w:type="dxa"/>
            <w:vAlign w:val="bottom"/>
          </w:tcPr>
          <w:p>
            <w:pPr>
              <w:spacing w:after="0"/>
              <w:rPr>
                <w:sz w:val="19"/>
                <w:szCs w:val="19"/>
                <w:color w:val="auto"/>
              </w:rPr>
            </w:pPr>
          </w:p>
        </w:tc>
        <w:tc>
          <w:tcPr>
            <w:tcW w:w="1380" w:type="dxa"/>
            <w:vAlign w:val="bottom"/>
          </w:tcPr>
          <w:p>
            <w:pPr>
              <w:jc w:val="right"/>
              <w:ind w:right="60"/>
              <w:spacing w:after="0"/>
              <w:rPr>
                <w:sz w:val="20"/>
                <w:szCs w:val="20"/>
                <w:color w:val="auto"/>
              </w:rPr>
            </w:pPr>
            <w:r>
              <w:rPr>
                <w:rFonts w:ascii="Arial" w:cs="Arial" w:eastAsia="Arial" w:hAnsi="Arial"/>
                <w:sz w:val="16"/>
                <w:szCs w:val="16"/>
                <w:color w:val="auto"/>
              </w:rPr>
              <w:t>846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936</w:t>
            </w:r>
          </w:p>
        </w:tc>
      </w:tr>
      <w:tr>
        <w:trPr>
          <w:trHeight w:val="33"/>
        </w:trPr>
        <w:tc>
          <w:tcPr>
            <w:tcW w:w="7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7"/>
        </w:trPr>
        <w:tc>
          <w:tcPr>
            <w:tcW w:w="7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issuance of debt (original maturities greater than three months)</w:t>
            </w:r>
          </w:p>
        </w:tc>
        <w:tc>
          <w:tcPr>
            <w:tcW w:w="24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53,465</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20,511</w:t>
            </w:r>
          </w:p>
        </w:tc>
      </w:tr>
      <w:tr>
        <w:trPr>
          <w:trHeight w:val="253"/>
        </w:trPr>
        <w:tc>
          <w:tcPr>
            <w:tcW w:w="7860" w:type="dxa"/>
            <w:vAlign w:val="bottom"/>
          </w:tcPr>
          <w:p>
            <w:pPr>
              <w:ind w:left="140"/>
              <w:spacing w:after="0"/>
              <w:rPr>
                <w:sz w:val="20"/>
                <w:szCs w:val="20"/>
                <w:color w:val="auto"/>
              </w:rPr>
            </w:pPr>
            <w:r>
              <w:rPr>
                <w:rFonts w:ascii="Arial" w:cs="Arial" w:eastAsia="Arial" w:hAnsi="Arial"/>
                <w:sz w:val="16"/>
                <w:szCs w:val="16"/>
                <w:color w:val="auto"/>
              </w:rPr>
              <w:t>Payments on debt (original maturities greater than three months)</w:t>
            </w:r>
          </w:p>
        </w:tc>
        <w:tc>
          <w:tcPr>
            <w:tcW w:w="240" w:type="dxa"/>
            <w:vAlign w:val="bottom"/>
          </w:tcPr>
          <w:p>
            <w:pPr>
              <w:spacing w:after="0"/>
              <w:rPr>
                <w:sz w:val="22"/>
                <w:szCs w:val="22"/>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(29,512)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(20,625)</w:t>
            </w:r>
          </w:p>
        </w:tc>
      </w:tr>
      <w:tr>
        <w:trPr>
          <w:trHeight w:val="240"/>
        </w:trPr>
        <w:tc>
          <w:tcPr>
            <w:tcW w:w="7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Proceeds from issuance of subsidiary preferred stock</w:t>
            </w:r>
          </w:p>
        </w:tc>
        <w:tc>
          <w:tcPr>
            <w:tcW w:w="24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414</w:t>
            </w:r>
          </w:p>
        </w:tc>
      </w:tr>
      <w:tr>
        <w:trPr>
          <w:trHeight w:val="223"/>
        </w:trPr>
        <w:tc>
          <w:tcPr>
            <w:tcW w:w="7860" w:type="dxa"/>
            <w:vAlign w:val="bottom"/>
          </w:tcPr>
          <w:p>
            <w:pPr>
              <w:ind w:left="120"/>
              <w:spacing w:after="0"/>
              <w:rPr>
                <w:sz w:val="20"/>
                <w:szCs w:val="20"/>
                <w:color w:val="auto"/>
              </w:rPr>
            </w:pPr>
            <w:r>
              <w:rPr>
                <w:rFonts w:ascii="Arial" w:cs="Arial" w:eastAsia="Arial" w:hAnsi="Arial"/>
                <w:sz w:val="16"/>
                <w:szCs w:val="16"/>
                <w:color w:val="auto"/>
              </w:rPr>
              <w:t>Dividends paid</w:t>
            </w:r>
          </w:p>
        </w:tc>
        <w:tc>
          <w:tcPr>
            <w:tcW w:w="240" w:type="dxa"/>
            <w:vAlign w:val="bottom"/>
          </w:tcPr>
          <w:p>
            <w:pPr>
              <w:spacing w:after="0"/>
              <w:rPr>
                <w:sz w:val="19"/>
                <w:szCs w:val="19"/>
                <w:color w:val="auto"/>
              </w:rPr>
            </w:pPr>
          </w:p>
        </w:tc>
        <w:tc>
          <w:tcPr>
            <w:tcW w:w="1380" w:type="dxa"/>
            <w:vAlign w:val="bottom"/>
          </w:tcPr>
          <w:p>
            <w:pPr>
              <w:jc w:val="right"/>
              <w:ind w:right="20"/>
              <w:spacing w:after="0"/>
              <w:rPr>
                <w:sz w:val="20"/>
                <w:szCs w:val="20"/>
                <w:color w:val="auto"/>
              </w:rPr>
            </w:pPr>
            <w:r>
              <w:rPr>
                <w:rFonts w:ascii="Arial" w:cs="Arial" w:eastAsia="Arial" w:hAnsi="Arial"/>
                <w:sz w:val="16"/>
                <w:szCs w:val="16"/>
                <w:color w:val="auto"/>
              </w:rPr>
              <w:t>(592)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(1,184)</w:t>
            </w:r>
          </w:p>
        </w:tc>
      </w:tr>
      <w:tr>
        <w:trPr>
          <w:trHeight w:val="33"/>
        </w:trPr>
        <w:tc>
          <w:tcPr>
            <w:tcW w:w="7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7"/>
        </w:trPr>
        <w:tc>
          <w:tcPr>
            <w:tcW w:w="7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Other financing activities</w:t>
            </w:r>
          </w:p>
        </w:tc>
        <w:tc>
          <w:tcPr>
            <w:tcW w:w="2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(491)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(264)</w:t>
            </w:r>
          </w:p>
        </w:tc>
      </w:tr>
      <w:tr>
        <w:trPr>
          <w:trHeight w:val="217"/>
        </w:trPr>
        <w:tc>
          <w:tcPr>
            <w:tcW w:w="7860" w:type="dxa"/>
            <w:vAlign w:val="bottom"/>
          </w:tcPr>
          <w:p>
            <w:pPr>
              <w:ind w:left="20"/>
              <w:spacing w:after="0"/>
              <w:rPr>
                <w:sz w:val="20"/>
                <w:szCs w:val="20"/>
                <w:color w:val="auto"/>
              </w:rPr>
            </w:pPr>
            <w:r>
              <w:rPr>
                <w:rFonts w:ascii="Arial" w:cs="Arial" w:eastAsia="Arial" w:hAnsi="Arial"/>
                <w:sz w:val="16"/>
                <w:szCs w:val="16"/>
                <w:b w:val="1"/>
                <w:bCs w:val="1"/>
                <w:color w:val="auto"/>
              </w:rPr>
              <w:t>Net cash provided by (used in) financing activities</w:t>
            </w:r>
          </w:p>
        </w:tc>
        <w:tc>
          <w:tcPr>
            <w:tcW w:w="2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23,716</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(212)</w:t>
            </w:r>
          </w:p>
        </w:tc>
      </w:tr>
      <w:tr>
        <w:trPr>
          <w:trHeight w:val="33"/>
        </w:trPr>
        <w:tc>
          <w:tcPr>
            <w:tcW w:w="7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6"/>
        </w:trPr>
        <w:tc>
          <w:tcPr>
            <w:tcW w:w="7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2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42</w:t>
            </w:r>
          </w:p>
        </w:tc>
      </w:tr>
      <w:tr>
        <w:trPr>
          <w:trHeight w:val="217"/>
        </w:trPr>
        <w:tc>
          <w:tcPr>
            <w:tcW w:w="7860" w:type="dxa"/>
            <w:vAlign w:val="bottom"/>
          </w:tcPr>
          <w:p>
            <w:pPr>
              <w:ind w:left="12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2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9,697</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(3,315)</w:t>
            </w:r>
          </w:p>
        </w:tc>
      </w:tr>
      <w:tr>
        <w:trPr>
          <w:trHeight w:val="33"/>
        </w:trPr>
        <w:tc>
          <w:tcPr>
            <w:tcW w:w="7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4"/>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at beginning of period</w:t>
            </w:r>
          </w:p>
        </w:tc>
        <w:tc>
          <w:tcPr>
            <w:tcW w:w="24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22,943</w:t>
            </w:r>
          </w:p>
        </w:tc>
        <w:tc>
          <w:tcPr>
            <w:tcW w:w="1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23,496</w:t>
            </w:r>
          </w:p>
        </w:tc>
      </w:tr>
      <w:tr>
        <w:trPr>
          <w:trHeight w:val="253"/>
        </w:trPr>
        <w:tc>
          <w:tcPr>
            <w:tcW w:w="7860" w:type="dxa"/>
            <w:vAlign w:val="bottom"/>
          </w:tcPr>
          <w:p>
            <w:pPr>
              <w:ind w:left="20"/>
              <w:spacing w:after="0"/>
              <w:rPr>
                <w:sz w:val="20"/>
                <w:szCs w:val="20"/>
                <w:color w:val="auto"/>
              </w:rPr>
            </w:pPr>
            <w:r>
              <w:rPr>
                <w:rFonts w:ascii="Arial" w:cs="Arial" w:eastAsia="Arial" w:hAnsi="Arial"/>
                <w:sz w:val="16"/>
                <w:szCs w:val="16"/>
                <w:b w:val="1"/>
                <w:bCs w:val="1"/>
                <w:color w:val="auto"/>
              </w:rPr>
              <w:t>Cash, cash equivalents and restricted cash at end of period</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32,640</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20,181</w:t>
            </w: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29"/>
        </w:trPr>
        <w:tc>
          <w:tcPr>
            <w:tcW w:w="78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r>
      <w:tr>
        <w:trPr>
          <w:trHeight w:val="213"/>
        </w:trPr>
        <w:tc>
          <w:tcPr>
            <w:tcW w:w="7860" w:type="dxa"/>
            <w:vAlign w:val="bottom"/>
          </w:tcPr>
          <w:p>
            <w:pPr>
              <w:ind w:left="20"/>
              <w:spacing w:after="0"/>
              <w:rPr>
                <w:sz w:val="20"/>
                <w:szCs w:val="20"/>
                <w:color w:val="auto"/>
              </w:rPr>
            </w:pPr>
            <w:r>
              <w:rPr>
                <w:rFonts w:ascii="Arial" w:cs="Arial" w:eastAsia="Arial" w:hAnsi="Arial"/>
                <w:sz w:val="16"/>
                <w:szCs w:val="16"/>
                <w:b w:val="1"/>
                <w:bCs w:val="1"/>
                <w:color w:val="auto"/>
              </w:rPr>
              <w:t>Significant Non-cash Investing and Financing Activity</w:t>
            </w: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59"/>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Non-cash property additions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1,773</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3,026</w:t>
            </w: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Reference should be made to the notes to condensed consolidated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millions) (Unaudited)</w:t>
      </w:r>
    </w:p>
    <w:p>
      <w:pPr>
        <w:spacing w:after="0" w:line="121"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43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rPr>
              <w:t>Common Stockholders’</w:t>
            </w: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Common</w:t>
            </w:r>
          </w:p>
        </w:tc>
        <w:tc>
          <w:tcPr>
            <w:tcW w:w="100" w:type="dxa"/>
            <w:vAlign w:val="bottom"/>
          </w:tcPr>
          <w:p>
            <w:pPr>
              <w:spacing w:after="0"/>
              <w:rPr>
                <w:sz w:val="13"/>
                <w:szCs w:val="13"/>
                <w:color w:val="auto"/>
              </w:rPr>
            </w:pPr>
          </w:p>
        </w:tc>
        <w:tc>
          <w:tcPr>
            <w:tcW w:w="92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3"/>
                <w:szCs w:val="13"/>
                <w:color w:val="auto"/>
              </w:rPr>
            </w:pPr>
          </w:p>
        </w:tc>
        <w:tc>
          <w:tcPr>
            <w:tcW w:w="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Retained</w:t>
            </w:r>
          </w:p>
        </w:tc>
        <w:tc>
          <w:tcPr>
            <w:tcW w:w="1400" w:type="dxa"/>
            <w:vAlign w:val="bottom"/>
            <w:gridSpan w:val="3"/>
          </w:tcPr>
          <w:p>
            <w:pPr>
              <w:ind w:left="20"/>
              <w:spacing w:after="0" w:line="153" w:lineRule="exact"/>
              <w:rPr>
                <w:sz w:val="20"/>
                <w:szCs w:val="20"/>
                <w:color w:val="auto"/>
              </w:rPr>
            </w:pPr>
            <w:r>
              <w:rPr>
                <w:rFonts w:ascii="Arial" w:cs="Arial" w:eastAsia="Arial" w:hAnsi="Arial"/>
                <w:sz w:val="14"/>
                <w:szCs w:val="14"/>
                <w:b w:val="1"/>
                <w:bCs w:val="1"/>
                <w:color w:val="auto"/>
              </w:rPr>
              <w:t>Accumulated Other</w:t>
            </w:r>
          </w:p>
        </w:tc>
        <w:tc>
          <w:tcPr>
            <w:tcW w:w="120" w:type="dxa"/>
            <w:vAlign w:val="bottom"/>
          </w:tcPr>
          <w:p>
            <w:pPr>
              <w:spacing w:after="0"/>
              <w:rPr>
                <w:sz w:val="13"/>
                <w:szCs w:val="13"/>
                <w:color w:val="auto"/>
              </w:rPr>
            </w:pP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Noncontrolling</w:t>
            </w: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Paid-in</w:t>
            </w: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920" w:type="dxa"/>
            <w:vAlign w:val="bottom"/>
            <w:gridSpan w:val="2"/>
            <w:vMerge w:val="restart"/>
          </w:tcPr>
          <w:p>
            <w:pPr>
              <w:jc w:val="right"/>
              <w:ind w:right="8"/>
              <w:spacing w:after="0"/>
              <w:rPr>
                <w:sz w:val="20"/>
                <w:szCs w:val="20"/>
                <w:color w:val="auto"/>
              </w:rPr>
            </w:pPr>
            <w:r>
              <w:rPr>
                <w:rFonts w:ascii="Arial" w:cs="Arial" w:eastAsia="Arial" w:hAnsi="Arial"/>
                <w:sz w:val="14"/>
                <w:szCs w:val="14"/>
                <w:b w:val="1"/>
                <w:bCs w:val="1"/>
                <w:color w:val="auto"/>
              </w:rPr>
              <w:t>Total Equity</w:t>
            </w:r>
          </w:p>
        </w:tc>
        <w:tc>
          <w:tcPr>
            <w:tcW w:w="0" w:type="dxa"/>
            <w:vAlign w:val="bottom"/>
          </w:tcPr>
          <w:p>
            <w:pPr>
              <w:spacing w:after="0"/>
              <w:rPr>
                <w:sz w:val="1"/>
                <w:szCs w:val="1"/>
                <w:color w:val="auto"/>
              </w:rPr>
            </w:pPr>
          </w:p>
        </w:tc>
      </w:tr>
      <w:tr>
        <w:trPr>
          <w:trHeight w:val="192"/>
        </w:trPr>
        <w:tc>
          <w:tcPr>
            <w:tcW w:w="4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6"/>
                <w:szCs w:val="16"/>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6"/>
                <w:szCs w:val="16"/>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Loss</w:t>
            </w:r>
          </w:p>
        </w:tc>
        <w:tc>
          <w:tcPr>
            <w:tcW w:w="12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Interests</w:t>
            </w:r>
          </w:p>
        </w:tc>
        <w:tc>
          <w:tcPr>
            <w:tcW w:w="9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January 1, 2019</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14</w:t>
            </w:r>
          </w:p>
        </w:tc>
        <w:tc>
          <w:tcPr>
            <w:tcW w:w="10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25,563</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22,322</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(9,039)</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3,917</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42,777</w:t>
            </w:r>
          </w:p>
        </w:tc>
        <w:tc>
          <w:tcPr>
            <w:tcW w:w="0" w:type="dxa"/>
            <w:vAlign w:val="bottom"/>
          </w:tcPr>
          <w:p>
            <w:pPr>
              <w:spacing w:after="0"/>
              <w:rPr>
                <w:sz w:val="1"/>
                <w:szCs w:val="1"/>
                <w:color w:val="auto"/>
              </w:rPr>
            </w:pPr>
          </w:p>
        </w:tc>
      </w:tr>
      <w:tr>
        <w:trPr>
          <w:trHeight w:val="251"/>
        </w:trPr>
        <w:tc>
          <w:tcPr>
            <w:tcW w:w="43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20" w:type="dxa"/>
            <w:vAlign w:val="bottom"/>
          </w:tcPr>
          <w:p>
            <w:pPr>
              <w:spacing w:after="0"/>
              <w:rPr>
                <w:sz w:val="21"/>
                <w:szCs w:val="21"/>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2,157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2,145</w:t>
            </w:r>
          </w:p>
        </w:tc>
        <w:tc>
          <w:tcPr>
            <w:tcW w:w="0" w:type="dxa"/>
            <w:vAlign w:val="bottom"/>
          </w:tcPr>
          <w:p>
            <w:pPr>
              <w:spacing w:after="0"/>
              <w:rPr>
                <w:sz w:val="1"/>
                <w:szCs w:val="1"/>
                <w:color w:val="auto"/>
              </w:rPr>
            </w:pPr>
          </w:p>
        </w:tc>
      </w:tr>
      <w:tr>
        <w:trPr>
          <w:trHeight w:val="263"/>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w:t>
            </w:r>
          </w:p>
        </w:tc>
        <w:tc>
          <w:tcPr>
            <w:tcW w:w="12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185</w:t>
            </w:r>
          </w:p>
        </w:tc>
        <w:tc>
          <w:tcPr>
            <w:tcW w:w="0" w:type="dxa"/>
            <w:vAlign w:val="bottom"/>
          </w:tcPr>
          <w:p>
            <w:pPr>
              <w:spacing w:after="0"/>
              <w:rPr>
                <w:sz w:val="1"/>
                <w:szCs w:val="1"/>
                <w:color w:val="auto"/>
              </w:rPr>
            </w:pPr>
          </w:p>
        </w:tc>
      </w:tr>
      <w:tr>
        <w:trPr>
          <w:trHeight w:val="250"/>
        </w:trPr>
        <w:tc>
          <w:tcPr>
            <w:tcW w:w="4380" w:type="dxa"/>
            <w:vAlign w:val="bottom"/>
          </w:tcPr>
          <w:p>
            <w:pPr>
              <w:ind w:left="20"/>
              <w:spacing w:after="0"/>
              <w:rPr>
                <w:sz w:val="20"/>
                <w:szCs w:val="20"/>
                <w:color w:val="auto"/>
              </w:rPr>
            </w:pPr>
            <w:r>
              <w:rPr>
                <w:rFonts w:ascii="Arial" w:cs="Arial" w:eastAsia="Arial" w:hAnsi="Arial"/>
                <w:sz w:val="16"/>
                <w:szCs w:val="16"/>
                <w:color w:val="auto"/>
              </w:rPr>
              <w:t>Stock based compensation</w:t>
            </w:r>
          </w:p>
        </w:tc>
        <w:tc>
          <w:tcPr>
            <w:tcW w:w="120" w:type="dxa"/>
            <w:vAlign w:val="bottom"/>
          </w:tcPr>
          <w:p>
            <w:pPr>
              <w:spacing w:after="0"/>
              <w:rPr>
                <w:sz w:val="21"/>
                <w:szCs w:val="21"/>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95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263"/>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dividends paid on common stock</w:t>
            </w:r>
          </w:p>
        </w:tc>
        <w:tc>
          <w:tcPr>
            <w:tcW w:w="12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(539)</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(539)</w:t>
            </w:r>
          </w:p>
        </w:tc>
        <w:tc>
          <w:tcPr>
            <w:tcW w:w="0" w:type="dxa"/>
            <w:vAlign w:val="bottom"/>
          </w:tcPr>
          <w:p>
            <w:pPr>
              <w:spacing w:after="0"/>
              <w:rPr>
                <w:sz w:val="1"/>
                <w:szCs w:val="1"/>
                <w:color w:val="auto"/>
              </w:rPr>
            </w:pPr>
          </w:p>
        </w:tc>
      </w:tr>
      <w:tr>
        <w:trPr>
          <w:trHeight w:val="250"/>
        </w:trPr>
        <w:tc>
          <w:tcPr>
            <w:tcW w:w="4380" w:type="dxa"/>
            <w:vAlign w:val="bottom"/>
          </w:tcPr>
          <w:p>
            <w:pPr>
              <w:ind w:left="20"/>
              <w:spacing w:after="0"/>
              <w:rPr>
                <w:sz w:val="20"/>
                <w:szCs w:val="20"/>
                <w:color w:val="auto"/>
              </w:rPr>
            </w:pPr>
            <w:r>
              <w:rPr>
                <w:rFonts w:ascii="Arial" w:cs="Arial" w:eastAsia="Arial" w:hAnsi="Arial"/>
                <w:sz w:val="16"/>
                <w:szCs w:val="16"/>
                <w:color w:val="auto"/>
              </w:rPr>
              <w:t>Dividends to noncontrolling interests</w:t>
            </w:r>
          </w:p>
        </w:tc>
        <w:tc>
          <w:tcPr>
            <w:tcW w:w="120" w:type="dxa"/>
            <w:vAlign w:val="bottom"/>
          </w:tcPr>
          <w:p>
            <w:pPr>
              <w:spacing w:after="0"/>
              <w:rPr>
                <w:sz w:val="21"/>
                <w:szCs w:val="21"/>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63"/>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2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30"/>
        </w:trPr>
        <w:tc>
          <w:tcPr>
            <w:tcW w:w="4380" w:type="dxa"/>
            <w:vAlign w:val="bottom"/>
          </w:tcPr>
          <w:p>
            <w:pPr>
              <w:ind w:left="20"/>
              <w:spacing w:after="0"/>
              <w:rPr>
                <w:sz w:val="20"/>
                <w:szCs w:val="20"/>
                <w:color w:val="auto"/>
              </w:rPr>
            </w:pPr>
            <w:r>
              <w:rPr>
                <w:rFonts w:ascii="Arial" w:cs="Arial" w:eastAsia="Arial" w:hAnsi="Arial"/>
                <w:sz w:val="16"/>
                <w:szCs w:val="16"/>
                <w:b w:val="1"/>
                <w:bCs w:val="1"/>
                <w:color w:val="auto"/>
              </w:rPr>
              <w:t>Balance at March 31, 2019</w:t>
            </w:r>
          </w:p>
        </w:tc>
        <w:tc>
          <w:tcPr>
            <w:tcW w:w="1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25,661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23,939</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(8,849)</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3,873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44,638</w:t>
            </w:r>
          </w:p>
        </w:tc>
        <w:tc>
          <w:tcPr>
            <w:tcW w:w="0" w:type="dxa"/>
            <w:vAlign w:val="bottom"/>
          </w:tcPr>
          <w:p>
            <w:pPr>
              <w:spacing w:after="0"/>
              <w:rPr>
                <w:sz w:val="1"/>
                <w:szCs w:val="1"/>
                <w:color w:val="auto"/>
              </w:rPr>
            </w:pPr>
          </w:p>
        </w:tc>
      </w:tr>
      <w:tr>
        <w:trPr>
          <w:trHeight w:val="263"/>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2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2,418</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2,403</w:t>
            </w:r>
          </w:p>
        </w:tc>
        <w:tc>
          <w:tcPr>
            <w:tcW w:w="0" w:type="dxa"/>
            <w:vAlign w:val="bottom"/>
          </w:tcPr>
          <w:p>
            <w:pPr>
              <w:spacing w:after="0"/>
              <w:rPr>
                <w:sz w:val="1"/>
                <w:szCs w:val="1"/>
                <w:color w:val="auto"/>
              </w:rPr>
            </w:pPr>
          </w:p>
        </w:tc>
      </w:tr>
      <w:tr>
        <w:trPr>
          <w:trHeight w:val="251"/>
        </w:trPr>
        <w:tc>
          <w:tcPr>
            <w:tcW w:w="4380" w:type="dxa"/>
            <w:vAlign w:val="bottom"/>
          </w:tcPr>
          <w:p>
            <w:pPr>
              <w:ind w:left="20"/>
              <w:spacing w:after="0"/>
              <w:rPr>
                <w:sz w:val="20"/>
                <w:szCs w:val="20"/>
                <w:color w:val="auto"/>
              </w:rPr>
            </w:pPr>
            <w:r>
              <w:rPr>
                <w:rFonts w:ascii="Arial" w:cs="Arial" w:eastAsia="Arial" w:hAnsi="Arial"/>
                <w:sz w:val="16"/>
                <w:szCs w:val="16"/>
                <w:color w:val="auto"/>
              </w:rPr>
              <w:t>Other comprehensive income</w:t>
            </w:r>
          </w:p>
        </w:tc>
        <w:tc>
          <w:tcPr>
            <w:tcW w:w="120" w:type="dxa"/>
            <w:vAlign w:val="bottom"/>
          </w:tcPr>
          <w:p>
            <w:pPr>
              <w:spacing w:after="0"/>
              <w:rPr>
                <w:sz w:val="21"/>
                <w:szCs w:val="21"/>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79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263"/>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Issuance of subsidiary preferred stock (Note 18)</w:t>
            </w:r>
          </w:p>
        </w:tc>
        <w:tc>
          <w:tcPr>
            <w:tcW w:w="12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408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408</w:t>
            </w:r>
          </w:p>
        </w:tc>
        <w:tc>
          <w:tcPr>
            <w:tcW w:w="0" w:type="dxa"/>
            <w:vAlign w:val="bottom"/>
          </w:tcPr>
          <w:p>
            <w:pPr>
              <w:spacing w:after="0"/>
              <w:rPr>
                <w:sz w:val="1"/>
                <w:szCs w:val="1"/>
                <w:color w:val="auto"/>
              </w:rPr>
            </w:pPr>
          </w:p>
        </w:tc>
      </w:tr>
      <w:tr>
        <w:trPr>
          <w:trHeight w:val="251"/>
        </w:trPr>
        <w:tc>
          <w:tcPr>
            <w:tcW w:w="4380" w:type="dxa"/>
            <w:vAlign w:val="bottom"/>
          </w:tcPr>
          <w:p>
            <w:pPr>
              <w:ind w:left="20"/>
              <w:spacing w:after="0"/>
              <w:rPr>
                <w:sz w:val="20"/>
                <w:szCs w:val="20"/>
                <w:color w:val="auto"/>
              </w:rPr>
            </w:pPr>
            <w:r>
              <w:rPr>
                <w:rFonts w:ascii="Arial" w:cs="Arial" w:eastAsia="Arial" w:hAnsi="Arial"/>
                <w:sz w:val="16"/>
                <w:szCs w:val="16"/>
                <w:color w:val="auto"/>
              </w:rPr>
              <w:t>Stock based compensation</w:t>
            </w:r>
          </w:p>
        </w:tc>
        <w:tc>
          <w:tcPr>
            <w:tcW w:w="120" w:type="dxa"/>
            <w:vAlign w:val="bottom"/>
          </w:tcPr>
          <w:p>
            <w:pPr>
              <w:spacing w:after="0"/>
              <w:rPr>
                <w:sz w:val="21"/>
                <w:szCs w:val="21"/>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78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262"/>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dividends paid on common stock</w:t>
            </w:r>
          </w:p>
        </w:tc>
        <w:tc>
          <w:tcPr>
            <w:tcW w:w="12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(540)</w:t>
            </w:r>
          </w:p>
        </w:tc>
        <w:tc>
          <w:tcPr>
            <w:tcW w:w="0" w:type="dxa"/>
            <w:vAlign w:val="bottom"/>
          </w:tcPr>
          <w:p>
            <w:pPr>
              <w:spacing w:after="0"/>
              <w:rPr>
                <w:sz w:val="1"/>
                <w:szCs w:val="1"/>
                <w:color w:val="auto"/>
              </w:rPr>
            </w:pPr>
          </w:p>
        </w:tc>
      </w:tr>
      <w:tr>
        <w:trPr>
          <w:trHeight w:val="250"/>
        </w:trPr>
        <w:tc>
          <w:tcPr>
            <w:tcW w:w="4380" w:type="dxa"/>
            <w:vAlign w:val="bottom"/>
          </w:tcPr>
          <w:p>
            <w:pPr>
              <w:ind w:left="20"/>
              <w:spacing w:after="0"/>
              <w:rPr>
                <w:sz w:val="20"/>
                <w:szCs w:val="20"/>
                <w:color w:val="auto"/>
              </w:rPr>
            </w:pPr>
            <w:r>
              <w:rPr>
                <w:rFonts w:ascii="Arial" w:cs="Arial" w:eastAsia="Arial" w:hAnsi="Arial"/>
                <w:sz w:val="16"/>
                <w:szCs w:val="16"/>
                <w:color w:val="auto"/>
              </w:rPr>
              <w:t>Dividends to noncontrolling interests</w:t>
            </w:r>
          </w:p>
        </w:tc>
        <w:tc>
          <w:tcPr>
            <w:tcW w:w="120" w:type="dxa"/>
            <w:vAlign w:val="bottom"/>
          </w:tcPr>
          <w:p>
            <w:pPr>
              <w:spacing w:after="0"/>
              <w:rPr>
                <w:sz w:val="21"/>
                <w:szCs w:val="21"/>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63"/>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2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207"/>
        </w:trPr>
        <w:tc>
          <w:tcPr>
            <w:tcW w:w="4380" w:type="dxa"/>
            <w:vAlign w:val="bottom"/>
          </w:tcPr>
          <w:p>
            <w:pPr>
              <w:ind w:left="20"/>
              <w:spacing w:after="0"/>
              <w:rPr>
                <w:sz w:val="20"/>
                <w:szCs w:val="20"/>
                <w:color w:val="auto"/>
              </w:rPr>
            </w:pPr>
            <w:r>
              <w:rPr>
                <w:rFonts w:ascii="Arial" w:cs="Arial" w:eastAsia="Arial" w:hAnsi="Arial"/>
                <w:sz w:val="16"/>
                <w:szCs w:val="16"/>
                <w:b w:val="1"/>
                <w:bCs w:val="1"/>
                <w:color w:val="auto"/>
              </w:rPr>
              <w:t>Balance at June 30, 2019</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25,765</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25,807</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(8,770)</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4,273</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47,089</w:t>
            </w:r>
          </w:p>
        </w:tc>
        <w:tc>
          <w:tcPr>
            <w:tcW w:w="0" w:type="dxa"/>
            <w:vAlign w:val="bottom"/>
          </w:tcPr>
          <w:p>
            <w:pPr>
              <w:spacing w:after="0"/>
              <w:rPr>
                <w:sz w:val="1"/>
                <w:szCs w:val="1"/>
                <w:color w:val="auto"/>
              </w:rPr>
            </w:pPr>
          </w:p>
        </w:tc>
      </w:tr>
      <w:tr>
        <w:trPr>
          <w:trHeight w:val="20"/>
        </w:trPr>
        <w:tc>
          <w:tcPr>
            <w:tcW w:w="43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January 1, 2020</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26,074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26,860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(11,156)</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4,165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45,957</w:t>
            </w:r>
          </w:p>
        </w:tc>
        <w:tc>
          <w:tcPr>
            <w:tcW w:w="0" w:type="dxa"/>
            <w:vAlign w:val="bottom"/>
          </w:tcPr>
          <w:p>
            <w:pPr>
              <w:spacing w:after="0"/>
              <w:rPr>
                <w:sz w:val="1"/>
                <w:szCs w:val="1"/>
                <w:color w:val="auto"/>
              </w:rPr>
            </w:pPr>
          </w:p>
        </w:tc>
      </w:tr>
      <w:tr>
        <w:trPr>
          <w:trHeight w:val="250"/>
        </w:trPr>
        <w:tc>
          <w:tcPr>
            <w:tcW w:w="4380" w:type="dxa"/>
            <w:vAlign w:val="bottom"/>
          </w:tcPr>
          <w:p>
            <w:pPr>
              <w:ind w:left="20"/>
              <w:spacing w:after="0"/>
              <w:rPr>
                <w:sz w:val="20"/>
                <w:szCs w:val="20"/>
                <w:color w:val="auto"/>
              </w:rPr>
            </w:pPr>
            <w:r>
              <w:rPr>
                <w:rFonts w:ascii="Arial" w:cs="Arial" w:eastAsia="Arial" w:hAnsi="Arial"/>
                <w:sz w:val="16"/>
                <w:szCs w:val="16"/>
                <w:color w:val="auto"/>
              </w:rPr>
              <w:t>Adoption of accounting standards (Note 1)</w:t>
            </w:r>
          </w:p>
        </w:tc>
        <w:tc>
          <w:tcPr>
            <w:tcW w:w="120" w:type="dxa"/>
            <w:vAlign w:val="bottom"/>
          </w:tcPr>
          <w:p>
            <w:pPr>
              <w:spacing w:after="0"/>
              <w:rPr>
                <w:sz w:val="21"/>
                <w:szCs w:val="21"/>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(660)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(660)</w:t>
            </w:r>
          </w:p>
        </w:tc>
        <w:tc>
          <w:tcPr>
            <w:tcW w:w="0" w:type="dxa"/>
            <w:vAlign w:val="bottom"/>
          </w:tcPr>
          <w:p>
            <w:pPr>
              <w:spacing w:after="0"/>
              <w:rPr>
                <w:sz w:val="1"/>
                <w:szCs w:val="1"/>
                <w:color w:val="auto"/>
              </w:rPr>
            </w:pPr>
          </w:p>
        </w:tc>
      </w:tr>
      <w:tr>
        <w:trPr>
          <w:trHeight w:val="263"/>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2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294</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286</w:t>
            </w:r>
          </w:p>
        </w:tc>
        <w:tc>
          <w:tcPr>
            <w:tcW w:w="0" w:type="dxa"/>
            <w:vAlign w:val="bottom"/>
          </w:tcPr>
          <w:p>
            <w:pPr>
              <w:spacing w:after="0"/>
              <w:rPr>
                <w:sz w:val="1"/>
                <w:szCs w:val="1"/>
                <w:color w:val="auto"/>
              </w:rPr>
            </w:pPr>
          </w:p>
        </w:tc>
      </w:tr>
      <w:tr>
        <w:trPr>
          <w:trHeight w:val="250"/>
        </w:trPr>
        <w:tc>
          <w:tcPr>
            <w:tcW w:w="4380" w:type="dxa"/>
            <w:vAlign w:val="bottom"/>
          </w:tcPr>
          <w:p>
            <w:pPr>
              <w:ind w:left="20"/>
              <w:spacing w:after="0"/>
              <w:rPr>
                <w:sz w:val="20"/>
                <w:szCs w:val="20"/>
                <w:color w:val="auto"/>
              </w:rPr>
            </w:pPr>
            <w:r>
              <w:rPr>
                <w:rFonts w:ascii="Arial" w:cs="Arial" w:eastAsia="Arial" w:hAnsi="Arial"/>
                <w:sz w:val="16"/>
                <w:szCs w:val="16"/>
                <w:color w:val="auto"/>
              </w:rPr>
              <w:t>Other comprehensive loss</w:t>
            </w:r>
          </w:p>
        </w:tc>
        <w:tc>
          <w:tcPr>
            <w:tcW w:w="120" w:type="dxa"/>
            <w:vAlign w:val="bottom"/>
          </w:tcPr>
          <w:p>
            <w:pPr>
              <w:spacing w:after="0"/>
              <w:rPr>
                <w:sz w:val="21"/>
                <w:szCs w:val="21"/>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(644)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(656)</w:t>
            </w:r>
          </w:p>
        </w:tc>
        <w:tc>
          <w:tcPr>
            <w:tcW w:w="0" w:type="dxa"/>
            <w:vAlign w:val="bottom"/>
          </w:tcPr>
          <w:p>
            <w:pPr>
              <w:spacing w:after="0"/>
              <w:rPr>
                <w:sz w:val="1"/>
                <w:szCs w:val="1"/>
                <w:color w:val="auto"/>
              </w:rPr>
            </w:pPr>
          </w:p>
        </w:tc>
      </w:tr>
      <w:tr>
        <w:trPr>
          <w:trHeight w:val="263"/>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Issuance of subsidiary preferred stock</w:t>
            </w:r>
          </w:p>
        </w:tc>
        <w:tc>
          <w:tcPr>
            <w:tcW w:w="12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250"/>
        </w:trPr>
        <w:tc>
          <w:tcPr>
            <w:tcW w:w="4380" w:type="dxa"/>
            <w:vAlign w:val="bottom"/>
          </w:tcPr>
          <w:p>
            <w:pPr>
              <w:ind w:left="20"/>
              <w:spacing w:after="0"/>
              <w:rPr>
                <w:sz w:val="20"/>
                <w:szCs w:val="20"/>
                <w:color w:val="auto"/>
              </w:rPr>
            </w:pPr>
            <w:r>
              <w:rPr>
                <w:rFonts w:ascii="Arial" w:cs="Arial" w:eastAsia="Arial" w:hAnsi="Arial"/>
                <w:sz w:val="16"/>
                <w:szCs w:val="16"/>
                <w:color w:val="auto"/>
              </w:rPr>
              <w:t>Purchase of common stock</w:t>
            </w:r>
          </w:p>
        </w:tc>
        <w:tc>
          <w:tcPr>
            <w:tcW w:w="120" w:type="dxa"/>
            <w:vAlign w:val="bottom"/>
          </w:tcPr>
          <w:p>
            <w:pPr>
              <w:spacing w:after="0"/>
              <w:rPr>
                <w:sz w:val="21"/>
                <w:szCs w:val="21"/>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263"/>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based compensation</w:t>
            </w:r>
          </w:p>
        </w:tc>
        <w:tc>
          <w:tcPr>
            <w:tcW w:w="12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50"/>
        </w:trPr>
        <w:tc>
          <w:tcPr>
            <w:tcW w:w="4380" w:type="dxa"/>
            <w:vAlign w:val="bottom"/>
          </w:tcPr>
          <w:p>
            <w:pPr>
              <w:ind w:left="20"/>
              <w:spacing w:after="0"/>
              <w:rPr>
                <w:sz w:val="20"/>
                <w:szCs w:val="20"/>
                <w:color w:val="auto"/>
              </w:rPr>
            </w:pPr>
            <w:r>
              <w:rPr>
                <w:rFonts w:ascii="Arial" w:cs="Arial" w:eastAsia="Arial" w:hAnsi="Arial"/>
                <w:sz w:val="16"/>
                <w:szCs w:val="16"/>
                <w:color w:val="auto"/>
              </w:rPr>
              <w:t>Cash dividends paid on common stock</w:t>
            </w:r>
          </w:p>
        </w:tc>
        <w:tc>
          <w:tcPr>
            <w:tcW w:w="120" w:type="dxa"/>
            <w:vAlign w:val="bottom"/>
          </w:tcPr>
          <w:p>
            <w:pPr>
              <w:spacing w:after="0"/>
              <w:rPr>
                <w:sz w:val="21"/>
                <w:szCs w:val="21"/>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(545)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(545)</w:t>
            </w:r>
          </w:p>
        </w:tc>
        <w:tc>
          <w:tcPr>
            <w:tcW w:w="0" w:type="dxa"/>
            <w:vAlign w:val="bottom"/>
          </w:tcPr>
          <w:p>
            <w:pPr>
              <w:spacing w:after="0"/>
              <w:rPr>
                <w:sz w:val="1"/>
                <w:szCs w:val="1"/>
                <w:color w:val="auto"/>
              </w:rPr>
            </w:pPr>
          </w:p>
        </w:tc>
      </w:tr>
      <w:tr>
        <w:trPr>
          <w:trHeight w:val="263"/>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to noncontrolling interests</w:t>
            </w:r>
          </w:p>
        </w:tc>
        <w:tc>
          <w:tcPr>
            <w:tcW w:w="12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51"/>
        </w:trPr>
        <w:tc>
          <w:tcPr>
            <w:tcW w:w="4380" w:type="dxa"/>
            <w:vAlign w:val="bottom"/>
          </w:tcPr>
          <w:p>
            <w:pPr>
              <w:ind w:left="20"/>
              <w:spacing w:after="0"/>
              <w:rPr>
                <w:sz w:val="20"/>
                <w:szCs w:val="20"/>
                <w:color w:val="auto"/>
              </w:rPr>
            </w:pPr>
            <w:r>
              <w:rPr>
                <w:rFonts w:ascii="Arial" w:cs="Arial" w:eastAsia="Arial" w:hAnsi="Arial"/>
                <w:sz w:val="16"/>
                <w:szCs w:val="16"/>
                <w:color w:val="auto"/>
              </w:rPr>
              <w:t>Other</w:t>
            </w:r>
          </w:p>
        </w:tc>
        <w:tc>
          <w:tcPr>
            <w:tcW w:w="120" w:type="dxa"/>
            <w:vAlign w:val="bottom"/>
          </w:tcPr>
          <w:p>
            <w:pPr>
              <w:spacing w:after="0"/>
              <w:rPr>
                <w:sz w:val="21"/>
                <w:szCs w:val="21"/>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42"/>
        </w:trPr>
        <w:tc>
          <w:tcPr>
            <w:tcW w:w="4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March 31, 2020</w:t>
            </w:r>
          </w:p>
        </w:tc>
        <w:tc>
          <w:tcPr>
            <w:tcW w:w="120" w:type="dxa"/>
            <w:vAlign w:val="bottom"/>
            <w:tcBorders>
              <w:top w:val="single" w:sz="8" w:color="auto"/>
            </w:tcBorders>
            <w:shd w:val="clear" w:color="auto" w:fill="CCEEFF"/>
          </w:tcPr>
          <w:p>
            <w:pPr>
              <w:spacing w:after="0"/>
              <w:rPr>
                <w:sz w:val="21"/>
                <w:szCs w:val="21"/>
                <w:color w:val="auto"/>
              </w:rPr>
            </w:pPr>
          </w:p>
        </w:tc>
        <w:tc>
          <w:tcPr>
            <w:tcW w:w="80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14</w:t>
            </w:r>
          </w:p>
        </w:tc>
        <w:tc>
          <w:tcPr>
            <w:tcW w:w="10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26,014</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78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25,885</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11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(11,800)</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4,204</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70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44,317</w:t>
            </w:r>
          </w:p>
        </w:tc>
        <w:tc>
          <w:tcPr>
            <w:tcW w:w="0" w:type="dxa"/>
            <w:vAlign w:val="bottom"/>
          </w:tcPr>
          <w:p>
            <w:pPr>
              <w:spacing w:after="0"/>
              <w:rPr>
                <w:sz w:val="1"/>
                <w:szCs w:val="1"/>
                <w:color w:val="auto"/>
              </w:rPr>
            </w:pPr>
          </w:p>
        </w:tc>
      </w:tr>
      <w:tr>
        <w:trPr>
          <w:trHeight w:val="250"/>
        </w:trPr>
        <w:tc>
          <w:tcPr>
            <w:tcW w:w="4380" w:type="dxa"/>
            <w:vAlign w:val="bottom"/>
          </w:tcPr>
          <w:p>
            <w:pPr>
              <w:ind w:left="20"/>
              <w:spacing w:after="0"/>
              <w:rPr>
                <w:sz w:val="20"/>
                <w:szCs w:val="20"/>
                <w:color w:val="auto"/>
              </w:rPr>
            </w:pPr>
            <w:r>
              <w:rPr>
                <w:rFonts w:ascii="Arial" w:cs="Arial" w:eastAsia="Arial" w:hAnsi="Arial"/>
                <w:sz w:val="16"/>
                <w:szCs w:val="16"/>
                <w:color w:val="auto"/>
              </w:rPr>
              <w:t>Net loss</w:t>
            </w:r>
          </w:p>
        </w:tc>
        <w:tc>
          <w:tcPr>
            <w:tcW w:w="120" w:type="dxa"/>
            <w:vAlign w:val="bottom"/>
          </w:tcPr>
          <w:p>
            <w:pPr>
              <w:spacing w:after="0"/>
              <w:rPr>
                <w:sz w:val="21"/>
                <w:szCs w:val="21"/>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(758)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(780)</w:t>
            </w:r>
          </w:p>
        </w:tc>
        <w:tc>
          <w:tcPr>
            <w:tcW w:w="0" w:type="dxa"/>
            <w:vAlign w:val="bottom"/>
          </w:tcPr>
          <w:p>
            <w:pPr>
              <w:spacing w:after="0"/>
              <w:rPr>
                <w:sz w:val="1"/>
                <w:szCs w:val="1"/>
                <w:color w:val="auto"/>
              </w:rPr>
            </w:pPr>
          </w:p>
        </w:tc>
      </w:tr>
      <w:tr>
        <w:trPr>
          <w:trHeight w:val="263"/>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loss</w:t>
            </w:r>
          </w:p>
        </w:tc>
        <w:tc>
          <w:tcPr>
            <w:tcW w:w="12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251"/>
        </w:trPr>
        <w:tc>
          <w:tcPr>
            <w:tcW w:w="4380" w:type="dxa"/>
            <w:vAlign w:val="bottom"/>
          </w:tcPr>
          <w:p>
            <w:pPr>
              <w:ind w:left="20"/>
              <w:spacing w:after="0"/>
              <w:rPr>
                <w:sz w:val="20"/>
                <w:szCs w:val="20"/>
                <w:color w:val="auto"/>
              </w:rPr>
            </w:pPr>
            <w:r>
              <w:rPr>
                <w:rFonts w:ascii="Arial" w:cs="Arial" w:eastAsia="Arial" w:hAnsi="Arial"/>
                <w:sz w:val="16"/>
                <w:szCs w:val="16"/>
                <w:color w:val="auto"/>
              </w:rPr>
              <w:t>Issuance of subsidiary preferred stock</w:t>
            </w:r>
          </w:p>
        </w:tc>
        <w:tc>
          <w:tcPr>
            <w:tcW w:w="120" w:type="dxa"/>
            <w:vAlign w:val="bottom"/>
          </w:tcPr>
          <w:p>
            <w:pPr>
              <w:spacing w:after="0"/>
              <w:rPr>
                <w:sz w:val="21"/>
                <w:szCs w:val="21"/>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262"/>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based compensation</w:t>
            </w:r>
          </w:p>
        </w:tc>
        <w:tc>
          <w:tcPr>
            <w:tcW w:w="12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250"/>
        </w:trPr>
        <w:tc>
          <w:tcPr>
            <w:tcW w:w="4380" w:type="dxa"/>
            <w:vAlign w:val="bottom"/>
          </w:tcPr>
          <w:p>
            <w:pPr>
              <w:ind w:left="20"/>
              <w:spacing w:after="0"/>
              <w:rPr>
                <w:sz w:val="20"/>
                <w:szCs w:val="20"/>
                <w:color w:val="auto"/>
              </w:rPr>
            </w:pPr>
            <w:r>
              <w:rPr>
                <w:rFonts w:ascii="Arial" w:cs="Arial" w:eastAsia="Arial" w:hAnsi="Arial"/>
                <w:sz w:val="16"/>
                <w:szCs w:val="16"/>
                <w:color w:val="auto"/>
              </w:rPr>
              <w:t>Dividends to noncontrolling interests</w:t>
            </w:r>
          </w:p>
        </w:tc>
        <w:tc>
          <w:tcPr>
            <w:tcW w:w="120" w:type="dxa"/>
            <w:vAlign w:val="bottom"/>
          </w:tcPr>
          <w:p>
            <w:pPr>
              <w:spacing w:after="0"/>
              <w:rPr>
                <w:sz w:val="21"/>
                <w:szCs w:val="21"/>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263"/>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2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07"/>
        </w:trPr>
        <w:tc>
          <w:tcPr>
            <w:tcW w:w="4380" w:type="dxa"/>
            <w:vAlign w:val="bottom"/>
          </w:tcPr>
          <w:p>
            <w:pPr>
              <w:ind w:left="20"/>
              <w:spacing w:after="0"/>
              <w:rPr>
                <w:sz w:val="20"/>
                <w:szCs w:val="20"/>
                <w:color w:val="auto"/>
              </w:rPr>
            </w:pPr>
            <w:r>
              <w:rPr>
                <w:rFonts w:ascii="Arial" w:cs="Arial" w:eastAsia="Arial" w:hAnsi="Arial"/>
                <w:sz w:val="16"/>
                <w:szCs w:val="16"/>
                <w:b w:val="1"/>
                <w:bCs w:val="1"/>
                <w:color w:val="auto"/>
              </w:rPr>
              <w:t>Balance at June 30, 2020</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26,087</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25,104</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(11,901)</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4,189</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43,493</w:t>
            </w:r>
          </w:p>
        </w:tc>
        <w:tc>
          <w:tcPr>
            <w:tcW w:w="0" w:type="dxa"/>
            <w:vAlign w:val="bottom"/>
          </w:tcPr>
          <w:p>
            <w:pPr>
              <w:spacing w:after="0"/>
              <w:rPr>
                <w:sz w:val="1"/>
                <w:szCs w:val="1"/>
                <w:color w:val="auto"/>
              </w:rPr>
            </w:pPr>
          </w:p>
        </w:tc>
      </w:tr>
      <w:tr>
        <w:trPr>
          <w:trHeight w:val="23"/>
        </w:trPr>
        <w:tc>
          <w:tcPr>
            <w:tcW w:w="43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Reference should be made to the notes to condensed consolidated financial statements.</w:t>
      </w: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Operations and Basis of Presentation</w:t>
      </w:r>
    </w:p>
    <w:p>
      <w:pPr>
        <w:spacing w:after="0" w:line="121" w:lineRule="exact"/>
        <w:rPr>
          <w:sz w:val="20"/>
          <w:szCs w:val="20"/>
          <w:color w:val="auto"/>
        </w:rPr>
      </w:pPr>
    </w:p>
    <w:p>
      <w:pPr>
        <w:jc w:val="both"/>
        <w:ind w:firstLine="162"/>
        <w:spacing w:after="0" w:line="271" w:lineRule="auto"/>
        <w:rPr>
          <w:sz w:val="20"/>
          <w:szCs w:val="20"/>
          <w:color w:val="auto"/>
        </w:rPr>
      </w:pPr>
      <w:r>
        <w:rPr>
          <w:rFonts w:ascii="Arial" w:cs="Arial" w:eastAsia="Arial" w:hAnsi="Arial"/>
          <w:sz w:val="17"/>
          <w:szCs w:val="17"/>
          <w:color w:val="auto"/>
        </w:rPr>
        <w:t>General Motors Company (sometimes referred to in this Quarterly Report on Form 10-Q as we, our, us, ourselves, the Company, General Motors or GM) designs, builds and sells trucks, crossovers, cars and automobile parts worldwide and is investing in and growing an autonomous vehicle business. We also provide automotive financing services through General Motors Financial Company, Inc. (GM Financial). We analyze the results of our operations through the following operating segments: GM North America (GMNA), GM International Operations (GMIO), GM South America (GMSA), Cruise, and GM Financial. Our GMSA and GMIO operating segments are reported as one, combined international segment, GM International (GMI). Cruise, formerly GM Cruise, is our global segment responsible for the development and commercialization of autonomous vehicle technology. Nonsegment operations are classified as Corporate. Corporate includes certain centrally recorded income and costs such as interest, income taxes, corporate expenditures and certain nonsegment-specific revenues and expenses.</w:t>
      </w:r>
    </w:p>
    <w:p>
      <w:pPr>
        <w:spacing w:after="0" w:line="205" w:lineRule="exact"/>
        <w:rPr>
          <w:sz w:val="20"/>
          <w:szCs w:val="20"/>
          <w:color w:val="auto"/>
        </w:rPr>
      </w:pPr>
    </w:p>
    <w:p>
      <w:pPr>
        <w:jc w:val="both"/>
        <w:ind w:firstLine="162"/>
        <w:spacing w:after="0" w:line="271" w:lineRule="auto"/>
        <w:rPr>
          <w:sz w:val="20"/>
          <w:szCs w:val="20"/>
          <w:color w:val="auto"/>
        </w:rPr>
      </w:pPr>
      <w:r>
        <w:rPr>
          <w:rFonts w:ascii="Arial" w:cs="Arial" w:eastAsia="Arial" w:hAnsi="Arial"/>
          <w:sz w:val="17"/>
          <w:szCs w:val="17"/>
          <w:color w:val="auto"/>
        </w:rPr>
        <w:t>The accompanying condensed consolidated financial statements have been prepared in conformity with U.S. GAAP pursuant to the rules and regulations of the Securities and Exchange Commission (SEC) for interim financial information. Accordingly, they do not include all of the information and notes required by U.S. GAAP for complete financial statements. The accompanying condensed consolidated financial statements include all adjustments, which consist of normal recurring adjustments and transactions or events discretely impacting the interim periods, considered necessary by management to fairly state our results of operations, financial position and cash flows. The operating results for interim periods are not necessarily indicative of results that may be expected for any other interim period or for the full year. These condensed consolidated financial statements should be read in conjunction with the audited consolidated financial statements and notes thereto included in our 2019 Form 10-K. Except for per share amounts or as otherwise specified, dollar amounts presented within tables are stated in millions.</w:t>
      </w:r>
    </w:p>
    <w:p>
      <w:pPr>
        <w:spacing w:after="0" w:line="201"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 xml:space="preserve">Principles of Consolidation </w:t>
      </w:r>
      <w:r>
        <w:rPr>
          <w:rFonts w:ascii="Arial" w:cs="Arial" w:eastAsia="Arial" w:hAnsi="Arial"/>
          <w:sz w:val="16"/>
          <w:szCs w:val="16"/>
          <w:color w:val="auto"/>
        </w:rPr>
        <w:t>We consolidate entities that we control due to ownership of a majority voting interest and we consolidate variable interest</w:t>
      </w:r>
      <w:r>
        <w:rPr>
          <w:rFonts w:ascii="Arial" w:cs="Arial" w:eastAsia="Arial" w:hAnsi="Arial"/>
          <w:sz w:val="16"/>
          <w:szCs w:val="16"/>
          <w:b w:val="1"/>
          <w:bCs w:val="1"/>
          <w:color w:val="auto"/>
        </w:rPr>
        <w:t xml:space="preserve"> </w:t>
      </w:r>
      <w:r>
        <w:rPr>
          <w:rFonts w:ascii="Arial" w:cs="Arial" w:eastAsia="Arial" w:hAnsi="Arial"/>
          <w:sz w:val="16"/>
          <w:szCs w:val="16"/>
          <w:color w:val="auto"/>
        </w:rPr>
        <w:t>entities (VIEs) when we are the primary beneficiary. Our share of earnings or losses of nonconsolidated affiliates is included in our consolidated operating results using the equity method of accounting when we are able to exercise significant influence over the operating and financial decisions of the affiliate.</w:t>
      </w:r>
    </w:p>
    <w:p>
      <w:pPr>
        <w:spacing w:after="0" w:line="16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 xml:space="preserve">Recently Adopted Accounting Standards </w:t>
      </w:r>
      <w:r>
        <w:rPr>
          <w:rFonts w:ascii="Arial" w:cs="Arial" w:eastAsia="Arial" w:hAnsi="Arial"/>
          <w:sz w:val="18"/>
          <w:szCs w:val="18"/>
          <w:color w:val="auto"/>
        </w:rPr>
        <w:t>Effective January 1, 2020, we adopted Accounting Standards Update (ASU) 2016-13, "Financial Instruments -</w:t>
      </w:r>
      <w:r>
        <w:rPr>
          <w:rFonts w:ascii="Arial" w:cs="Arial" w:eastAsia="Arial" w:hAnsi="Arial"/>
          <w:sz w:val="18"/>
          <w:szCs w:val="18"/>
          <w:b w:val="1"/>
          <w:bCs w:val="1"/>
          <w:color w:val="auto"/>
        </w:rPr>
        <w:t xml:space="preserve"> </w:t>
      </w:r>
      <w:r>
        <w:rPr>
          <w:rFonts w:ascii="Arial" w:cs="Arial" w:eastAsia="Arial" w:hAnsi="Arial"/>
          <w:sz w:val="18"/>
          <w:szCs w:val="18"/>
          <w:color w:val="auto"/>
        </w:rPr>
        <w:t>Credit Losses (Topic 326): Measurement of Credit Losses on Financial Instruments" (ASU 2016-13), which requires entities to use a new impairment model based on current expected credit losses (CECL) rather than incurred losses. Estimated credit losses under CECL consider relevant information about past events, current conditions and reasonable and supportable forecasts that affect the collectability of financial assets, resulting in recognition of lifetime expected credit losses at initial recognition of the related asset. We adopted ASU 2016-13 on a modified retrospective basis by recognizing an after-tax cumulative-effect adjustment to the opening balance of Retained earnings of $660 million, inclusive of $643 million related to GM Financial. The application of ASU 2016-13 increased our allowance for loan losses related to GM Financial receivables, net by $801 million and had an insignificant impact to our allowance for credit losses for Accounts and notes receivable and no adoption impact to Marketable debt securities on our condensed consolidated balance sheets.</w:t>
      </w:r>
    </w:p>
    <w:p>
      <w:pPr>
        <w:spacing w:after="0" w:line="21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b w:val="1"/>
          <w:bCs w:val="1"/>
          <w:color w:val="auto"/>
        </w:rPr>
        <w:t xml:space="preserve">Accounting Standards Not Yet Adopted </w:t>
      </w:r>
      <w:r>
        <w:rPr>
          <w:rFonts w:ascii="Arial" w:cs="Arial" w:eastAsia="Arial" w:hAnsi="Arial"/>
          <w:sz w:val="18"/>
          <w:szCs w:val="18"/>
          <w:color w:val="auto"/>
        </w:rPr>
        <w:t>In March 2020, the Financial Accounting Standards Board issued ASU 2020-04, “Reference Rate Reform (Topic</w:t>
      </w:r>
      <w:r>
        <w:rPr>
          <w:rFonts w:ascii="Arial" w:cs="Arial" w:eastAsia="Arial" w:hAnsi="Arial"/>
          <w:sz w:val="18"/>
          <w:szCs w:val="18"/>
          <w:b w:val="1"/>
          <w:bCs w:val="1"/>
          <w:color w:val="auto"/>
        </w:rPr>
        <w:t xml:space="preserve"> </w:t>
      </w:r>
      <w:r>
        <w:rPr>
          <w:rFonts w:ascii="Arial" w:cs="Arial" w:eastAsia="Arial" w:hAnsi="Arial"/>
          <w:sz w:val="18"/>
          <w:szCs w:val="18"/>
          <w:color w:val="auto"/>
        </w:rPr>
        <w:t>848): Facilitation of the Effects of Reference Rate Reform on Financial Reporting” (ASU 2020-04), which provides optional expedients and exceptions for applying U.S. GAAP if certain criteria are met to contracts, hedging relationships and other transactions that reference LIBOR or another reference rate expected to be discontinued. ASU 2020-04 became effective March 12, 2020 and may be applied prospectively through December 31, 2022. We do not believe the discontinuance of LIBOR will be a significant event for our Automotive arrangements. A substantial portion of GM Financial’s indebtedness bears interest at variable interest rates, primarily based on USD-LIBOR. The adoption of ASU 2020-04 is not expected to have a material impact on our condensed consolidated financial statements as the standard will ease, if warranted, the requirements for accounting for the future effects of the rate reform. We continue to monitor the impact the discontinuance of LIBOR or another reference rate will have on GM Financial's contracts, hedging relationships and other transactions.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w:t>
      </w:r>
    </w:p>
    <w:p>
      <w:pPr>
        <w:spacing w:after="0" w:line="162" w:lineRule="exact"/>
        <w:rPr>
          <w:sz w:val="20"/>
          <w:szCs w:val="20"/>
          <w:color w:val="auto"/>
        </w:rPr>
      </w:pPr>
    </w:p>
    <w:p>
      <w:pPr>
        <w:jc w:val="both"/>
        <w:ind w:right="20" w:firstLine="162"/>
        <w:spacing w:after="0" w:line="286" w:lineRule="auto"/>
        <w:rPr>
          <w:sz w:val="20"/>
          <w:szCs w:val="20"/>
          <w:color w:val="auto"/>
        </w:rPr>
      </w:pPr>
      <w:r>
        <w:rPr>
          <w:rFonts w:ascii="Arial" w:cs="Arial" w:eastAsia="Arial" w:hAnsi="Arial"/>
          <w:sz w:val="17"/>
          <w:szCs w:val="17"/>
          <w:color w:val="auto"/>
        </w:rPr>
        <w:t>The information presented on Marketable Debt Securities, Accounts and Notes Receivable and GM Financial Receivables supplements the Significant Accounting Policies information presented in our 2019 Form 10-K to reflect the adoption of ASU 2016-13 that became effective January 1, 2020. See our 2019 Form 10-K for a description of our significant accounting policies in effect prior to the adoption of ASU 2016-13.</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Marketable Debt Securities </w:t>
      </w:r>
      <w:r>
        <w:rPr>
          <w:rFonts w:ascii="Arial" w:cs="Arial" w:eastAsia="Arial" w:hAnsi="Arial"/>
          <w:sz w:val="18"/>
          <w:szCs w:val="18"/>
          <w:color w:val="auto"/>
        </w:rPr>
        <w:t>We classify marketable debt securities as either available-for-sale or trading. Various factors, including turnover of holdings</w:t>
      </w:r>
      <w:r>
        <w:rPr>
          <w:rFonts w:ascii="Arial" w:cs="Arial" w:eastAsia="Arial" w:hAnsi="Arial"/>
          <w:sz w:val="18"/>
          <w:szCs w:val="18"/>
          <w:b w:val="1"/>
          <w:bCs w:val="1"/>
          <w:color w:val="auto"/>
        </w:rPr>
        <w:t xml:space="preserve"> </w:t>
      </w:r>
      <w:r>
        <w:rPr>
          <w:rFonts w:ascii="Arial" w:cs="Arial" w:eastAsia="Arial" w:hAnsi="Arial"/>
          <w:sz w:val="18"/>
          <w:szCs w:val="18"/>
          <w:color w:val="auto"/>
        </w:rPr>
        <w:t>and investment guidelines, are considered in determining the classification of securities. Available-for-sale debt securities are recorded at fair value with unrealized gains, and losses that are not credit related, recorded net of applicable taxes in Accumulated other comprehensive loss until realized. Credit losses are recorded in Interest income and other non-operating income, net.</w:t>
      </w:r>
    </w:p>
    <w:p>
      <w:pPr>
        <w:spacing w:after="0" w:line="116"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An evaluation is made quarterly to determine if any portion of unrealized losses on available-for-sale debt securities is related to credit losses or whether any unrealized losses recorded in Accumulated other comprehensive loss need to be reclassified. Non-credit related unrealized losses are reclassified to Interest income and other non-operating income, net if we intend to sell the security or it is more likely than not that we will be required to sell the security before the recovery of the unrealized loss.</w:t>
      </w:r>
    </w:p>
    <w:p>
      <w:pPr>
        <w:spacing w:after="0" w:line="10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Accounts and Notes Receivable </w:t>
      </w:r>
      <w:r>
        <w:rPr>
          <w:rFonts w:ascii="Arial" w:cs="Arial" w:eastAsia="Arial" w:hAnsi="Arial"/>
          <w:sz w:val="18"/>
          <w:szCs w:val="18"/>
          <w:color w:val="auto"/>
        </w:rPr>
        <w:t>Accounts and notes receivable primarily consists of amounts that are due and payable from our customers for the sale of</w:t>
      </w:r>
      <w:r>
        <w:rPr>
          <w:rFonts w:ascii="Arial" w:cs="Arial" w:eastAsia="Arial" w:hAnsi="Arial"/>
          <w:sz w:val="18"/>
          <w:szCs w:val="18"/>
          <w:b w:val="1"/>
          <w:bCs w:val="1"/>
          <w:color w:val="auto"/>
        </w:rPr>
        <w:t xml:space="preserve"> </w:t>
      </w:r>
      <w:r>
        <w:rPr>
          <w:rFonts w:ascii="Arial" w:cs="Arial" w:eastAsia="Arial" w:hAnsi="Arial"/>
          <w:sz w:val="18"/>
          <w:szCs w:val="18"/>
          <w:color w:val="auto"/>
        </w:rPr>
        <w:t>vehicles, parts, and accessories. We evaluate the collectability of receivables each reporting period and record an allowance for doubtful accounts to present the net amount expected to be collected on our receivables. Additions to the allowance are charged to bad debt expense and reported in Automotive and other selling, general and administrative expense.</w:t>
      </w:r>
    </w:p>
    <w:p>
      <w:pPr>
        <w:spacing w:after="0" w:line="11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GM Financial Receivables </w:t>
      </w:r>
      <w:r>
        <w:rPr>
          <w:rFonts w:ascii="Arial" w:cs="Arial" w:eastAsia="Arial" w:hAnsi="Arial"/>
          <w:sz w:val="17"/>
          <w:szCs w:val="17"/>
          <w:color w:val="auto"/>
        </w:rPr>
        <w:t>Finance receivables are carried at amortized cost, net of allowance for loan losses. Provisions for loan losses are charged to</w:t>
      </w:r>
      <w:r>
        <w:rPr>
          <w:rFonts w:ascii="Arial" w:cs="Arial" w:eastAsia="Arial" w:hAnsi="Arial"/>
          <w:sz w:val="17"/>
          <w:szCs w:val="17"/>
          <w:b w:val="1"/>
          <w:bCs w:val="1"/>
          <w:color w:val="auto"/>
        </w:rPr>
        <w:t xml:space="preserve"> </w:t>
      </w:r>
      <w:r>
        <w:rPr>
          <w:rFonts w:ascii="Arial" w:cs="Arial" w:eastAsia="Arial" w:hAnsi="Arial"/>
          <w:sz w:val="17"/>
          <w:szCs w:val="17"/>
          <w:color w:val="auto"/>
        </w:rPr>
        <w:t>operations in amounts sufficient to maintain the allowance for loan losses at levels considered adequate to cover expected credit losses on the finance receivables. For retail finance receivables, GM Financial uses static pool modeling techniques to determine the allowance for loan losses expected over the remaining life of the receivables, which is supplemented by management judgment. The modeling techniques incorporate reasonable and supportable forecasts of economic conditions over the expected remaining life of the finance receivables. The economic forecasts incorporate factors which vary by region that GM Financial believes will have the largest impact on expected losses, including unemployment rates, interest rate spreads, disposable personal income and growth rates in gross domestic product.</w:t>
      </w:r>
    </w:p>
    <w:p>
      <w:pPr>
        <w:spacing w:after="0" w:line="108"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Troubled debt restructurings (TDRs) are grouped separately for purposes of measuring the allowance. The allowance for TDRs uses static pool modeling techniques like non-TDR retail finance receivables to determine the expected loss amount. The expected cash flows of the receivables are then discounted at the original weighted average effective interest rate of the pool. Factors considered when estimating the allowance for TDRs are based on an evaluation of historical and current information, which may be supplemented by management judgment. Finance charge income from loans classified as TDRs is accounted for in the same manner as other accruing loans. Cash collections on these loans are allocated according to the same payment hierarchy methodology applied to loans that are not classified as TDRs.</w:t>
      </w:r>
    </w:p>
    <w:p>
      <w:pPr>
        <w:spacing w:after="0" w:line="111"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color w:val="auto"/>
        </w:rPr>
        <w:t>Commercial finance receivables are carried at amortized cost, net of allowance for loan losses and any amounts received under a cash management program. GM Financial establishes the allowance for loan losses based on historical loss experience, as well as the forecast for industry vehicle sales, which is the economic indicator believed to have the largest impact on expected losses.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Revenue</w:t>
      </w:r>
    </w:p>
    <w:p>
      <w:pPr>
        <w:spacing w:after="0" w:line="16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disaggregates our revenue by major source: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8"/>
          </w:tcPr>
          <w:p>
            <w:pPr>
              <w:ind w:left="240"/>
              <w:spacing w:after="0"/>
              <w:rPr>
                <w:sz w:val="20"/>
                <w:szCs w:val="20"/>
                <w:color w:val="auto"/>
              </w:rPr>
            </w:pPr>
            <w:r>
              <w:rPr>
                <w:rFonts w:ascii="Arial" w:cs="Arial" w:eastAsia="Arial" w:hAnsi="Arial"/>
                <w:sz w:val="14"/>
                <w:szCs w:val="14"/>
                <w:b w:val="1"/>
                <w:bCs w:val="1"/>
                <w:color w:val="auto"/>
              </w:rPr>
              <w:t>Three Months Ended June 30, 2020</w:t>
            </w:r>
          </w:p>
        </w:tc>
        <w:tc>
          <w:tcPr>
            <w:tcW w:w="7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restart"/>
          </w:tcPr>
          <w:p>
            <w:pPr>
              <w:jc w:val="right"/>
              <w:ind w:right="120"/>
              <w:spacing w:after="0"/>
              <w:rPr>
                <w:sz w:val="20"/>
                <w:szCs w:val="20"/>
                <w:color w:val="auto"/>
              </w:rPr>
            </w:pPr>
            <w:r>
              <w:rPr>
                <w:rFonts w:ascii="Arial" w:cs="Arial" w:eastAsia="Arial" w:hAnsi="Arial"/>
                <w:sz w:val="14"/>
                <w:szCs w:val="14"/>
                <w:b w:val="1"/>
                <w:bCs w:val="1"/>
                <w:color w:val="auto"/>
              </w:rPr>
              <w:t>GMNA</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GMI</w:t>
            </w:r>
          </w:p>
        </w:tc>
        <w:tc>
          <w:tcPr>
            <w:tcW w:w="12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vMerge w:val="restart"/>
          </w:tcPr>
          <w:p>
            <w:pPr>
              <w:jc w:val="right"/>
              <w:ind w:right="40"/>
              <w:spacing w:after="0"/>
              <w:rPr>
                <w:sz w:val="20"/>
                <w:szCs w:val="20"/>
                <w:color w:val="auto"/>
              </w:rPr>
            </w:pPr>
            <w:r>
              <w:rPr>
                <w:rFonts w:ascii="Arial" w:cs="Arial" w:eastAsia="Arial" w:hAnsi="Arial"/>
                <w:sz w:val="14"/>
                <w:szCs w:val="14"/>
                <w:b w:val="1"/>
                <w:bCs w:val="1"/>
                <w:color w:val="auto"/>
                <w:w w:val="95"/>
              </w:rPr>
              <w:t>Corporate</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ind w:left="220"/>
              <w:spacing w:after="0" w:line="153"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c>
          <w:tcPr>
            <w:tcW w:w="520" w:type="dxa"/>
            <w:vAlign w:val="bottom"/>
            <w:vMerge w:val="restart"/>
          </w:tcPr>
          <w:p>
            <w:pPr>
              <w:spacing w:after="0"/>
              <w:rPr>
                <w:sz w:val="20"/>
                <w:szCs w:val="20"/>
                <w:color w:val="auto"/>
              </w:rPr>
            </w:pPr>
            <w:r>
              <w:rPr>
                <w:rFonts w:ascii="Arial" w:cs="Arial" w:eastAsia="Arial" w:hAnsi="Arial"/>
                <w:sz w:val="14"/>
                <w:szCs w:val="14"/>
                <w:b w:val="1"/>
                <w:bCs w:val="1"/>
                <w:color w:val="auto"/>
              </w:rPr>
              <w:t>Cruise</w:t>
            </w:r>
          </w:p>
        </w:tc>
        <w:tc>
          <w:tcPr>
            <w:tcW w:w="12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GM</w:t>
            </w:r>
          </w:p>
        </w:tc>
        <w:tc>
          <w:tcPr>
            <w:tcW w:w="1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0"/>
              </w:rPr>
              <w:t>Eliminations/Reclassifications</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7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w w:val="93"/>
              </w:rPr>
              <w:t>Automotive</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w w:val="95"/>
              </w:rPr>
              <w:t>Financial</w:t>
            </w:r>
          </w:p>
        </w:tc>
        <w:tc>
          <w:tcPr>
            <w:tcW w:w="120" w:type="dxa"/>
            <w:vAlign w:val="bottom"/>
            <w:tcBorders>
              <w:bottom w:val="single" w:sz="8" w:color="CCEEFF"/>
            </w:tcBorders>
          </w:tcPr>
          <w:p>
            <w:pPr>
              <w:spacing w:after="0"/>
              <w:rPr>
                <w:sz w:val="16"/>
                <w:szCs w:val="16"/>
                <w:color w:val="auto"/>
              </w:rPr>
            </w:pPr>
          </w:p>
        </w:tc>
        <w:tc>
          <w:tcPr>
            <w:tcW w:w="18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Vehicle, parts and accessories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10,850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1,439</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12,289</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12,289</w:t>
            </w:r>
          </w:p>
        </w:tc>
        <w:tc>
          <w:tcPr>
            <w:tcW w:w="0" w:type="dxa"/>
            <w:vAlign w:val="bottom"/>
          </w:tcPr>
          <w:p>
            <w:pPr>
              <w:spacing w:after="0"/>
              <w:rPr>
                <w:sz w:val="1"/>
                <w:szCs w:val="1"/>
                <w:color w:val="auto"/>
              </w:rPr>
            </w:pPr>
          </w:p>
        </w:tc>
      </w:tr>
      <w:tr>
        <w:trPr>
          <w:trHeight w:val="253"/>
        </w:trPr>
        <w:tc>
          <w:tcPr>
            <w:tcW w:w="2760" w:type="dxa"/>
            <w:vAlign w:val="bottom"/>
          </w:tcPr>
          <w:p>
            <w:pPr>
              <w:ind w:left="40"/>
              <w:spacing w:after="0"/>
              <w:rPr>
                <w:sz w:val="20"/>
                <w:szCs w:val="20"/>
                <w:color w:val="auto"/>
              </w:rPr>
            </w:pPr>
            <w:r>
              <w:rPr>
                <w:rFonts w:ascii="Arial" w:cs="Arial" w:eastAsia="Arial" w:hAnsi="Arial"/>
                <w:sz w:val="16"/>
                <w:szCs w:val="16"/>
                <w:color w:val="auto"/>
              </w:rPr>
              <w:t>Used vehicles</w:t>
            </w:r>
          </w:p>
        </w:tc>
        <w:tc>
          <w:tcPr>
            <w:tcW w:w="140" w:type="dxa"/>
            <w:vAlign w:val="bottom"/>
          </w:tcPr>
          <w:p>
            <w:pPr>
              <w:spacing w:after="0"/>
              <w:rPr>
                <w:sz w:val="22"/>
                <w:szCs w:val="22"/>
                <w:color w:val="auto"/>
              </w:rPr>
            </w:pPr>
          </w:p>
        </w:tc>
        <w:tc>
          <w:tcPr>
            <w:tcW w:w="700" w:type="dxa"/>
            <w:vAlign w:val="bottom"/>
          </w:tcPr>
          <w:p>
            <w:pPr>
              <w:jc w:val="right"/>
              <w:ind w:right="60"/>
              <w:spacing w:after="0"/>
              <w:rPr>
                <w:sz w:val="20"/>
                <w:szCs w:val="20"/>
                <w:color w:val="auto"/>
              </w:rPr>
            </w:pPr>
            <w:r>
              <w:rPr>
                <w:rFonts w:ascii="Arial" w:cs="Arial" w:eastAsia="Arial" w:hAnsi="Arial"/>
                <w:sz w:val="16"/>
                <w:szCs w:val="16"/>
                <w:color w:val="auto"/>
              </w:rPr>
              <w:t>122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jc w:val="right"/>
              <w:ind w:right="60"/>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60"/>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147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22"/>
                <w:szCs w:val="22"/>
                <w:color w:val="auto"/>
              </w:rPr>
            </w:pPr>
          </w:p>
        </w:tc>
        <w:tc>
          <w:tcPr>
            <w:tcW w:w="120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660" w:type="dxa"/>
            <w:vAlign w:val="bottom"/>
          </w:tcPr>
          <w:p>
            <w:pPr>
              <w:jc w:val="right"/>
              <w:ind w:right="60"/>
              <w:spacing w:after="0"/>
              <w:rPr>
                <w:sz w:val="20"/>
                <w:szCs w:val="20"/>
                <w:color w:val="auto"/>
              </w:rPr>
            </w:pPr>
            <w:r>
              <w:rPr>
                <w:rFonts w:ascii="Arial" w:cs="Arial" w:eastAsia="Arial" w:hAnsi="Arial"/>
                <w:sz w:val="16"/>
                <w:szCs w:val="16"/>
                <w:color w:val="auto"/>
              </w:rPr>
              <w:t>147</w:t>
            </w:r>
          </w:p>
        </w:tc>
        <w:tc>
          <w:tcPr>
            <w:tcW w:w="0" w:type="dxa"/>
            <w:vAlign w:val="bottom"/>
          </w:tcPr>
          <w:p>
            <w:pPr>
              <w:spacing w:after="0"/>
              <w:rPr>
                <w:sz w:val="1"/>
                <w:szCs w:val="1"/>
                <w:color w:val="auto"/>
              </w:rPr>
            </w:pPr>
          </w:p>
        </w:tc>
      </w:tr>
      <w:tr>
        <w:trPr>
          <w:trHeight w:val="260"/>
        </w:trPr>
        <w:tc>
          <w:tcPr>
            <w:tcW w:w="2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Services and other</w:t>
            </w:r>
          </w:p>
        </w:tc>
        <w:tc>
          <w:tcPr>
            <w:tcW w:w="1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632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221</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72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925</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927</w:t>
            </w:r>
          </w:p>
        </w:tc>
        <w:tc>
          <w:tcPr>
            <w:tcW w:w="0" w:type="dxa"/>
            <w:vAlign w:val="bottom"/>
          </w:tcPr>
          <w:p>
            <w:pPr>
              <w:spacing w:after="0"/>
              <w:rPr>
                <w:sz w:val="1"/>
                <w:szCs w:val="1"/>
                <w:color w:val="auto"/>
              </w:rPr>
            </w:pPr>
          </w:p>
        </w:tc>
      </w:tr>
      <w:tr>
        <w:trPr>
          <w:trHeight w:val="247"/>
        </w:trPr>
        <w:tc>
          <w:tcPr>
            <w:tcW w:w="2760" w:type="dxa"/>
            <w:vAlign w:val="bottom"/>
          </w:tcPr>
          <w:p>
            <w:pPr>
              <w:ind w:left="120"/>
              <w:spacing w:after="0"/>
              <w:rPr>
                <w:sz w:val="20"/>
                <w:szCs w:val="20"/>
                <w:color w:val="auto"/>
              </w:rPr>
            </w:pPr>
            <w:r>
              <w:rPr>
                <w:rFonts w:ascii="Arial" w:cs="Arial" w:eastAsia="Arial" w:hAnsi="Arial"/>
                <w:sz w:val="16"/>
                <w:szCs w:val="16"/>
                <w:color w:val="auto"/>
              </w:rPr>
              <w:t>Automotive net sales and revenue</w:t>
            </w:r>
          </w:p>
        </w:tc>
        <w:tc>
          <w:tcPr>
            <w:tcW w:w="14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11,604</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1,677</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rPr>
              <w:t>13,361</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ind w:left="220"/>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13,363</w:t>
            </w:r>
          </w:p>
        </w:tc>
        <w:tc>
          <w:tcPr>
            <w:tcW w:w="0" w:type="dxa"/>
            <w:vAlign w:val="bottom"/>
          </w:tcPr>
          <w:p>
            <w:pPr>
              <w:spacing w:after="0"/>
              <w:rPr>
                <w:sz w:val="1"/>
                <w:szCs w:val="1"/>
                <w:color w:val="auto"/>
              </w:rPr>
            </w:pPr>
          </w:p>
        </w:tc>
      </w:tr>
      <w:tr>
        <w:trPr>
          <w:trHeight w:val="260"/>
        </w:trPr>
        <w:tc>
          <w:tcPr>
            <w:tcW w:w="2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Leased vehicle income</w:t>
            </w:r>
          </w:p>
        </w:tc>
        <w:tc>
          <w:tcPr>
            <w:tcW w:w="14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2"/>
                <w:szCs w:val="22"/>
                <w:color w:val="auto"/>
              </w:rPr>
            </w:pPr>
          </w:p>
        </w:tc>
        <w:tc>
          <w:tcPr>
            <w:tcW w:w="6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2,386</w:t>
            </w:r>
          </w:p>
        </w:tc>
        <w:tc>
          <w:tcPr>
            <w:tcW w:w="1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2,386</w:t>
            </w:r>
          </w:p>
        </w:tc>
        <w:tc>
          <w:tcPr>
            <w:tcW w:w="0" w:type="dxa"/>
            <w:vAlign w:val="bottom"/>
          </w:tcPr>
          <w:p>
            <w:pPr>
              <w:spacing w:after="0"/>
              <w:rPr>
                <w:sz w:val="1"/>
                <w:szCs w:val="1"/>
                <w:color w:val="auto"/>
              </w:rPr>
            </w:pPr>
          </w:p>
        </w:tc>
      </w:tr>
      <w:tr>
        <w:trPr>
          <w:trHeight w:val="254"/>
        </w:trPr>
        <w:tc>
          <w:tcPr>
            <w:tcW w:w="2760" w:type="dxa"/>
            <w:vAlign w:val="bottom"/>
          </w:tcPr>
          <w:p>
            <w:pPr>
              <w:ind w:left="40"/>
              <w:spacing w:after="0"/>
              <w:rPr>
                <w:sz w:val="20"/>
                <w:szCs w:val="20"/>
                <w:color w:val="auto"/>
              </w:rPr>
            </w:pPr>
            <w:r>
              <w:rPr>
                <w:rFonts w:ascii="Arial" w:cs="Arial" w:eastAsia="Arial" w:hAnsi="Arial"/>
                <w:sz w:val="16"/>
                <w:szCs w:val="16"/>
                <w:color w:val="auto"/>
              </w:rPr>
              <w:t>Finance charge income</w:t>
            </w: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64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720" w:type="dxa"/>
            <w:vAlign w:val="bottom"/>
          </w:tcPr>
          <w:p>
            <w:pPr>
              <w:jc w:val="right"/>
              <w:ind w:right="61"/>
              <w:spacing w:after="0"/>
              <w:rPr>
                <w:sz w:val="20"/>
                <w:szCs w:val="20"/>
                <w:color w:val="auto"/>
              </w:rPr>
            </w:pPr>
            <w:r>
              <w:rPr>
                <w:rFonts w:ascii="Arial" w:cs="Arial" w:eastAsia="Arial" w:hAnsi="Arial"/>
                <w:sz w:val="16"/>
                <w:szCs w:val="16"/>
                <w:color w:val="auto"/>
              </w:rPr>
              <w:t>966</w:t>
            </w: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0" w:type="dxa"/>
            <w:vAlign w:val="bottom"/>
            <w:gridSpan w:val="2"/>
          </w:tcPr>
          <w:p>
            <w:pPr>
              <w:ind w:left="7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660" w:type="dxa"/>
            <w:vAlign w:val="bottom"/>
          </w:tcPr>
          <w:p>
            <w:pPr>
              <w:jc w:val="right"/>
              <w:ind w:right="60"/>
              <w:spacing w:after="0"/>
              <w:rPr>
                <w:sz w:val="20"/>
                <w:szCs w:val="20"/>
                <w:color w:val="auto"/>
              </w:rPr>
            </w:pPr>
            <w:r>
              <w:rPr>
                <w:rFonts w:ascii="Arial" w:cs="Arial" w:eastAsia="Arial" w:hAnsi="Arial"/>
                <w:sz w:val="16"/>
                <w:szCs w:val="16"/>
                <w:color w:val="auto"/>
              </w:rPr>
              <w:t>966</w:t>
            </w:r>
          </w:p>
        </w:tc>
        <w:tc>
          <w:tcPr>
            <w:tcW w:w="0" w:type="dxa"/>
            <w:vAlign w:val="bottom"/>
          </w:tcPr>
          <w:p>
            <w:pPr>
              <w:spacing w:after="0"/>
              <w:rPr>
                <w:sz w:val="1"/>
                <w:szCs w:val="1"/>
                <w:color w:val="auto"/>
              </w:rPr>
            </w:pPr>
          </w:p>
        </w:tc>
      </w:tr>
      <w:tr>
        <w:trPr>
          <w:trHeight w:val="257"/>
        </w:trPr>
        <w:tc>
          <w:tcPr>
            <w:tcW w:w="2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income</w:t>
            </w:r>
          </w:p>
        </w:tc>
        <w:tc>
          <w:tcPr>
            <w:tcW w:w="14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71</w:t>
            </w:r>
          </w:p>
        </w:tc>
        <w:tc>
          <w:tcPr>
            <w:tcW w:w="120" w:type="dxa"/>
            <w:vAlign w:val="bottom"/>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50"/>
        </w:trPr>
        <w:tc>
          <w:tcPr>
            <w:tcW w:w="2760" w:type="dxa"/>
            <w:vAlign w:val="bottom"/>
          </w:tcPr>
          <w:p>
            <w:pPr>
              <w:ind w:left="120"/>
              <w:spacing w:after="0"/>
              <w:rPr>
                <w:sz w:val="20"/>
                <w:szCs w:val="20"/>
                <w:color w:val="auto"/>
              </w:rPr>
            </w:pPr>
            <w:r>
              <w:rPr>
                <w:rFonts w:ascii="Arial" w:cs="Arial" w:eastAsia="Arial" w:hAnsi="Arial"/>
                <w:sz w:val="16"/>
                <w:szCs w:val="16"/>
                <w:color w:val="auto"/>
              </w:rPr>
              <w:t>GM Financial net sales and revenue</w:t>
            </w:r>
          </w:p>
        </w:tc>
        <w:tc>
          <w:tcPr>
            <w:tcW w:w="140" w:type="dxa"/>
            <w:vAlign w:val="bottom"/>
          </w:tcPr>
          <w:p>
            <w:pPr>
              <w:spacing w:after="0"/>
              <w:rPr>
                <w:sz w:val="21"/>
                <w:szCs w:val="21"/>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64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720" w:type="dxa"/>
            <w:vAlign w:val="bottom"/>
          </w:tcPr>
          <w:p>
            <w:pPr>
              <w:jc w:val="right"/>
              <w:ind w:right="61"/>
              <w:spacing w:after="0"/>
              <w:rPr>
                <w:sz w:val="20"/>
                <w:szCs w:val="20"/>
                <w:color w:val="auto"/>
              </w:rPr>
            </w:pPr>
            <w:r>
              <w:rPr>
                <w:rFonts w:ascii="Arial" w:cs="Arial" w:eastAsia="Arial" w:hAnsi="Arial"/>
                <w:sz w:val="16"/>
                <w:szCs w:val="16"/>
                <w:color w:val="auto"/>
              </w:rPr>
              <w:t>3,423</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ind w:right="60"/>
              <w:spacing w:after="0"/>
              <w:rPr>
                <w:sz w:val="20"/>
                <w:szCs w:val="20"/>
                <w:color w:val="auto"/>
              </w:rPr>
            </w:pPr>
            <w:r>
              <w:rPr>
                <w:rFonts w:ascii="Arial" w:cs="Arial" w:eastAsia="Arial" w:hAnsi="Arial"/>
                <w:sz w:val="16"/>
                <w:szCs w:val="16"/>
                <w:color w:val="auto"/>
              </w:rPr>
              <w:t>3,415</w:t>
            </w:r>
          </w:p>
        </w:tc>
        <w:tc>
          <w:tcPr>
            <w:tcW w:w="0" w:type="dxa"/>
            <w:vAlign w:val="bottom"/>
          </w:tcPr>
          <w:p>
            <w:pPr>
              <w:spacing w:after="0"/>
              <w:rPr>
                <w:sz w:val="1"/>
                <w:szCs w:val="1"/>
                <w:color w:val="auto"/>
              </w:rPr>
            </w:pPr>
          </w:p>
        </w:tc>
      </w:tr>
      <w:tr>
        <w:trPr>
          <w:trHeight w:val="278"/>
        </w:trPr>
        <w:tc>
          <w:tcPr>
            <w:tcW w:w="27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sales and revenue</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11,604</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1,677</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80</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13,361</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28</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3,423</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7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(34)</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16,778</w:t>
            </w: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16"/>
          </w:tcPr>
          <w:p>
            <w:pPr>
              <w:ind w:left="40"/>
              <w:spacing w:after="0"/>
              <w:rPr>
                <w:sz w:val="20"/>
                <w:szCs w:val="20"/>
                <w:color w:val="auto"/>
              </w:rPr>
            </w:pPr>
            <w:r>
              <w:rPr>
                <w:rFonts w:ascii="Arial" w:cs="Arial" w:eastAsia="Arial" w:hAnsi="Arial"/>
                <w:sz w:val="14"/>
                <w:szCs w:val="14"/>
                <w:b w:val="1"/>
                <w:bCs w:val="1"/>
                <w:color w:val="auto"/>
              </w:rPr>
              <w:t>Three Months Ended June 30, 2019</w:t>
            </w: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4"/>
            <w:vMerge w:val="restart"/>
          </w:tcPr>
          <w:p>
            <w:pPr>
              <w:jc w:val="right"/>
              <w:ind w:right="200"/>
              <w:spacing w:after="0"/>
              <w:rPr>
                <w:sz w:val="20"/>
                <w:szCs w:val="20"/>
                <w:color w:val="auto"/>
              </w:rPr>
            </w:pPr>
            <w:r>
              <w:rPr>
                <w:rFonts w:ascii="Arial" w:cs="Arial" w:eastAsia="Arial" w:hAnsi="Arial"/>
                <w:sz w:val="14"/>
                <w:szCs w:val="14"/>
                <w:b w:val="1"/>
                <w:bCs w:val="1"/>
                <w:color w:val="auto"/>
              </w:rPr>
              <w:t>GMNA</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gridSpan w:val="4"/>
            <w:vMerge w:val="restart"/>
          </w:tcPr>
          <w:p>
            <w:pPr>
              <w:jc w:val="right"/>
              <w:ind w:right="120"/>
              <w:spacing w:after="0"/>
              <w:rPr>
                <w:sz w:val="20"/>
                <w:szCs w:val="20"/>
                <w:color w:val="auto"/>
              </w:rPr>
            </w:pPr>
            <w:r>
              <w:rPr>
                <w:rFonts w:ascii="Arial" w:cs="Arial" w:eastAsia="Arial" w:hAnsi="Arial"/>
                <w:sz w:val="14"/>
                <w:szCs w:val="14"/>
                <w:b w:val="1"/>
                <w:bCs w:val="1"/>
                <w:color w:val="auto"/>
              </w:rPr>
              <w:t>GMI</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4"/>
            <w:vMerge w:val="restart"/>
          </w:tcPr>
          <w:p>
            <w:pPr>
              <w:jc w:val="right"/>
              <w:ind w:right="20"/>
              <w:spacing w:after="0"/>
              <w:rPr>
                <w:sz w:val="20"/>
                <w:szCs w:val="20"/>
                <w:color w:val="auto"/>
              </w:rPr>
            </w:pPr>
            <w:r>
              <w:rPr>
                <w:rFonts w:ascii="Arial" w:cs="Arial" w:eastAsia="Arial" w:hAnsi="Arial"/>
                <w:sz w:val="14"/>
                <w:szCs w:val="14"/>
                <w:b w:val="1"/>
                <w:bCs w:val="1"/>
                <w:color w:val="auto"/>
              </w:rPr>
              <w:t>Corporate</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4"/>
          </w:tcPr>
          <w:p>
            <w:pPr>
              <w:jc w:val="center"/>
              <w:ind w:right="48"/>
              <w:spacing w:after="0" w:line="153" w:lineRule="exact"/>
              <w:rPr>
                <w:sz w:val="20"/>
                <w:szCs w:val="20"/>
                <w:color w:val="auto"/>
              </w:rPr>
            </w:pPr>
            <w:r>
              <w:rPr>
                <w:rFonts w:ascii="Arial" w:cs="Arial" w:eastAsia="Arial" w:hAnsi="Arial"/>
                <w:sz w:val="14"/>
                <w:szCs w:val="14"/>
                <w:b w:val="1"/>
                <w:bCs w:val="1"/>
                <w:color w:val="auto"/>
                <w:w w:val="95"/>
              </w:rPr>
              <w:t>Total</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Cruise</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gridSpan w:val="4"/>
          </w:tcPr>
          <w:p>
            <w:pPr>
              <w:jc w:val="center"/>
              <w:ind w:right="400"/>
              <w:spacing w:after="0" w:line="153" w:lineRule="exact"/>
              <w:rPr>
                <w:sz w:val="20"/>
                <w:szCs w:val="20"/>
                <w:color w:val="auto"/>
              </w:rPr>
            </w:pPr>
            <w:r>
              <w:rPr>
                <w:rFonts w:ascii="Arial" w:cs="Arial" w:eastAsia="Arial" w:hAnsi="Arial"/>
                <w:sz w:val="14"/>
                <w:szCs w:val="14"/>
                <w:b w:val="1"/>
                <w:bCs w:val="1"/>
                <w:color w:val="auto"/>
              </w:rPr>
              <w:t>GM</w:t>
            </w:r>
          </w:p>
        </w:tc>
        <w:tc>
          <w:tcPr>
            <w:tcW w:w="140" w:type="dxa"/>
            <w:vAlign w:val="bottom"/>
          </w:tcPr>
          <w:p>
            <w:pPr>
              <w:spacing w:after="0"/>
              <w:rPr>
                <w:sz w:val="13"/>
                <w:szCs w:val="13"/>
                <w:color w:val="auto"/>
              </w:rPr>
            </w:pPr>
          </w:p>
        </w:tc>
        <w:tc>
          <w:tcPr>
            <w:tcW w:w="1360" w:type="dxa"/>
            <w:vAlign w:val="bottom"/>
            <w:gridSpan w:val="3"/>
          </w:tcPr>
          <w:p>
            <w:pPr>
              <w:jc w:val="center"/>
              <w:ind w:right="260"/>
              <w:spacing w:after="0" w:line="153" w:lineRule="exact"/>
              <w:rPr>
                <w:sz w:val="20"/>
                <w:szCs w:val="20"/>
                <w:color w:val="auto"/>
              </w:rPr>
            </w:pPr>
            <w:r>
              <w:rPr>
                <w:rFonts w:ascii="Arial" w:cs="Arial" w:eastAsia="Arial" w:hAnsi="Arial"/>
                <w:sz w:val="14"/>
                <w:szCs w:val="14"/>
                <w:b w:val="1"/>
                <w:bCs w:val="1"/>
                <w:color w:val="auto"/>
                <w:w w:val="94"/>
              </w:rPr>
              <w:t>Eliminations/</w:t>
            </w:r>
          </w:p>
        </w:tc>
        <w:tc>
          <w:tcPr>
            <w:tcW w:w="180" w:type="dxa"/>
            <w:vAlign w:val="bottom"/>
          </w:tcPr>
          <w:p>
            <w:pPr>
              <w:spacing w:after="0"/>
              <w:rPr>
                <w:sz w:val="13"/>
                <w:szCs w:val="13"/>
                <w:color w:val="auto"/>
              </w:rPr>
            </w:pPr>
          </w:p>
        </w:tc>
        <w:tc>
          <w:tcPr>
            <w:tcW w:w="66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76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4"/>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gridSpan w:val="4"/>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gridSpan w:val="4"/>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4"/>
          </w:tcPr>
          <w:p>
            <w:pPr>
              <w:jc w:val="center"/>
              <w:ind w:right="48"/>
              <w:spacing w:after="0"/>
              <w:rPr>
                <w:sz w:val="20"/>
                <w:szCs w:val="20"/>
                <w:color w:val="auto"/>
              </w:rPr>
            </w:pPr>
            <w:r>
              <w:rPr>
                <w:rFonts w:ascii="Arial" w:cs="Arial" w:eastAsia="Arial" w:hAnsi="Arial"/>
                <w:sz w:val="14"/>
                <w:szCs w:val="14"/>
                <w:b w:val="1"/>
                <w:bCs w:val="1"/>
                <w:color w:val="auto"/>
                <w:w w:val="93"/>
              </w:rPr>
              <w:t>Automotive</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gridSpan w:val="3"/>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5"/>
              </w:rPr>
              <w:t>Financial</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89"/>
              </w:rPr>
              <w:t>Reclassifications</w:t>
            </w:r>
          </w:p>
        </w:tc>
        <w:tc>
          <w:tcPr>
            <w:tcW w:w="120" w:type="dxa"/>
            <w:vAlign w:val="bottom"/>
            <w:tcBorders>
              <w:bottom w:val="single" w:sz="8" w:color="CCEEFF"/>
            </w:tcBorders>
            <w:gridSpan w:val="2"/>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Vehicle, parts and accessories</w:t>
            </w:r>
          </w:p>
        </w:tc>
        <w:tc>
          <w:tcPr>
            <w:tcW w:w="140" w:type="dxa"/>
            <w:vAlign w:val="bottom"/>
            <w:shd w:val="clear" w:color="auto" w:fill="CCEEFF"/>
          </w:tcPr>
          <w:p>
            <w:pPr>
              <w:spacing w:after="0"/>
              <w:rPr>
                <w:sz w:val="22"/>
                <w:szCs w:val="22"/>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4"/>
            <w:shd w:val="clear" w:color="auto" w:fill="CCEEFF"/>
          </w:tcPr>
          <w:p>
            <w:pPr>
              <w:jc w:val="right"/>
              <w:ind w:right="140"/>
              <w:spacing w:after="0"/>
              <w:rPr>
                <w:sz w:val="20"/>
                <w:szCs w:val="20"/>
                <w:color w:val="auto"/>
              </w:rPr>
            </w:pPr>
            <w:r>
              <w:rPr>
                <w:rFonts w:ascii="Arial" w:cs="Arial" w:eastAsia="Arial" w:hAnsi="Arial"/>
                <w:sz w:val="16"/>
                <w:szCs w:val="16"/>
                <w:color w:val="auto"/>
              </w:rPr>
              <w:t>26,976</w:t>
            </w:r>
          </w:p>
        </w:tc>
        <w:tc>
          <w:tcPr>
            <w:tcW w:w="220" w:type="dxa"/>
            <w:vAlign w:val="bottom"/>
            <w:gridSpan w:val="2"/>
            <w:shd w:val="clear" w:color="auto" w:fill="CCEEFF"/>
          </w:tcPr>
          <w:p>
            <w:pPr>
              <w:jc w:val="center"/>
              <w:ind w:left="40"/>
              <w:spacing w:after="0"/>
              <w:rPr>
                <w:sz w:val="20"/>
                <w:szCs w:val="20"/>
                <w:color w:val="auto"/>
              </w:rPr>
            </w:pPr>
            <w:r>
              <w:rPr>
                <w:rFonts w:ascii="Arial" w:cs="Arial" w:eastAsia="Arial" w:hAnsi="Arial"/>
                <w:sz w:val="16"/>
                <w:szCs w:val="16"/>
                <w:color w:val="auto"/>
              </w:rPr>
              <w:t>$</w:t>
            </w:r>
          </w:p>
        </w:tc>
        <w:tc>
          <w:tcPr>
            <w:tcW w:w="540" w:type="dxa"/>
            <w:vAlign w:val="bottom"/>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3,744</w:t>
            </w:r>
          </w:p>
        </w:tc>
        <w:tc>
          <w:tcPr>
            <w:tcW w:w="700" w:type="dxa"/>
            <w:vAlign w:val="bottom"/>
            <w:gridSpan w:val="3"/>
            <w:shd w:val="clear" w:color="auto" w:fill="CCEEFF"/>
          </w:tcPr>
          <w:p>
            <w:pPr>
              <w:jc w:val="right"/>
              <w:ind w:right="302"/>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360" w:type="dxa"/>
            <w:vAlign w:val="bottom"/>
            <w:gridSpan w:val="3"/>
            <w:shd w:val="clear" w:color="auto" w:fill="CCEEFF"/>
          </w:tcPr>
          <w:p>
            <w:pPr>
              <w:ind w:left="260"/>
              <w:spacing w:after="0"/>
              <w:rPr>
                <w:sz w:val="20"/>
                <w:szCs w:val="20"/>
                <w:color w:val="auto"/>
              </w:rPr>
            </w:pPr>
            <w:r>
              <w:rPr>
                <w:rFonts w:ascii="Arial" w:cs="Arial" w:eastAsia="Arial" w:hAnsi="Arial"/>
                <w:sz w:val="16"/>
                <w:szCs w:val="16"/>
                <w:color w:val="auto"/>
                <w:w w:val="89"/>
              </w:rPr>
              <w:t>$</w:t>
            </w:r>
          </w:p>
        </w:tc>
        <w:tc>
          <w:tcPr>
            <w:tcW w:w="920" w:type="dxa"/>
            <w:vAlign w:val="bottom"/>
            <w:gridSpan w:val="4"/>
            <w:shd w:val="clear" w:color="auto" w:fill="CCEEFF"/>
          </w:tcPr>
          <w:p>
            <w:pPr>
              <w:jc w:val="right"/>
              <w:ind w:right="68"/>
              <w:spacing w:after="0"/>
              <w:rPr>
                <w:sz w:val="20"/>
                <w:szCs w:val="20"/>
                <w:color w:val="auto"/>
              </w:rPr>
            </w:pPr>
            <w:r>
              <w:rPr>
                <w:rFonts w:ascii="Arial" w:cs="Arial" w:eastAsia="Arial" w:hAnsi="Arial"/>
                <w:sz w:val="16"/>
                <w:szCs w:val="16"/>
                <w:color w:val="auto"/>
              </w:rPr>
              <w:t>30,720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480" w:type="dxa"/>
            <w:vAlign w:val="bottom"/>
            <w:gridSpan w:val="3"/>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gridSpan w:val="3"/>
            <w:shd w:val="clear" w:color="auto" w:fill="CCEEFF"/>
          </w:tcPr>
          <w:p>
            <w:pPr>
              <w:jc w:val="center"/>
              <w:ind w:left="600"/>
              <w:spacing w:after="0"/>
              <w:rPr>
                <w:sz w:val="20"/>
                <w:szCs w:val="20"/>
                <w:color w:val="auto"/>
              </w:rPr>
            </w:pPr>
            <w:r>
              <w:rPr>
                <w:rFonts w:ascii="Arial" w:cs="Arial" w:eastAsia="Arial" w:hAnsi="Arial"/>
                <w:sz w:val="16"/>
                <w:szCs w:val="16"/>
                <w:color w:val="auto"/>
                <w:w w:val="99"/>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30,720</w:t>
            </w:r>
          </w:p>
        </w:tc>
        <w:tc>
          <w:tcPr>
            <w:tcW w:w="0" w:type="dxa"/>
            <w:vAlign w:val="bottom"/>
          </w:tcPr>
          <w:p>
            <w:pPr>
              <w:spacing w:after="0"/>
              <w:rPr>
                <w:sz w:val="1"/>
                <w:szCs w:val="1"/>
                <w:color w:val="auto"/>
              </w:rPr>
            </w:pPr>
          </w:p>
        </w:tc>
      </w:tr>
      <w:tr>
        <w:trPr>
          <w:trHeight w:val="254"/>
        </w:trPr>
        <w:tc>
          <w:tcPr>
            <w:tcW w:w="2760" w:type="dxa"/>
            <w:vAlign w:val="bottom"/>
          </w:tcPr>
          <w:p>
            <w:pPr>
              <w:ind w:left="40"/>
              <w:spacing w:after="0"/>
              <w:rPr>
                <w:sz w:val="20"/>
                <w:szCs w:val="20"/>
                <w:color w:val="auto"/>
              </w:rPr>
            </w:pPr>
            <w:r>
              <w:rPr>
                <w:rFonts w:ascii="Arial" w:cs="Arial" w:eastAsia="Arial" w:hAnsi="Arial"/>
                <w:sz w:val="16"/>
                <w:szCs w:val="16"/>
                <w:color w:val="auto"/>
              </w:rPr>
              <w:t>Used vehicles</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20" w:type="dxa"/>
            <w:vAlign w:val="bottom"/>
            <w:gridSpan w:val="3"/>
          </w:tcPr>
          <w:p>
            <w:pPr>
              <w:jc w:val="right"/>
              <w:ind w:right="140"/>
              <w:spacing w:after="0"/>
              <w:rPr>
                <w:sz w:val="20"/>
                <w:szCs w:val="20"/>
                <w:color w:val="auto"/>
              </w:rPr>
            </w:pPr>
            <w:r>
              <w:rPr>
                <w:rFonts w:ascii="Arial" w:cs="Arial" w:eastAsia="Arial" w:hAnsi="Arial"/>
                <w:sz w:val="16"/>
                <w:szCs w:val="16"/>
                <w:color w:val="auto"/>
                <w:w w:val="97"/>
              </w:rPr>
              <w:t>577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gridSpan w:val="3"/>
          </w:tcPr>
          <w:p>
            <w:pPr>
              <w:jc w:val="right"/>
              <w:ind w:right="20"/>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20" w:type="dxa"/>
            <w:vAlign w:val="bottom"/>
            <w:gridSpan w:val="3"/>
          </w:tcPr>
          <w:p>
            <w:pPr>
              <w:jc w:val="right"/>
              <w:ind w:right="68"/>
              <w:spacing w:after="0"/>
              <w:rPr>
                <w:sz w:val="20"/>
                <w:szCs w:val="20"/>
                <w:color w:val="auto"/>
              </w:rPr>
            </w:pPr>
            <w:r>
              <w:rPr>
                <w:rFonts w:ascii="Arial" w:cs="Arial" w:eastAsia="Arial" w:hAnsi="Arial"/>
                <w:sz w:val="16"/>
                <w:szCs w:val="16"/>
                <w:color w:val="auto"/>
              </w:rPr>
              <w:t>606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360" w:type="dxa"/>
            <w:vAlign w:val="bottom"/>
            <w:gridSpan w:val="3"/>
          </w:tcPr>
          <w:p>
            <w:pPr>
              <w:jc w:val="center"/>
              <w:ind w:left="600"/>
              <w:spacing w:after="0"/>
              <w:rPr>
                <w:sz w:val="20"/>
                <w:szCs w:val="20"/>
                <w:color w:val="auto"/>
              </w:rPr>
            </w:pPr>
            <w:r>
              <w:rPr>
                <w:rFonts w:ascii="Arial" w:cs="Arial" w:eastAsia="Arial" w:hAnsi="Arial"/>
                <w:sz w:val="16"/>
                <w:szCs w:val="16"/>
                <w:color w:val="auto"/>
                <w:w w:val="99"/>
              </w:rPr>
              <w:t>—</w:t>
            </w:r>
          </w:p>
        </w:tc>
        <w:tc>
          <w:tcPr>
            <w:tcW w:w="180" w:type="dxa"/>
            <w:vAlign w:val="bottom"/>
          </w:tcPr>
          <w:p>
            <w:pPr>
              <w:spacing w:after="0"/>
              <w:rPr>
                <w:sz w:val="22"/>
                <w:szCs w:val="22"/>
                <w:color w:val="auto"/>
              </w:rPr>
            </w:pPr>
          </w:p>
        </w:tc>
        <w:tc>
          <w:tcPr>
            <w:tcW w:w="660" w:type="dxa"/>
            <w:vAlign w:val="bottom"/>
          </w:tcPr>
          <w:p>
            <w:pPr>
              <w:jc w:val="right"/>
              <w:ind w:right="60"/>
              <w:spacing w:after="0"/>
              <w:rPr>
                <w:sz w:val="20"/>
                <w:szCs w:val="20"/>
                <w:color w:val="auto"/>
              </w:rPr>
            </w:pPr>
            <w:r>
              <w:rPr>
                <w:rFonts w:ascii="Arial" w:cs="Arial" w:eastAsia="Arial" w:hAnsi="Arial"/>
                <w:sz w:val="16"/>
                <w:szCs w:val="16"/>
                <w:color w:val="auto"/>
              </w:rPr>
              <w:t>606</w:t>
            </w:r>
          </w:p>
        </w:tc>
        <w:tc>
          <w:tcPr>
            <w:tcW w:w="0" w:type="dxa"/>
            <w:vAlign w:val="bottom"/>
          </w:tcPr>
          <w:p>
            <w:pPr>
              <w:spacing w:after="0"/>
              <w:rPr>
                <w:sz w:val="1"/>
                <w:szCs w:val="1"/>
                <w:color w:val="auto"/>
              </w:rPr>
            </w:pPr>
          </w:p>
        </w:tc>
      </w:tr>
      <w:tr>
        <w:trPr>
          <w:trHeight w:val="259"/>
        </w:trPr>
        <w:tc>
          <w:tcPr>
            <w:tcW w:w="2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Services and other</w:t>
            </w:r>
          </w:p>
        </w:tc>
        <w:tc>
          <w:tcPr>
            <w:tcW w:w="1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6"/>
                <w:szCs w:val="16"/>
                <w:color w:val="auto"/>
                <w:w w:val="97"/>
              </w:rPr>
              <w:t>771</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274</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54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gridSpan w:val="3"/>
            <w:shd w:val="clear" w:color="auto" w:fill="CCEEFF"/>
          </w:tcPr>
          <w:p>
            <w:pPr>
              <w:jc w:val="right"/>
              <w:ind w:right="68"/>
              <w:spacing w:after="0"/>
              <w:rPr>
                <w:sz w:val="20"/>
                <w:szCs w:val="20"/>
                <w:color w:val="auto"/>
              </w:rPr>
            </w:pPr>
            <w:r>
              <w:rPr>
                <w:rFonts w:ascii="Arial" w:cs="Arial" w:eastAsia="Arial" w:hAnsi="Arial"/>
                <w:sz w:val="16"/>
                <w:szCs w:val="16"/>
                <w:color w:val="auto"/>
                <w:w w:val="89"/>
              </w:rPr>
              <w:t>1,099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6"/>
                <w:szCs w:val="16"/>
                <w:color w:val="auto"/>
              </w:rPr>
              <w:t>25</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1,099</w:t>
            </w:r>
          </w:p>
        </w:tc>
        <w:tc>
          <w:tcPr>
            <w:tcW w:w="0" w:type="dxa"/>
            <w:vAlign w:val="bottom"/>
          </w:tcPr>
          <w:p>
            <w:pPr>
              <w:spacing w:after="0"/>
              <w:rPr>
                <w:sz w:val="1"/>
                <w:szCs w:val="1"/>
                <w:color w:val="auto"/>
              </w:rPr>
            </w:pPr>
          </w:p>
        </w:tc>
      </w:tr>
      <w:tr>
        <w:trPr>
          <w:trHeight w:val="247"/>
        </w:trPr>
        <w:tc>
          <w:tcPr>
            <w:tcW w:w="2760" w:type="dxa"/>
            <w:vAlign w:val="bottom"/>
          </w:tcPr>
          <w:p>
            <w:pPr>
              <w:ind w:left="120"/>
              <w:spacing w:after="0"/>
              <w:rPr>
                <w:sz w:val="20"/>
                <w:szCs w:val="20"/>
                <w:color w:val="auto"/>
              </w:rPr>
            </w:pPr>
            <w:r>
              <w:rPr>
                <w:rFonts w:ascii="Arial" w:cs="Arial" w:eastAsia="Arial" w:hAnsi="Arial"/>
                <w:sz w:val="16"/>
                <w:szCs w:val="16"/>
                <w:color w:val="auto"/>
              </w:rPr>
              <w:t>Automotive net sales and revenue</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gridSpan w:val="4"/>
          </w:tcPr>
          <w:p>
            <w:pPr>
              <w:jc w:val="right"/>
              <w:ind w:right="140"/>
              <w:spacing w:after="0"/>
              <w:rPr>
                <w:sz w:val="20"/>
                <w:szCs w:val="20"/>
                <w:color w:val="auto"/>
              </w:rPr>
            </w:pPr>
            <w:r>
              <w:rPr>
                <w:rFonts w:ascii="Arial" w:cs="Arial" w:eastAsia="Arial" w:hAnsi="Arial"/>
                <w:sz w:val="16"/>
                <w:szCs w:val="16"/>
                <w:color w:val="auto"/>
              </w:rPr>
              <w:t>28,324</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gridSpan w:val="4"/>
          </w:tcPr>
          <w:p>
            <w:pPr>
              <w:jc w:val="right"/>
              <w:ind w:right="20"/>
              <w:spacing w:after="0"/>
              <w:rPr>
                <w:sz w:val="20"/>
                <w:szCs w:val="20"/>
                <w:color w:val="auto"/>
              </w:rPr>
            </w:pPr>
            <w:r>
              <w:rPr>
                <w:rFonts w:ascii="Arial" w:cs="Arial" w:eastAsia="Arial" w:hAnsi="Arial"/>
                <w:sz w:val="16"/>
                <w:szCs w:val="16"/>
                <w:color w:val="auto"/>
              </w:rPr>
              <w:t>4,047</w:t>
            </w:r>
          </w:p>
        </w:tc>
        <w:tc>
          <w:tcPr>
            <w:tcW w:w="1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6"/>
                <w:szCs w:val="16"/>
                <w:color w:val="auto"/>
              </w:rPr>
              <w:t>54</w:t>
            </w:r>
          </w:p>
        </w:tc>
        <w:tc>
          <w:tcPr>
            <w:tcW w:w="1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gridSpan w:val="4"/>
          </w:tcPr>
          <w:p>
            <w:pPr>
              <w:jc w:val="right"/>
              <w:ind w:right="68"/>
              <w:spacing w:after="0"/>
              <w:rPr>
                <w:sz w:val="20"/>
                <w:szCs w:val="20"/>
                <w:color w:val="auto"/>
              </w:rPr>
            </w:pPr>
            <w:r>
              <w:rPr>
                <w:rFonts w:ascii="Arial" w:cs="Arial" w:eastAsia="Arial" w:hAnsi="Arial"/>
                <w:sz w:val="16"/>
                <w:szCs w:val="16"/>
                <w:color w:val="auto"/>
              </w:rPr>
              <w:t>32,425</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gridSpan w:val="3"/>
          </w:tcPr>
          <w:p>
            <w:pPr>
              <w:ind w:left="220"/>
              <w:spacing w:after="0"/>
              <w:rPr>
                <w:sz w:val="20"/>
                <w:szCs w:val="20"/>
                <w:color w:val="auto"/>
              </w:rPr>
            </w:pPr>
            <w:r>
              <w:rPr>
                <w:rFonts w:ascii="Arial" w:cs="Arial" w:eastAsia="Arial" w:hAnsi="Arial"/>
                <w:sz w:val="16"/>
                <w:szCs w:val="16"/>
                <w:color w:val="auto"/>
              </w:rPr>
              <w:t>25</w:t>
            </w:r>
          </w:p>
        </w:tc>
        <w:tc>
          <w:tcPr>
            <w:tcW w:w="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32,425</w:t>
            </w:r>
          </w:p>
        </w:tc>
        <w:tc>
          <w:tcPr>
            <w:tcW w:w="0" w:type="dxa"/>
            <w:vAlign w:val="bottom"/>
          </w:tcPr>
          <w:p>
            <w:pPr>
              <w:spacing w:after="0"/>
              <w:rPr>
                <w:sz w:val="1"/>
                <w:szCs w:val="1"/>
                <w:color w:val="auto"/>
              </w:rPr>
            </w:pPr>
          </w:p>
        </w:tc>
      </w:tr>
      <w:tr>
        <w:trPr>
          <w:trHeight w:val="260"/>
        </w:trPr>
        <w:tc>
          <w:tcPr>
            <w:tcW w:w="2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Leased vehicle income</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0" w:type="dxa"/>
            <w:vAlign w:val="bottom"/>
            <w:gridSpan w:val="2"/>
            <w:shd w:val="clear" w:color="auto" w:fill="CCEEFF"/>
          </w:tcPr>
          <w:p>
            <w:pPr>
              <w:jc w:val="right"/>
              <w:ind w:right="68"/>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w w:val="99"/>
              </w:rPr>
              <w:t>2,512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60" w:type="dxa"/>
            <w:vAlign w:val="bottom"/>
            <w:gridSpan w:val="3"/>
            <w:shd w:val="clear" w:color="auto" w:fill="CCEEFF"/>
          </w:tcPr>
          <w:p>
            <w:pPr>
              <w:jc w:val="center"/>
              <w:ind w:left="600"/>
              <w:spacing w:after="0"/>
              <w:rPr>
                <w:sz w:val="20"/>
                <w:szCs w:val="20"/>
                <w:color w:val="auto"/>
              </w:rPr>
            </w:pPr>
            <w:r>
              <w:rPr>
                <w:rFonts w:ascii="Arial" w:cs="Arial" w:eastAsia="Arial" w:hAnsi="Arial"/>
                <w:sz w:val="16"/>
                <w:szCs w:val="16"/>
                <w:color w:val="auto"/>
                <w:w w:val="99"/>
              </w:rPr>
              <w:t>—</w:t>
            </w:r>
          </w:p>
        </w:tc>
        <w:tc>
          <w:tcPr>
            <w:tcW w:w="18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2,512</w:t>
            </w:r>
          </w:p>
        </w:tc>
        <w:tc>
          <w:tcPr>
            <w:tcW w:w="0" w:type="dxa"/>
            <w:vAlign w:val="bottom"/>
          </w:tcPr>
          <w:p>
            <w:pPr>
              <w:spacing w:after="0"/>
              <w:rPr>
                <w:sz w:val="1"/>
                <w:szCs w:val="1"/>
                <w:color w:val="auto"/>
              </w:rPr>
            </w:pPr>
          </w:p>
        </w:tc>
      </w:tr>
      <w:tr>
        <w:trPr>
          <w:trHeight w:val="253"/>
        </w:trPr>
        <w:tc>
          <w:tcPr>
            <w:tcW w:w="2760" w:type="dxa"/>
            <w:vAlign w:val="bottom"/>
          </w:tcPr>
          <w:p>
            <w:pPr>
              <w:ind w:left="40"/>
              <w:spacing w:after="0"/>
              <w:rPr>
                <w:sz w:val="20"/>
                <w:szCs w:val="20"/>
                <w:color w:val="auto"/>
              </w:rPr>
            </w:pPr>
            <w:r>
              <w:rPr>
                <w:rFonts w:ascii="Arial" w:cs="Arial" w:eastAsia="Arial" w:hAnsi="Arial"/>
                <w:sz w:val="16"/>
                <w:szCs w:val="16"/>
                <w:color w:val="auto"/>
              </w:rPr>
              <w:t>Finance charge income</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gridSpan w:val="2"/>
          </w:tcPr>
          <w:p>
            <w:pPr>
              <w:jc w:val="right"/>
              <w:ind w:right="68"/>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6"/>
                <w:szCs w:val="16"/>
                <w:color w:val="auto"/>
                <w:w w:val="99"/>
              </w:rPr>
              <w:t>1,008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jc w:val="right"/>
              <w:ind w:right="60"/>
              <w:spacing w:after="0"/>
              <w:rPr>
                <w:sz w:val="20"/>
                <w:szCs w:val="20"/>
                <w:color w:val="auto"/>
              </w:rPr>
            </w:pPr>
            <w:r>
              <w:rPr>
                <w:rFonts w:ascii="Arial" w:cs="Arial" w:eastAsia="Arial" w:hAnsi="Arial"/>
                <w:sz w:val="16"/>
                <w:szCs w:val="16"/>
                <w:color w:val="auto"/>
              </w:rPr>
              <w:t>1,006</w:t>
            </w:r>
          </w:p>
        </w:tc>
        <w:tc>
          <w:tcPr>
            <w:tcW w:w="0" w:type="dxa"/>
            <w:vAlign w:val="bottom"/>
          </w:tcPr>
          <w:p>
            <w:pPr>
              <w:spacing w:after="0"/>
              <w:rPr>
                <w:sz w:val="1"/>
                <w:szCs w:val="1"/>
                <w:color w:val="auto"/>
              </w:rPr>
            </w:pPr>
          </w:p>
        </w:tc>
      </w:tr>
      <w:tr>
        <w:trPr>
          <w:trHeight w:val="256"/>
        </w:trPr>
        <w:tc>
          <w:tcPr>
            <w:tcW w:w="2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income</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400" w:type="dxa"/>
            <w:vAlign w:val="bottom"/>
            <w:tcBorders>
              <w:bottom w:val="single" w:sz="8" w:color="auto"/>
            </w:tcBorders>
            <w:gridSpan w:val="2"/>
            <w:shd w:val="clear" w:color="auto" w:fill="CCEEFF"/>
          </w:tcPr>
          <w:p>
            <w:pPr>
              <w:jc w:val="right"/>
              <w:ind w:right="68"/>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119</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250"/>
        </w:trPr>
        <w:tc>
          <w:tcPr>
            <w:tcW w:w="276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GM Financial net sales and revenue</w:t>
            </w:r>
          </w:p>
        </w:tc>
        <w:tc>
          <w:tcPr>
            <w:tcW w:w="14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6"/>
                <w:szCs w:val="16"/>
                <w:color w:val="auto"/>
                <w:w w:val="99"/>
              </w:rPr>
              <w:t>—</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gridSpan w:val="2"/>
          </w:tcPr>
          <w:p>
            <w:pPr>
              <w:jc w:val="right"/>
              <w:ind w:right="68"/>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color w:val="auto"/>
                <w:w w:val="99"/>
              </w:rPr>
              <w:t>3,639</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w:t>
            </w: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3,635</w:t>
            </w:r>
          </w:p>
        </w:tc>
        <w:tc>
          <w:tcPr>
            <w:tcW w:w="0" w:type="dxa"/>
            <w:vAlign w:val="bottom"/>
          </w:tcPr>
          <w:p>
            <w:pPr>
              <w:spacing w:after="0"/>
              <w:rPr>
                <w:sz w:val="1"/>
                <w:szCs w:val="1"/>
                <w:color w:val="auto"/>
              </w:rPr>
            </w:pPr>
          </w:p>
        </w:tc>
      </w:tr>
      <w:tr>
        <w:trPr>
          <w:trHeight w:val="278"/>
        </w:trPr>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sales and revenue</w:t>
            </w:r>
          </w:p>
        </w:tc>
        <w:tc>
          <w:tcPr>
            <w:tcW w:w="1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Arial" w:cs="Arial" w:eastAsia="Arial" w:hAnsi="Arial"/>
                <w:sz w:val="16"/>
                <w:szCs w:val="16"/>
                <w:color w:val="auto"/>
              </w:rPr>
              <w:t>28,324</w:t>
            </w:r>
          </w:p>
        </w:tc>
        <w:tc>
          <w:tcPr>
            <w:tcW w:w="220" w:type="dxa"/>
            <w:vAlign w:val="bottom"/>
            <w:tcBorders>
              <w:bottom w:val="single" w:sz="8" w:color="CCEEFF"/>
            </w:tcBorders>
            <w:gridSpan w:val="2"/>
            <w:shd w:val="clear" w:color="auto" w:fill="CCEEFF"/>
          </w:tcPr>
          <w:p>
            <w:pPr>
              <w:jc w:val="center"/>
              <w:ind w:left="4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4,047</w:t>
            </w:r>
          </w:p>
        </w:tc>
        <w:tc>
          <w:tcPr>
            <w:tcW w:w="700" w:type="dxa"/>
            <w:vAlign w:val="bottom"/>
            <w:tcBorders>
              <w:bottom w:val="single" w:sz="8" w:color="CCEEFF"/>
            </w:tcBorders>
            <w:gridSpan w:val="3"/>
            <w:shd w:val="clear" w:color="auto" w:fill="CCEEFF"/>
          </w:tcPr>
          <w:p>
            <w:pPr>
              <w:jc w:val="right"/>
              <w:ind w:right="302"/>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54</w:t>
            </w:r>
          </w:p>
        </w:tc>
        <w:tc>
          <w:tcPr>
            <w:tcW w:w="360" w:type="dxa"/>
            <w:vAlign w:val="bottom"/>
            <w:tcBorders>
              <w:bottom w:val="single" w:sz="8" w:color="CCEEFF"/>
            </w:tcBorders>
            <w:gridSpan w:val="3"/>
            <w:shd w:val="clear" w:color="auto" w:fill="CCEEFF"/>
          </w:tcPr>
          <w:p>
            <w:pPr>
              <w:ind w:left="260"/>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gridSpan w:val="4"/>
            <w:shd w:val="clear" w:color="auto" w:fill="CCEEFF"/>
          </w:tcPr>
          <w:p>
            <w:pPr>
              <w:jc w:val="right"/>
              <w:ind w:right="68"/>
              <w:spacing w:after="0"/>
              <w:rPr>
                <w:sz w:val="20"/>
                <w:szCs w:val="20"/>
                <w:color w:val="auto"/>
              </w:rPr>
            </w:pPr>
            <w:r>
              <w:rPr>
                <w:rFonts w:ascii="Arial" w:cs="Arial" w:eastAsia="Arial" w:hAnsi="Arial"/>
                <w:sz w:val="16"/>
                <w:szCs w:val="16"/>
                <w:color w:val="auto"/>
              </w:rPr>
              <w:t>32,425</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6"/>
                <w:szCs w:val="16"/>
                <w:color w:val="auto"/>
              </w:rPr>
              <w:t>25</w:t>
            </w:r>
          </w:p>
        </w:tc>
        <w:tc>
          <w:tcPr>
            <w:tcW w:w="480" w:type="dxa"/>
            <w:vAlign w:val="bottom"/>
            <w:tcBorders>
              <w:bottom w:val="single" w:sz="8" w:color="CCEEFF"/>
            </w:tcBorders>
            <w:gridSpan w:val="3"/>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w w:val="99"/>
              </w:rPr>
              <w:t>3,639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36,060</w:t>
            </w: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gridSpan w:val="3"/>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9"/>
        </w:trPr>
        <w:tc>
          <w:tcPr>
            <w:tcW w:w="27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13"/>
          </w:tcPr>
          <w:p>
            <w:pPr>
              <w:ind w:left="40"/>
              <w:spacing w:after="0"/>
              <w:rPr>
                <w:sz w:val="20"/>
                <w:szCs w:val="20"/>
                <w:color w:val="auto"/>
              </w:rPr>
            </w:pPr>
            <w:r>
              <w:rPr>
                <w:rFonts w:ascii="Arial" w:cs="Arial" w:eastAsia="Arial" w:hAnsi="Arial"/>
                <w:sz w:val="14"/>
                <w:szCs w:val="14"/>
                <w:b w:val="1"/>
                <w:bCs w:val="1"/>
                <w:color w:val="auto"/>
                <w:w w:val="99"/>
              </w:rPr>
              <w:t>Six Months Ended June 30, 2020</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gridSpan w:val="3"/>
            <w:vMerge w:val="restart"/>
          </w:tcPr>
          <w:p>
            <w:pPr>
              <w:jc w:val="right"/>
              <w:ind w:right="20"/>
              <w:spacing w:after="0"/>
              <w:rPr>
                <w:sz w:val="20"/>
                <w:szCs w:val="20"/>
                <w:color w:val="auto"/>
              </w:rPr>
            </w:pPr>
            <w:r>
              <w:rPr>
                <w:rFonts w:ascii="Arial" w:cs="Arial" w:eastAsia="Arial" w:hAnsi="Arial"/>
                <w:sz w:val="14"/>
                <w:szCs w:val="14"/>
                <w:b w:val="1"/>
                <w:bCs w:val="1"/>
                <w:color w:val="auto"/>
              </w:rPr>
              <w:t>GMNA</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gridSpan w:val="3"/>
            <w:vMerge w:val="restart"/>
          </w:tcPr>
          <w:p>
            <w:pPr>
              <w:jc w:val="center"/>
              <w:ind w:right="20"/>
              <w:spacing w:after="0"/>
              <w:rPr>
                <w:sz w:val="20"/>
                <w:szCs w:val="20"/>
                <w:color w:val="auto"/>
              </w:rPr>
            </w:pPr>
            <w:r>
              <w:rPr>
                <w:rFonts w:ascii="Arial" w:cs="Arial" w:eastAsia="Arial" w:hAnsi="Arial"/>
                <w:sz w:val="14"/>
                <w:szCs w:val="14"/>
                <w:b w:val="1"/>
                <w:bCs w:val="1"/>
                <w:color w:val="auto"/>
              </w:rPr>
              <w:t>GMI</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w w:val="95"/>
              </w:rPr>
              <w:t>Corporate</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3"/>
          </w:tcPr>
          <w:p>
            <w:pPr>
              <w:jc w:val="right"/>
              <w:ind w:right="142"/>
              <w:spacing w:after="0" w:line="153"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Cruise</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gridSpan w:val="3"/>
          </w:tcPr>
          <w:p>
            <w:pPr>
              <w:jc w:val="right"/>
              <w:ind w:right="102"/>
              <w:spacing w:after="0" w:line="153" w:lineRule="exact"/>
              <w:rPr>
                <w:sz w:val="20"/>
                <w:szCs w:val="20"/>
                <w:color w:val="auto"/>
              </w:rPr>
            </w:pPr>
            <w:r>
              <w:rPr>
                <w:rFonts w:ascii="Arial" w:cs="Arial" w:eastAsia="Arial" w:hAnsi="Arial"/>
                <w:sz w:val="14"/>
                <w:szCs w:val="14"/>
                <w:b w:val="1"/>
                <w:bCs w:val="1"/>
                <w:color w:val="auto"/>
              </w:rPr>
              <w:t>GM</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6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w w:val="90"/>
              </w:rPr>
              <w:t>Eliminations/Reclassifications</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7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gridSpan w:val="3"/>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gridSpan w:val="3"/>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3"/>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3"/>
              </w:rPr>
              <w:t>Automotive</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gridSpan w:val="3"/>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Financial</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60" w:type="dxa"/>
            <w:vAlign w:val="bottom"/>
            <w:tcBorders>
              <w:bottom w:val="single" w:sz="8" w:color="auto"/>
            </w:tcBorders>
            <w:gridSpan w:val="5"/>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Vehicle, parts and accessories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35,426</w:t>
            </w:r>
          </w:p>
        </w:tc>
        <w:tc>
          <w:tcPr>
            <w:tcW w:w="4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w w:val="94"/>
              </w:rPr>
              <w:t>4,437</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39,863</w:t>
            </w:r>
          </w:p>
        </w:tc>
        <w:tc>
          <w:tcPr>
            <w:tcW w:w="520" w:type="dxa"/>
            <w:vAlign w:val="bottom"/>
            <w:gridSpan w:val="3"/>
            <w:shd w:val="clear" w:color="auto" w:fill="CCEEFF"/>
          </w:tcPr>
          <w:p>
            <w:pPr>
              <w:jc w:val="right"/>
              <w:ind w:right="128"/>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6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60" w:type="dxa"/>
            <w:vAlign w:val="bottom"/>
            <w:gridSpan w:val="3"/>
            <w:shd w:val="clear" w:color="auto" w:fill="CCEEFF"/>
          </w:tcPr>
          <w:p>
            <w:pPr>
              <w:jc w:val="center"/>
              <w:ind w:left="560"/>
              <w:spacing w:after="0"/>
              <w:rPr>
                <w:sz w:val="20"/>
                <w:szCs w:val="20"/>
                <w:color w:val="auto"/>
              </w:rPr>
            </w:pPr>
            <w:r>
              <w:rPr>
                <w:rFonts w:ascii="Arial" w:cs="Arial" w:eastAsia="Arial" w:hAnsi="Arial"/>
                <w:sz w:val="16"/>
                <w:szCs w:val="16"/>
                <w:color w:val="auto"/>
                <w:w w:val="99"/>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39,863</w:t>
            </w:r>
          </w:p>
        </w:tc>
        <w:tc>
          <w:tcPr>
            <w:tcW w:w="0" w:type="dxa"/>
            <w:vAlign w:val="bottom"/>
          </w:tcPr>
          <w:p>
            <w:pPr>
              <w:spacing w:after="0"/>
              <w:rPr>
                <w:sz w:val="1"/>
                <w:szCs w:val="1"/>
                <w:color w:val="auto"/>
              </w:rPr>
            </w:pPr>
          </w:p>
        </w:tc>
      </w:tr>
      <w:tr>
        <w:trPr>
          <w:trHeight w:val="253"/>
        </w:trPr>
        <w:tc>
          <w:tcPr>
            <w:tcW w:w="2760" w:type="dxa"/>
            <w:vAlign w:val="bottom"/>
          </w:tcPr>
          <w:p>
            <w:pPr>
              <w:ind w:left="20"/>
              <w:spacing w:after="0"/>
              <w:rPr>
                <w:sz w:val="20"/>
                <w:szCs w:val="20"/>
                <w:color w:val="auto"/>
              </w:rPr>
            </w:pPr>
            <w:r>
              <w:rPr>
                <w:rFonts w:ascii="Arial" w:cs="Arial" w:eastAsia="Arial" w:hAnsi="Arial"/>
                <w:sz w:val="16"/>
                <w:szCs w:val="16"/>
                <w:color w:val="auto"/>
              </w:rPr>
              <w:t>Used vehicles</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w w:val="97"/>
              </w:rPr>
              <w:t>498</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w w:val="89"/>
              </w:rPr>
              <w:t>42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3"/>
          </w:tcPr>
          <w:p>
            <w:pPr>
              <w:jc w:val="right"/>
              <w:spacing w:after="0"/>
              <w:rPr>
                <w:sz w:val="20"/>
                <w:szCs w:val="20"/>
                <w:color w:val="auto"/>
              </w:rPr>
            </w:pPr>
            <w:r>
              <w:rPr>
                <w:rFonts w:ascii="Arial" w:cs="Arial" w:eastAsia="Arial" w:hAnsi="Arial"/>
                <w:sz w:val="16"/>
                <w:szCs w:val="16"/>
                <w:color w:val="auto"/>
              </w:rPr>
              <w:t>10</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550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gridSpan w:val="3"/>
          </w:tcPr>
          <w:p>
            <w:pPr>
              <w:jc w:val="center"/>
              <w:ind w:left="560"/>
              <w:spacing w:after="0"/>
              <w:rPr>
                <w:sz w:val="20"/>
                <w:szCs w:val="20"/>
                <w:color w:val="auto"/>
              </w:rPr>
            </w:pPr>
            <w:r>
              <w:rPr>
                <w:rFonts w:ascii="Arial" w:cs="Arial" w:eastAsia="Arial" w:hAnsi="Arial"/>
                <w:sz w:val="16"/>
                <w:szCs w:val="16"/>
                <w:color w:val="auto"/>
                <w:w w:val="99"/>
              </w:rPr>
              <w:t>—</w:t>
            </w:r>
          </w:p>
        </w:tc>
        <w:tc>
          <w:tcPr>
            <w:tcW w:w="180" w:type="dxa"/>
            <w:vAlign w:val="bottom"/>
          </w:tcPr>
          <w:p>
            <w:pPr>
              <w:spacing w:after="0"/>
              <w:rPr>
                <w:sz w:val="22"/>
                <w:szCs w:val="22"/>
                <w:color w:val="auto"/>
              </w:rPr>
            </w:pPr>
          </w:p>
        </w:tc>
        <w:tc>
          <w:tcPr>
            <w:tcW w:w="660" w:type="dxa"/>
            <w:vAlign w:val="bottom"/>
          </w:tcPr>
          <w:p>
            <w:pPr>
              <w:jc w:val="right"/>
              <w:ind w:right="60"/>
              <w:spacing w:after="0"/>
              <w:rPr>
                <w:sz w:val="20"/>
                <w:szCs w:val="20"/>
                <w:color w:val="auto"/>
              </w:rPr>
            </w:pPr>
            <w:r>
              <w:rPr>
                <w:rFonts w:ascii="Arial" w:cs="Arial" w:eastAsia="Arial" w:hAnsi="Arial"/>
                <w:sz w:val="16"/>
                <w:szCs w:val="16"/>
                <w:color w:val="auto"/>
              </w:rPr>
              <w:t>550</w:t>
            </w:r>
          </w:p>
        </w:tc>
        <w:tc>
          <w:tcPr>
            <w:tcW w:w="0" w:type="dxa"/>
            <w:vAlign w:val="bottom"/>
          </w:tcPr>
          <w:p>
            <w:pPr>
              <w:spacing w:after="0"/>
              <w:rPr>
                <w:sz w:val="1"/>
                <w:szCs w:val="1"/>
                <w:color w:val="auto"/>
              </w:rPr>
            </w:pPr>
          </w:p>
        </w:tc>
      </w:tr>
      <w:tr>
        <w:trPr>
          <w:trHeight w:val="259"/>
        </w:trPr>
        <w:tc>
          <w:tcPr>
            <w:tcW w:w="2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Services and other</w:t>
            </w:r>
          </w:p>
        </w:tc>
        <w:tc>
          <w:tcPr>
            <w:tcW w:w="1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1,511</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478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2,097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center"/>
              <w:ind w:left="640"/>
              <w:spacing w:after="0"/>
              <w:rPr>
                <w:sz w:val="20"/>
                <w:szCs w:val="20"/>
                <w:color w:val="auto"/>
              </w:rPr>
            </w:pPr>
            <w:r>
              <w:rPr>
                <w:rFonts w:ascii="Arial" w:cs="Arial" w:eastAsia="Arial" w:hAnsi="Arial"/>
                <w:sz w:val="16"/>
                <w:szCs w:val="16"/>
                <w:color w:val="auto"/>
                <w:w w:val="98"/>
              </w:rPr>
              <w:t>(50)</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2,100</w:t>
            </w:r>
          </w:p>
        </w:tc>
        <w:tc>
          <w:tcPr>
            <w:tcW w:w="0" w:type="dxa"/>
            <w:vAlign w:val="bottom"/>
          </w:tcPr>
          <w:p>
            <w:pPr>
              <w:spacing w:after="0"/>
              <w:rPr>
                <w:sz w:val="1"/>
                <w:szCs w:val="1"/>
                <w:color w:val="auto"/>
              </w:rPr>
            </w:pPr>
          </w:p>
        </w:tc>
      </w:tr>
      <w:tr>
        <w:trPr>
          <w:trHeight w:val="247"/>
        </w:trPr>
        <w:tc>
          <w:tcPr>
            <w:tcW w:w="2760" w:type="dxa"/>
            <w:vAlign w:val="bottom"/>
          </w:tcPr>
          <w:p>
            <w:pPr>
              <w:ind w:left="140"/>
              <w:spacing w:after="0"/>
              <w:rPr>
                <w:sz w:val="20"/>
                <w:szCs w:val="20"/>
                <w:color w:val="auto"/>
              </w:rPr>
            </w:pPr>
            <w:r>
              <w:rPr>
                <w:rFonts w:ascii="Arial" w:cs="Arial" w:eastAsia="Arial" w:hAnsi="Arial"/>
                <w:sz w:val="16"/>
                <w:szCs w:val="16"/>
                <w:color w:val="auto"/>
              </w:rPr>
              <w:t>Automotive net sales and revenue</w:t>
            </w:r>
          </w:p>
        </w:tc>
        <w:tc>
          <w:tcPr>
            <w:tcW w:w="14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gridSpan w:val="3"/>
          </w:tcPr>
          <w:p>
            <w:pPr>
              <w:jc w:val="right"/>
              <w:spacing w:after="0"/>
              <w:rPr>
                <w:sz w:val="20"/>
                <w:szCs w:val="20"/>
                <w:color w:val="auto"/>
              </w:rPr>
            </w:pPr>
            <w:r>
              <w:rPr>
                <w:rFonts w:ascii="Arial" w:cs="Arial" w:eastAsia="Arial" w:hAnsi="Arial"/>
                <w:sz w:val="16"/>
                <w:szCs w:val="16"/>
                <w:color w:val="auto"/>
              </w:rPr>
              <w:t>37,435</w:t>
            </w:r>
          </w:p>
        </w:tc>
        <w:tc>
          <w:tcPr>
            <w:tcW w:w="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gridSpan w:val="3"/>
          </w:tcPr>
          <w:p>
            <w:pPr>
              <w:jc w:val="right"/>
              <w:spacing w:after="0"/>
              <w:rPr>
                <w:sz w:val="20"/>
                <w:szCs w:val="20"/>
                <w:color w:val="auto"/>
              </w:rPr>
            </w:pPr>
            <w:r>
              <w:rPr>
                <w:rFonts w:ascii="Arial" w:cs="Arial" w:eastAsia="Arial" w:hAnsi="Arial"/>
                <w:sz w:val="16"/>
                <w:szCs w:val="16"/>
                <w:color w:val="auto"/>
                <w:w w:val="94"/>
              </w:rPr>
              <w:t>4,957</w:t>
            </w:r>
          </w:p>
        </w:tc>
        <w:tc>
          <w:tcPr>
            <w:tcW w:w="1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gridSpan w:val="3"/>
          </w:tcPr>
          <w:p>
            <w:pPr>
              <w:jc w:val="right"/>
              <w:spacing w:after="0"/>
              <w:rPr>
                <w:sz w:val="20"/>
                <w:szCs w:val="20"/>
                <w:color w:val="auto"/>
              </w:rPr>
            </w:pPr>
            <w:r>
              <w:rPr>
                <w:rFonts w:ascii="Arial" w:cs="Arial" w:eastAsia="Arial" w:hAnsi="Arial"/>
                <w:sz w:val="16"/>
                <w:szCs w:val="16"/>
                <w:color w:val="auto"/>
              </w:rPr>
              <w:t>118</w:t>
            </w:r>
          </w:p>
        </w:tc>
        <w:tc>
          <w:tcPr>
            <w:tcW w:w="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gridSpan w:val="4"/>
          </w:tcPr>
          <w:p>
            <w:pPr>
              <w:jc w:val="right"/>
              <w:spacing w:after="0"/>
              <w:rPr>
                <w:sz w:val="20"/>
                <w:szCs w:val="20"/>
                <w:color w:val="auto"/>
              </w:rPr>
            </w:pPr>
            <w:r>
              <w:rPr>
                <w:rFonts w:ascii="Arial" w:cs="Arial" w:eastAsia="Arial" w:hAnsi="Arial"/>
                <w:sz w:val="16"/>
                <w:szCs w:val="16"/>
                <w:color w:val="auto"/>
              </w:rPr>
              <w:t>42,510</w:t>
            </w:r>
          </w:p>
        </w:tc>
        <w:tc>
          <w:tcPr>
            <w:tcW w:w="1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53</w:t>
            </w:r>
          </w:p>
        </w:tc>
        <w:tc>
          <w:tcPr>
            <w:tcW w:w="1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jc w:val="center"/>
              <w:ind w:left="640"/>
              <w:spacing w:after="0"/>
              <w:rPr>
                <w:sz w:val="20"/>
                <w:szCs w:val="20"/>
                <w:color w:val="auto"/>
              </w:rPr>
            </w:pPr>
            <w:r>
              <w:rPr>
                <w:rFonts w:ascii="Arial" w:cs="Arial" w:eastAsia="Arial" w:hAnsi="Arial"/>
                <w:sz w:val="16"/>
                <w:szCs w:val="16"/>
                <w:color w:val="auto"/>
                <w:w w:val="98"/>
              </w:rPr>
              <w:t>(50)</w:t>
            </w:r>
          </w:p>
        </w:tc>
        <w:tc>
          <w:tcPr>
            <w:tcW w:w="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42,513</w:t>
            </w:r>
          </w:p>
        </w:tc>
        <w:tc>
          <w:tcPr>
            <w:tcW w:w="0" w:type="dxa"/>
            <w:vAlign w:val="bottom"/>
          </w:tcPr>
          <w:p>
            <w:pPr>
              <w:spacing w:after="0"/>
              <w:rPr>
                <w:sz w:val="1"/>
                <w:szCs w:val="1"/>
                <w:color w:val="auto"/>
              </w:rPr>
            </w:pPr>
          </w:p>
        </w:tc>
      </w:tr>
      <w:tr>
        <w:trPr>
          <w:trHeight w:val="259"/>
        </w:trPr>
        <w:tc>
          <w:tcPr>
            <w:tcW w:w="2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Leased vehicle income</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4,849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60" w:type="dxa"/>
            <w:vAlign w:val="bottom"/>
            <w:gridSpan w:val="3"/>
            <w:shd w:val="clear" w:color="auto" w:fill="CCEEFF"/>
          </w:tcPr>
          <w:p>
            <w:pPr>
              <w:jc w:val="center"/>
              <w:ind w:left="560"/>
              <w:spacing w:after="0"/>
              <w:rPr>
                <w:sz w:val="20"/>
                <w:szCs w:val="20"/>
                <w:color w:val="auto"/>
              </w:rPr>
            </w:pPr>
            <w:r>
              <w:rPr>
                <w:rFonts w:ascii="Arial" w:cs="Arial" w:eastAsia="Arial" w:hAnsi="Arial"/>
                <w:sz w:val="16"/>
                <w:szCs w:val="16"/>
                <w:color w:val="auto"/>
                <w:w w:val="99"/>
              </w:rPr>
              <w:t>—</w:t>
            </w:r>
          </w:p>
        </w:tc>
        <w:tc>
          <w:tcPr>
            <w:tcW w:w="18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4,849</w:t>
            </w:r>
          </w:p>
        </w:tc>
        <w:tc>
          <w:tcPr>
            <w:tcW w:w="0" w:type="dxa"/>
            <w:vAlign w:val="bottom"/>
          </w:tcPr>
          <w:p>
            <w:pPr>
              <w:spacing w:after="0"/>
              <w:rPr>
                <w:sz w:val="1"/>
                <w:szCs w:val="1"/>
                <w:color w:val="auto"/>
              </w:rPr>
            </w:pPr>
          </w:p>
        </w:tc>
      </w:tr>
      <w:tr>
        <w:trPr>
          <w:trHeight w:val="253"/>
        </w:trPr>
        <w:tc>
          <w:tcPr>
            <w:tcW w:w="2760" w:type="dxa"/>
            <w:vAlign w:val="bottom"/>
          </w:tcPr>
          <w:p>
            <w:pPr>
              <w:ind w:left="20"/>
              <w:spacing w:after="0"/>
              <w:rPr>
                <w:sz w:val="20"/>
                <w:szCs w:val="20"/>
                <w:color w:val="auto"/>
              </w:rPr>
            </w:pPr>
            <w:r>
              <w:rPr>
                <w:rFonts w:ascii="Arial" w:cs="Arial" w:eastAsia="Arial" w:hAnsi="Arial"/>
                <w:sz w:val="16"/>
                <w:szCs w:val="16"/>
                <w:color w:val="auto"/>
              </w:rPr>
              <w:t>Finance charge income</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gridSpan w:val="3"/>
          </w:tcPr>
          <w:p>
            <w:pPr>
              <w:jc w:val="right"/>
              <w:spacing w:after="0"/>
              <w:rPr>
                <w:sz w:val="20"/>
                <w:szCs w:val="20"/>
                <w:color w:val="auto"/>
              </w:rPr>
            </w:pPr>
            <w:r>
              <w:rPr>
                <w:rFonts w:ascii="Arial" w:cs="Arial" w:eastAsia="Arial" w:hAnsi="Arial"/>
                <w:sz w:val="16"/>
                <w:szCs w:val="16"/>
                <w:color w:val="auto"/>
              </w:rPr>
              <w:t>1,972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Pr>
          <w:p>
            <w:pPr>
              <w:jc w:val="center"/>
              <w:ind w:left="720"/>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jc w:val="right"/>
              <w:ind w:right="60"/>
              <w:spacing w:after="0"/>
              <w:rPr>
                <w:sz w:val="20"/>
                <w:szCs w:val="20"/>
                <w:color w:val="auto"/>
              </w:rPr>
            </w:pPr>
            <w:r>
              <w:rPr>
                <w:rFonts w:ascii="Arial" w:cs="Arial" w:eastAsia="Arial" w:hAnsi="Arial"/>
                <w:sz w:val="16"/>
                <w:szCs w:val="16"/>
                <w:color w:val="auto"/>
              </w:rPr>
              <w:t>1,971</w:t>
            </w:r>
          </w:p>
        </w:tc>
        <w:tc>
          <w:tcPr>
            <w:tcW w:w="0" w:type="dxa"/>
            <w:vAlign w:val="bottom"/>
          </w:tcPr>
          <w:p>
            <w:pPr>
              <w:spacing w:after="0"/>
              <w:rPr>
                <w:sz w:val="1"/>
                <w:szCs w:val="1"/>
                <w:color w:val="auto"/>
              </w:rPr>
            </w:pPr>
          </w:p>
        </w:tc>
      </w:tr>
      <w:tr>
        <w:trPr>
          <w:trHeight w:val="257"/>
        </w:trPr>
        <w:tc>
          <w:tcPr>
            <w:tcW w:w="2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w:t>
            </w:r>
          </w:p>
        </w:tc>
        <w:tc>
          <w:tcPr>
            <w:tcW w:w="14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w:t>
            </w:r>
          </w:p>
        </w:tc>
        <w:tc>
          <w:tcPr>
            <w:tcW w:w="10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4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10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center"/>
              <w:ind w:left="720"/>
              <w:spacing w:after="0"/>
              <w:rPr>
                <w:sz w:val="20"/>
                <w:szCs w:val="20"/>
                <w:color w:val="auto"/>
              </w:rPr>
            </w:pPr>
            <w:r>
              <w:rPr>
                <w:rFonts w:ascii="Arial" w:cs="Arial" w:eastAsia="Arial" w:hAnsi="Arial"/>
                <w:sz w:val="16"/>
                <w:szCs w:val="16"/>
                <w:color w:val="auto"/>
              </w:rPr>
              <w:t>(9)</w:t>
            </w: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154</w:t>
            </w:r>
          </w:p>
        </w:tc>
        <w:tc>
          <w:tcPr>
            <w:tcW w:w="0" w:type="dxa"/>
            <w:vAlign w:val="bottom"/>
          </w:tcPr>
          <w:p>
            <w:pPr>
              <w:spacing w:after="0"/>
              <w:rPr>
                <w:sz w:val="1"/>
                <w:szCs w:val="1"/>
                <w:color w:val="auto"/>
              </w:rPr>
            </w:pPr>
          </w:p>
        </w:tc>
      </w:tr>
      <w:tr>
        <w:trPr>
          <w:trHeight w:val="250"/>
        </w:trPr>
        <w:tc>
          <w:tcPr>
            <w:tcW w:w="27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GM Financial net sales and revenue</w:t>
            </w:r>
          </w:p>
        </w:tc>
        <w:tc>
          <w:tcPr>
            <w:tcW w:w="1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w:t>
            </w: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6,984</w:t>
            </w: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center"/>
              <w:ind w:left="640"/>
              <w:spacing w:after="0"/>
              <w:rPr>
                <w:sz w:val="20"/>
                <w:szCs w:val="20"/>
                <w:color w:val="auto"/>
              </w:rPr>
            </w:pPr>
            <w:r>
              <w:rPr>
                <w:rFonts w:ascii="Arial" w:cs="Arial" w:eastAsia="Arial" w:hAnsi="Arial"/>
                <w:sz w:val="16"/>
                <w:szCs w:val="16"/>
                <w:color w:val="auto"/>
                <w:w w:val="98"/>
              </w:rPr>
              <w:t>(10)</w:t>
            </w: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6,974</w:t>
            </w:r>
          </w:p>
        </w:tc>
        <w:tc>
          <w:tcPr>
            <w:tcW w:w="0" w:type="dxa"/>
            <w:vAlign w:val="bottom"/>
          </w:tcPr>
          <w:p>
            <w:pPr>
              <w:spacing w:after="0"/>
              <w:rPr>
                <w:sz w:val="1"/>
                <w:szCs w:val="1"/>
                <w:color w:val="auto"/>
              </w:rPr>
            </w:pPr>
          </w:p>
        </w:tc>
      </w:tr>
      <w:tr>
        <w:trPr>
          <w:trHeight w:val="278"/>
        </w:trPr>
        <w:tc>
          <w:tcPr>
            <w:tcW w:w="2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 and revenue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37,435</w:t>
            </w:r>
          </w:p>
        </w:tc>
        <w:tc>
          <w:tcPr>
            <w:tcW w:w="4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w w:val="94"/>
              </w:rPr>
              <w:t>4,957</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3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6"/>
                <w:szCs w:val="16"/>
                <w:color w:val="auto"/>
              </w:rPr>
              <w:t>42,510</w:t>
            </w:r>
          </w:p>
        </w:tc>
        <w:tc>
          <w:tcPr>
            <w:tcW w:w="520" w:type="dxa"/>
            <w:vAlign w:val="bottom"/>
            <w:tcBorders>
              <w:bottom w:val="single" w:sz="8" w:color="CCEEFF"/>
            </w:tcBorders>
            <w:gridSpan w:val="3"/>
            <w:shd w:val="clear" w:color="auto" w:fill="CCEEFF"/>
          </w:tcPr>
          <w:p>
            <w:pPr>
              <w:jc w:val="right"/>
              <w:ind w:right="128"/>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53</w:t>
            </w:r>
          </w:p>
        </w:tc>
        <w:tc>
          <w:tcPr>
            <w:tcW w:w="46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6,984</w:t>
            </w:r>
          </w:p>
        </w:tc>
        <w:tc>
          <w:tcPr>
            <w:tcW w:w="56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center"/>
              <w:ind w:left="640"/>
              <w:spacing w:after="0"/>
              <w:rPr>
                <w:sz w:val="20"/>
                <w:szCs w:val="20"/>
                <w:color w:val="auto"/>
              </w:rPr>
            </w:pPr>
            <w:r>
              <w:rPr>
                <w:rFonts w:ascii="Arial" w:cs="Arial" w:eastAsia="Arial" w:hAnsi="Arial"/>
                <w:sz w:val="16"/>
                <w:szCs w:val="16"/>
                <w:color w:val="auto"/>
                <w:w w:val="98"/>
              </w:rPr>
              <w:t>(60)</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49,487</w:t>
            </w: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gridSpan w:val="4"/>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gridSpan w:val="4"/>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2"/>
        </w:trPr>
        <w:tc>
          <w:tcPr>
            <w:tcW w:w="2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12"/>
          </w:tcPr>
          <w:p>
            <w:pPr>
              <w:jc w:val="right"/>
              <w:spacing w:after="0"/>
              <w:rPr>
                <w:sz w:val="20"/>
                <w:szCs w:val="20"/>
                <w:color w:val="auto"/>
              </w:rPr>
            </w:pPr>
            <w:r>
              <w:rPr>
                <w:rFonts w:ascii="Arial" w:cs="Arial" w:eastAsia="Arial" w:hAnsi="Arial"/>
                <w:sz w:val="14"/>
                <w:szCs w:val="14"/>
                <w:b w:val="1"/>
                <w:bCs w:val="1"/>
                <w:color w:val="auto"/>
                <w:w w:val="95"/>
              </w:rPr>
              <w:t>Six Months Ended June 30, 2019</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4"/>
            <w:vMerge w:val="restart"/>
          </w:tcPr>
          <w:p>
            <w:pPr>
              <w:jc w:val="right"/>
              <w:ind w:right="200"/>
              <w:spacing w:after="0"/>
              <w:rPr>
                <w:sz w:val="20"/>
                <w:szCs w:val="20"/>
                <w:color w:val="auto"/>
              </w:rPr>
            </w:pPr>
            <w:r>
              <w:rPr>
                <w:rFonts w:ascii="Arial" w:cs="Arial" w:eastAsia="Arial" w:hAnsi="Arial"/>
                <w:sz w:val="14"/>
                <w:szCs w:val="14"/>
                <w:b w:val="1"/>
                <w:bCs w:val="1"/>
                <w:color w:val="auto"/>
              </w:rPr>
              <w:t>GMNA</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gridSpan w:val="4"/>
            <w:vMerge w:val="restart"/>
          </w:tcPr>
          <w:p>
            <w:pPr>
              <w:jc w:val="right"/>
              <w:ind w:right="120"/>
              <w:spacing w:after="0"/>
              <w:rPr>
                <w:sz w:val="20"/>
                <w:szCs w:val="20"/>
                <w:color w:val="auto"/>
              </w:rPr>
            </w:pPr>
            <w:r>
              <w:rPr>
                <w:rFonts w:ascii="Arial" w:cs="Arial" w:eastAsia="Arial" w:hAnsi="Arial"/>
                <w:sz w:val="14"/>
                <w:szCs w:val="14"/>
                <w:b w:val="1"/>
                <w:bCs w:val="1"/>
                <w:color w:val="auto"/>
              </w:rPr>
              <w:t>GMI</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4"/>
            <w:vMerge w:val="restart"/>
          </w:tcPr>
          <w:p>
            <w:pPr>
              <w:jc w:val="right"/>
              <w:ind w:right="20"/>
              <w:spacing w:after="0"/>
              <w:rPr>
                <w:sz w:val="20"/>
                <w:szCs w:val="20"/>
                <w:color w:val="auto"/>
              </w:rPr>
            </w:pPr>
            <w:r>
              <w:rPr>
                <w:rFonts w:ascii="Arial" w:cs="Arial" w:eastAsia="Arial" w:hAnsi="Arial"/>
                <w:sz w:val="14"/>
                <w:szCs w:val="14"/>
                <w:b w:val="1"/>
                <w:bCs w:val="1"/>
                <w:color w:val="auto"/>
              </w:rPr>
              <w:t>Corporate</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4"/>
          </w:tcPr>
          <w:p>
            <w:pPr>
              <w:jc w:val="center"/>
              <w:ind w:right="48"/>
              <w:spacing w:after="0" w:line="153" w:lineRule="exact"/>
              <w:rPr>
                <w:sz w:val="20"/>
                <w:szCs w:val="20"/>
                <w:color w:val="auto"/>
              </w:rPr>
            </w:pPr>
            <w:r>
              <w:rPr>
                <w:rFonts w:ascii="Arial" w:cs="Arial" w:eastAsia="Arial" w:hAnsi="Arial"/>
                <w:sz w:val="14"/>
                <w:szCs w:val="14"/>
                <w:b w:val="1"/>
                <w:bCs w:val="1"/>
                <w:color w:val="auto"/>
                <w:w w:val="95"/>
              </w:rPr>
              <w:t>Total</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Cruise</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gridSpan w:val="4"/>
          </w:tcPr>
          <w:p>
            <w:pPr>
              <w:jc w:val="center"/>
              <w:ind w:right="400"/>
              <w:spacing w:after="0" w:line="153" w:lineRule="exact"/>
              <w:rPr>
                <w:sz w:val="20"/>
                <w:szCs w:val="20"/>
                <w:color w:val="auto"/>
              </w:rPr>
            </w:pPr>
            <w:r>
              <w:rPr>
                <w:rFonts w:ascii="Arial" w:cs="Arial" w:eastAsia="Arial" w:hAnsi="Arial"/>
                <w:sz w:val="14"/>
                <w:szCs w:val="14"/>
                <w:b w:val="1"/>
                <w:bCs w:val="1"/>
                <w:color w:val="auto"/>
              </w:rPr>
              <w:t>GM</w:t>
            </w:r>
          </w:p>
        </w:tc>
        <w:tc>
          <w:tcPr>
            <w:tcW w:w="140" w:type="dxa"/>
            <w:vAlign w:val="bottom"/>
          </w:tcPr>
          <w:p>
            <w:pPr>
              <w:spacing w:after="0"/>
              <w:rPr>
                <w:sz w:val="13"/>
                <w:szCs w:val="13"/>
                <w:color w:val="auto"/>
              </w:rPr>
            </w:pPr>
          </w:p>
        </w:tc>
        <w:tc>
          <w:tcPr>
            <w:tcW w:w="1360" w:type="dxa"/>
            <w:vAlign w:val="bottom"/>
            <w:gridSpan w:val="3"/>
          </w:tcPr>
          <w:p>
            <w:pPr>
              <w:jc w:val="center"/>
              <w:ind w:right="260"/>
              <w:spacing w:after="0" w:line="153" w:lineRule="exact"/>
              <w:rPr>
                <w:sz w:val="20"/>
                <w:szCs w:val="20"/>
                <w:color w:val="auto"/>
              </w:rPr>
            </w:pPr>
            <w:r>
              <w:rPr>
                <w:rFonts w:ascii="Arial" w:cs="Arial" w:eastAsia="Arial" w:hAnsi="Arial"/>
                <w:sz w:val="14"/>
                <w:szCs w:val="14"/>
                <w:b w:val="1"/>
                <w:bCs w:val="1"/>
                <w:color w:val="auto"/>
                <w:w w:val="94"/>
              </w:rPr>
              <w:t>Eliminations/</w:t>
            </w:r>
          </w:p>
        </w:tc>
        <w:tc>
          <w:tcPr>
            <w:tcW w:w="180" w:type="dxa"/>
            <w:vAlign w:val="bottom"/>
          </w:tcPr>
          <w:p>
            <w:pPr>
              <w:spacing w:after="0"/>
              <w:rPr>
                <w:sz w:val="13"/>
                <w:szCs w:val="13"/>
                <w:color w:val="auto"/>
              </w:rPr>
            </w:pPr>
          </w:p>
        </w:tc>
        <w:tc>
          <w:tcPr>
            <w:tcW w:w="66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76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4"/>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gridSpan w:val="4"/>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gridSpan w:val="4"/>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4"/>
          </w:tcPr>
          <w:p>
            <w:pPr>
              <w:jc w:val="center"/>
              <w:ind w:right="48"/>
              <w:spacing w:after="0"/>
              <w:rPr>
                <w:sz w:val="20"/>
                <w:szCs w:val="20"/>
                <w:color w:val="auto"/>
              </w:rPr>
            </w:pPr>
            <w:r>
              <w:rPr>
                <w:rFonts w:ascii="Arial" w:cs="Arial" w:eastAsia="Arial" w:hAnsi="Arial"/>
                <w:sz w:val="14"/>
                <w:szCs w:val="14"/>
                <w:b w:val="1"/>
                <w:bCs w:val="1"/>
                <w:color w:val="auto"/>
                <w:w w:val="93"/>
              </w:rPr>
              <w:t>Automotive</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gridSpan w:val="3"/>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5"/>
              </w:rPr>
              <w:t>Financial</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89"/>
              </w:rPr>
              <w:t>Reclassifications</w:t>
            </w:r>
          </w:p>
        </w:tc>
        <w:tc>
          <w:tcPr>
            <w:tcW w:w="120" w:type="dxa"/>
            <w:vAlign w:val="bottom"/>
            <w:tcBorders>
              <w:bottom w:val="single" w:sz="8" w:color="CCEEFF"/>
            </w:tcBorders>
            <w:gridSpan w:val="2"/>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Vehicle, parts and accessories</w:t>
            </w:r>
          </w:p>
        </w:tc>
        <w:tc>
          <w:tcPr>
            <w:tcW w:w="140" w:type="dxa"/>
            <w:vAlign w:val="bottom"/>
            <w:shd w:val="clear" w:color="auto" w:fill="CCEEFF"/>
          </w:tcPr>
          <w:p>
            <w:pPr>
              <w:spacing w:after="0"/>
              <w:rPr>
                <w:sz w:val="22"/>
                <w:szCs w:val="22"/>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4"/>
            <w:shd w:val="clear" w:color="auto" w:fill="CCEEFF"/>
          </w:tcPr>
          <w:p>
            <w:pPr>
              <w:jc w:val="right"/>
              <w:ind w:right="140"/>
              <w:spacing w:after="0"/>
              <w:rPr>
                <w:sz w:val="20"/>
                <w:szCs w:val="20"/>
                <w:color w:val="auto"/>
              </w:rPr>
            </w:pPr>
            <w:r>
              <w:rPr>
                <w:rFonts w:ascii="Arial" w:cs="Arial" w:eastAsia="Arial" w:hAnsi="Arial"/>
                <w:sz w:val="16"/>
                <w:szCs w:val="16"/>
                <w:color w:val="auto"/>
              </w:rPr>
              <w:t>52,938</w:t>
            </w:r>
          </w:p>
        </w:tc>
        <w:tc>
          <w:tcPr>
            <w:tcW w:w="220" w:type="dxa"/>
            <w:vAlign w:val="bottom"/>
            <w:gridSpan w:val="2"/>
            <w:shd w:val="clear" w:color="auto" w:fill="CCEEFF"/>
          </w:tcPr>
          <w:p>
            <w:pPr>
              <w:jc w:val="center"/>
              <w:ind w:left="40"/>
              <w:spacing w:after="0"/>
              <w:rPr>
                <w:sz w:val="20"/>
                <w:szCs w:val="20"/>
                <w:color w:val="auto"/>
              </w:rPr>
            </w:pPr>
            <w:r>
              <w:rPr>
                <w:rFonts w:ascii="Arial" w:cs="Arial" w:eastAsia="Arial" w:hAnsi="Arial"/>
                <w:sz w:val="16"/>
                <w:szCs w:val="16"/>
                <w:color w:val="auto"/>
              </w:rPr>
              <w:t>$</w:t>
            </w:r>
          </w:p>
        </w:tc>
        <w:tc>
          <w:tcPr>
            <w:tcW w:w="540" w:type="dxa"/>
            <w:vAlign w:val="bottom"/>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7,311</w:t>
            </w:r>
          </w:p>
        </w:tc>
        <w:tc>
          <w:tcPr>
            <w:tcW w:w="700" w:type="dxa"/>
            <w:vAlign w:val="bottom"/>
            <w:gridSpan w:val="3"/>
            <w:shd w:val="clear" w:color="auto" w:fill="CCEEFF"/>
          </w:tcPr>
          <w:p>
            <w:pPr>
              <w:jc w:val="right"/>
              <w:ind w:right="302"/>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360" w:type="dxa"/>
            <w:vAlign w:val="bottom"/>
            <w:gridSpan w:val="3"/>
            <w:shd w:val="clear" w:color="auto" w:fill="CCEEFF"/>
          </w:tcPr>
          <w:p>
            <w:pPr>
              <w:ind w:left="260"/>
              <w:spacing w:after="0"/>
              <w:rPr>
                <w:sz w:val="20"/>
                <w:szCs w:val="20"/>
                <w:color w:val="auto"/>
              </w:rPr>
            </w:pPr>
            <w:r>
              <w:rPr>
                <w:rFonts w:ascii="Arial" w:cs="Arial" w:eastAsia="Arial" w:hAnsi="Arial"/>
                <w:sz w:val="16"/>
                <w:szCs w:val="16"/>
                <w:color w:val="auto"/>
                <w:w w:val="89"/>
              </w:rPr>
              <w:t>$</w:t>
            </w:r>
          </w:p>
        </w:tc>
        <w:tc>
          <w:tcPr>
            <w:tcW w:w="920" w:type="dxa"/>
            <w:vAlign w:val="bottom"/>
            <w:gridSpan w:val="4"/>
            <w:shd w:val="clear" w:color="auto" w:fill="CCEEFF"/>
          </w:tcPr>
          <w:p>
            <w:pPr>
              <w:jc w:val="right"/>
              <w:ind w:right="68"/>
              <w:spacing w:after="0"/>
              <w:rPr>
                <w:sz w:val="20"/>
                <w:szCs w:val="20"/>
                <w:color w:val="auto"/>
              </w:rPr>
            </w:pPr>
            <w:r>
              <w:rPr>
                <w:rFonts w:ascii="Arial" w:cs="Arial" w:eastAsia="Arial" w:hAnsi="Arial"/>
                <w:sz w:val="16"/>
                <w:szCs w:val="16"/>
                <w:color w:val="auto"/>
              </w:rPr>
              <w:t>60,249</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480" w:type="dxa"/>
            <w:vAlign w:val="bottom"/>
            <w:gridSpan w:val="3"/>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gridSpan w:val="3"/>
            <w:shd w:val="clear" w:color="auto" w:fill="CCEEFF"/>
          </w:tcPr>
          <w:p>
            <w:pPr>
              <w:jc w:val="center"/>
              <w:ind w:left="600"/>
              <w:spacing w:after="0"/>
              <w:rPr>
                <w:sz w:val="20"/>
                <w:szCs w:val="20"/>
                <w:color w:val="auto"/>
              </w:rPr>
            </w:pPr>
            <w:r>
              <w:rPr>
                <w:rFonts w:ascii="Arial" w:cs="Arial" w:eastAsia="Arial" w:hAnsi="Arial"/>
                <w:sz w:val="16"/>
                <w:szCs w:val="16"/>
                <w:color w:val="auto"/>
                <w:w w:val="99"/>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60,249</w:t>
            </w:r>
          </w:p>
        </w:tc>
        <w:tc>
          <w:tcPr>
            <w:tcW w:w="0" w:type="dxa"/>
            <w:vAlign w:val="bottom"/>
          </w:tcPr>
          <w:p>
            <w:pPr>
              <w:spacing w:after="0"/>
              <w:rPr>
                <w:sz w:val="1"/>
                <w:szCs w:val="1"/>
                <w:color w:val="auto"/>
              </w:rPr>
            </w:pPr>
          </w:p>
        </w:tc>
      </w:tr>
      <w:tr>
        <w:trPr>
          <w:trHeight w:val="254"/>
        </w:trPr>
        <w:tc>
          <w:tcPr>
            <w:tcW w:w="2760" w:type="dxa"/>
            <w:vAlign w:val="bottom"/>
          </w:tcPr>
          <w:p>
            <w:pPr>
              <w:ind w:left="20"/>
              <w:spacing w:after="0"/>
              <w:rPr>
                <w:sz w:val="20"/>
                <w:szCs w:val="20"/>
                <w:color w:val="auto"/>
              </w:rPr>
            </w:pPr>
            <w:r>
              <w:rPr>
                <w:rFonts w:ascii="Arial" w:cs="Arial" w:eastAsia="Arial" w:hAnsi="Arial"/>
                <w:sz w:val="16"/>
                <w:szCs w:val="16"/>
                <w:color w:val="auto"/>
              </w:rPr>
              <w:t>Used vehicles</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gridSpan w:val="4"/>
          </w:tcPr>
          <w:p>
            <w:pPr>
              <w:jc w:val="right"/>
              <w:ind w:right="140"/>
              <w:spacing w:after="0"/>
              <w:rPr>
                <w:sz w:val="20"/>
                <w:szCs w:val="20"/>
                <w:color w:val="auto"/>
              </w:rPr>
            </w:pPr>
            <w:r>
              <w:rPr>
                <w:rFonts w:ascii="Arial" w:cs="Arial" w:eastAsia="Arial" w:hAnsi="Arial"/>
                <w:sz w:val="16"/>
                <w:szCs w:val="16"/>
                <w:color w:val="auto"/>
              </w:rPr>
              <w:t>1,204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gridSpan w:val="3"/>
          </w:tcPr>
          <w:p>
            <w:pPr>
              <w:jc w:val="right"/>
              <w:ind w:right="20"/>
              <w:spacing w:after="0"/>
              <w:rPr>
                <w:sz w:val="20"/>
                <w:szCs w:val="20"/>
                <w:color w:val="auto"/>
              </w:rPr>
            </w:pPr>
            <w:r>
              <w:rPr>
                <w:rFonts w:ascii="Arial" w:cs="Arial" w:eastAsia="Arial" w:hAnsi="Arial"/>
                <w:sz w:val="16"/>
                <w:szCs w:val="16"/>
                <w:color w:val="auto"/>
              </w:rPr>
              <w:t>64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20" w:type="dxa"/>
            <w:vAlign w:val="bottom"/>
            <w:gridSpan w:val="3"/>
          </w:tcPr>
          <w:p>
            <w:pPr>
              <w:jc w:val="right"/>
              <w:ind w:right="68"/>
              <w:spacing w:after="0"/>
              <w:rPr>
                <w:sz w:val="20"/>
                <w:szCs w:val="20"/>
                <w:color w:val="auto"/>
              </w:rPr>
            </w:pPr>
            <w:r>
              <w:rPr>
                <w:rFonts w:ascii="Arial" w:cs="Arial" w:eastAsia="Arial" w:hAnsi="Arial"/>
                <w:sz w:val="16"/>
                <w:szCs w:val="16"/>
                <w:color w:val="auto"/>
                <w:w w:val="89"/>
              </w:rPr>
              <w:t>1,268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360" w:type="dxa"/>
            <w:vAlign w:val="bottom"/>
            <w:gridSpan w:val="3"/>
          </w:tcPr>
          <w:p>
            <w:pPr>
              <w:jc w:val="center"/>
              <w:ind w:left="600"/>
              <w:spacing w:after="0"/>
              <w:rPr>
                <w:sz w:val="20"/>
                <w:szCs w:val="20"/>
                <w:color w:val="auto"/>
              </w:rPr>
            </w:pPr>
            <w:r>
              <w:rPr>
                <w:rFonts w:ascii="Arial" w:cs="Arial" w:eastAsia="Arial" w:hAnsi="Arial"/>
                <w:sz w:val="16"/>
                <w:szCs w:val="16"/>
                <w:color w:val="auto"/>
                <w:w w:val="99"/>
              </w:rPr>
              <w:t>—</w:t>
            </w:r>
          </w:p>
        </w:tc>
        <w:tc>
          <w:tcPr>
            <w:tcW w:w="180" w:type="dxa"/>
            <w:vAlign w:val="bottom"/>
          </w:tcPr>
          <w:p>
            <w:pPr>
              <w:spacing w:after="0"/>
              <w:rPr>
                <w:sz w:val="22"/>
                <w:szCs w:val="22"/>
                <w:color w:val="auto"/>
              </w:rPr>
            </w:pPr>
          </w:p>
        </w:tc>
        <w:tc>
          <w:tcPr>
            <w:tcW w:w="660" w:type="dxa"/>
            <w:vAlign w:val="bottom"/>
          </w:tcPr>
          <w:p>
            <w:pPr>
              <w:jc w:val="right"/>
              <w:ind w:right="60"/>
              <w:spacing w:after="0"/>
              <w:rPr>
                <w:sz w:val="20"/>
                <w:szCs w:val="20"/>
                <w:color w:val="auto"/>
              </w:rPr>
            </w:pPr>
            <w:r>
              <w:rPr>
                <w:rFonts w:ascii="Arial" w:cs="Arial" w:eastAsia="Arial" w:hAnsi="Arial"/>
                <w:sz w:val="16"/>
                <w:szCs w:val="16"/>
                <w:color w:val="auto"/>
              </w:rPr>
              <w:t>1,268</w:t>
            </w:r>
          </w:p>
        </w:tc>
        <w:tc>
          <w:tcPr>
            <w:tcW w:w="0" w:type="dxa"/>
            <w:vAlign w:val="bottom"/>
          </w:tcPr>
          <w:p>
            <w:pPr>
              <w:spacing w:after="0"/>
              <w:rPr>
                <w:sz w:val="1"/>
                <w:szCs w:val="1"/>
                <w:color w:val="auto"/>
              </w:rPr>
            </w:pPr>
          </w:p>
        </w:tc>
      </w:tr>
      <w:tr>
        <w:trPr>
          <w:trHeight w:val="259"/>
        </w:trPr>
        <w:tc>
          <w:tcPr>
            <w:tcW w:w="2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Services and other</w:t>
            </w:r>
          </w:p>
        </w:tc>
        <w:tc>
          <w:tcPr>
            <w:tcW w:w="1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Arial" w:cs="Arial" w:eastAsia="Arial" w:hAnsi="Arial"/>
                <w:sz w:val="16"/>
                <w:szCs w:val="16"/>
                <w:color w:val="auto"/>
              </w:rPr>
              <w:t>1,547</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522</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gridSpan w:val="3"/>
            <w:shd w:val="clear" w:color="auto" w:fill="CCEEFF"/>
          </w:tcPr>
          <w:p>
            <w:pPr>
              <w:jc w:val="right"/>
              <w:ind w:right="68"/>
              <w:spacing w:after="0"/>
              <w:rPr>
                <w:sz w:val="20"/>
                <w:szCs w:val="20"/>
                <w:color w:val="auto"/>
              </w:rPr>
            </w:pPr>
            <w:r>
              <w:rPr>
                <w:rFonts w:ascii="Arial" w:cs="Arial" w:eastAsia="Arial" w:hAnsi="Arial"/>
                <w:sz w:val="16"/>
                <w:szCs w:val="16"/>
                <w:color w:val="auto"/>
                <w:w w:val="89"/>
              </w:rPr>
              <w:t>2,169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6"/>
                <w:szCs w:val="16"/>
                <w:color w:val="auto"/>
              </w:rPr>
              <w:t>50</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2,169</w:t>
            </w:r>
          </w:p>
        </w:tc>
        <w:tc>
          <w:tcPr>
            <w:tcW w:w="0" w:type="dxa"/>
            <w:vAlign w:val="bottom"/>
          </w:tcPr>
          <w:p>
            <w:pPr>
              <w:spacing w:after="0"/>
              <w:rPr>
                <w:sz w:val="1"/>
                <w:szCs w:val="1"/>
                <w:color w:val="auto"/>
              </w:rPr>
            </w:pPr>
          </w:p>
        </w:tc>
      </w:tr>
      <w:tr>
        <w:trPr>
          <w:trHeight w:val="247"/>
        </w:trPr>
        <w:tc>
          <w:tcPr>
            <w:tcW w:w="2760" w:type="dxa"/>
            <w:vAlign w:val="bottom"/>
          </w:tcPr>
          <w:p>
            <w:pPr>
              <w:ind w:left="140"/>
              <w:spacing w:after="0"/>
              <w:rPr>
                <w:sz w:val="20"/>
                <w:szCs w:val="20"/>
                <w:color w:val="auto"/>
              </w:rPr>
            </w:pPr>
            <w:r>
              <w:rPr>
                <w:rFonts w:ascii="Arial" w:cs="Arial" w:eastAsia="Arial" w:hAnsi="Arial"/>
                <w:sz w:val="16"/>
                <w:szCs w:val="16"/>
                <w:color w:val="auto"/>
              </w:rPr>
              <w:t>Automotive net sales and revenue</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gridSpan w:val="4"/>
          </w:tcPr>
          <w:p>
            <w:pPr>
              <w:jc w:val="right"/>
              <w:ind w:right="140"/>
              <w:spacing w:after="0"/>
              <w:rPr>
                <w:sz w:val="20"/>
                <w:szCs w:val="20"/>
                <w:color w:val="auto"/>
              </w:rPr>
            </w:pPr>
            <w:r>
              <w:rPr>
                <w:rFonts w:ascii="Arial" w:cs="Arial" w:eastAsia="Arial" w:hAnsi="Arial"/>
                <w:sz w:val="16"/>
                <w:szCs w:val="16"/>
                <w:color w:val="auto"/>
              </w:rPr>
              <w:t>55,689</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gridSpan w:val="4"/>
          </w:tcPr>
          <w:p>
            <w:pPr>
              <w:jc w:val="right"/>
              <w:ind w:right="20"/>
              <w:spacing w:after="0"/>
              <w:rPr>
                <w:sz w:val="20"/>
                <w:szCs w:val="20"/>
                <w:color w:val="auto"/>
              </w:rPr>
            </w:pPr>
            <w:r>
              <w:rPr>
                <w:rFonts w:ascii="Arial" w:cs="Arial" w:eastAsia="Arial" w:hAnsi="Arial"/>
                <w:sz w:val="16"/>
                <w:szCs w:val="16"/>
                <w:color w:val="auto"/>
              </w:rPr>
              <w:t>7,897</w:t>
            </w:r>
          </w:p>
        </w:tc>
        <w:tc>
          <w:tcPr>
            <w:tcW w:w="1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6"/>
                <w:szCs w:val="16"/>
                <w:color w:val="auto"/>
              </w:rPr>
              <w:t>100</w:t>
            </w:r>
          </w:p>
        </w:tc>
        <w:tc>
          <w:tcPr>
            <w:tcW w:w="1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gridSpan w:val="4"/>
          </w:tcPr>
          <w:p>
            <w:pPr>
              <w:jc w:val="right"/>
              <w:ind w:right="68"/>
              <w:spacing w:after="0"/>
              <w:rPr>
                <w:sz w:val="20"/>
                <w:szCs w:val="20"/>
                <w:color w:val="auto"/>
              </w:rPr>
            </w:pPr>
            <w:r>
              <w:rPr>
                <w:rFonts w:ascii="Arial" w:cs="Arial" w:eastAsia="Arial" w:hAnsi="Arial"/>
                <w:sz w:val="16"/>
                <w:szCs w:val="16"/>
                <w:color w:val="auto"/>
              </w:rPr>
              <w:t>63,686</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gridSpan w:val="3"/>
          </w:tcPr>
          <w:p>
            <w:pPr>
              <w:ind w:left="220"/>
              <w:spacing w:after="0"/>
              <w:rPr>
                <w:sz w:val="20"/>
                <w:szCs w:val="20"/>
                <w:color w:val="auto"/>
              </w:rPr>
            </w:pPr>
            <w:r>
              <w:rPr>
                <w:rFonts w:ascii="Arial" w:cs="Arial" w:eastAsia="Arial" w:hAnsi="Arial"/>
                <w:sz w:val="16"/>
                <w:szCs w:val="16"/>
                <w:color w:val="auto"/>
              </w:rPr>
              <w:t>50</w:t>
            </w:r>
          </w:p>
        </w:tc>
        <w:tc>
          <w:tcPr>
            <w:tcW w:w="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63,686</w:t>
            </w:r>
          </w:p>
        </w:tc>
        <w:tc>
          <w:tcPr>
            <w:tcW w:w="0" w:type="dxa"/>
            <w:vAlign w:val="bottom"/>
          </w:tcPr>
          <w:p>
            <w:pPr>
              <w:spacing w:after="0"/>
              <w:rPr>
                <w:sz w:val="1"/>
                <w:szCs w:val="1"/>
                <w:color w:val="auto"/>
              </w:rPr>
            </w:pPr>
          </w:p>
        </w:tc>
      </w:tr>
      <w:tr>
        <w:trPr>
          <w:trHeight w:val="260"/>
        </w:trPr>
        <w:tc>
          <w:tcPr>
            <w:tcW w:w="2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Leased vehicle income</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0" w:type="dxa"/>
            <w:vAlign w:val="bottom"/>
            <w:gridSpan w:val="2"/>
            <w:shd w:val="clear" w:color="auto" w:fill="CCEEFF"/>
          </w:tcPr>
          <w:p>
            <w:pPr>
              <w:jc w:val="right"/>
              <w:ind w:right="68"/>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w w:val="99"/>
              </w:rPr>
              <w:t>5,021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60" w:type="dxa"/>
            <w:vAlign w:val="bottom"/>
            <w:gridSpan w:val="3"/>
            <w:shd w:val="clear" w:color="auto" w:fill="CCEEFF"/>
          </w:tcPr>
          <w:p>
            <w:pPr>
              <w:jc w:val="center"/>
              <w:ind w:left="600"/>
              <w:spacing w:after="0"/>
              <w:rPr>
                <w:sz w:val="20"/>
                <w:szCs w:val="20"/>
                <w:color w:val="auto"/>
              </w:rPr>
            </w:pPr>
            <w:r>
              <w:rPr>
                <w:rFonts w:ascii="Arial" w:cs="Arial" w:eastAsia="Arial" w:hAnsi="Arial"/>
                <w:sz w:val="16"/>
                <w:szCs w:val="16"/>
                <w:color w:val="auto"/>
                <w:w w:val="99"/>
              </w:rPr>
              <w:t>—</w:t>
            </w:r>
          </w:p>
        </w:tc>
        <w:tc>
          <w:tcPr>
            <w:tcW w:w="18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5,021</w:t>
            </w:r>
          </w:p>
        </w:tc>
        <w:tc>
          <w:tcPr>
            <w:tcW w:w="0" w:type="dxa"/>
            <w:vAlign w:val="bottom"/>
          </w:tcPr>
          <w:p>
            <w:pPr>
              <w:spacing w:after="0"/>
              <w:rPr>
                <w:sz w:val="1"/>
                <w:szCs w:val="1"/>
                <w:color w:val="auto"/>
              </w:rPr>
            </w:pPr>
          </w:p>
        </w:tc>
      </w:tr>
      <w:tr>
        <w:trPr>
          <w:trHeight w:val="253"/>
        </w:trPr>
        <w:tc>
          <w:tcPr>
            <w:tcW w:w="2760" w:type="dxa"/>
            <w:vAlign w:val="bottom"/>
          </w:tcPr>
          <w:p>
            <w:pPr>
              <w:ind w:left="20"/>
              <w:spacing w:after="0"/>
              <w:rPr>
                <w:sz w:val="20"/>
                <w:szCs w:val="20"/>
                <w:color w:val="auto"/>
              </w:rPr>
            </w:pPr>
            <w:r>
              <w:rPr>
                <w:rFonts w:ascii="Arial" w:cs="Arial" w:eastAsia="Arial" w:hAnsi="Arial"/>
                <w:sz w:val="16"/>
                <w:szCs w:val="16"/>
                <w:color w:val="auto"/>
              </w:rPr>
              <w:t>Finance charge income</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gridSpan w:val="2"/>
          </w:tcPr>
          <w:p>
            <w:pPr>
              <w:jc w:val="right"/>
              <w:ind w:right="68"/>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6"/>
                <w:szCs w:val="16"/>
                <w:color w:val="auto"/>
                <w:w w:val="99"/>
              </w:rPr>
              <w:t>1,995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(4)</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jc w:val="right"/>
              <w:ind w:right="60"/>
              <w:spacing w:after="0"/>
              <w:rPr>
                <w:sz w:val="20"/>
                <w:szCs w:val="20"/>
                <w:color w:val="auto"/>
              </w:rPr>
            </w:pPr>
            <w:r>
              <w:rPr>
                <w:rFonts w:ascii="Arial" w:cs="Arial" w:eastAsia="Arial" w:hAnsi="Arial"/>
                <w:sz w:val="16"/>
                <w:szCs w:val="16"/>
                <w:color w:val="auto"/>
              </w:rPr>
              <w:t>1,991</w:t>
            </w:r>
          </w:p>
        </w:tc>
        <w:tc>
          <w:tcPr>
            <w:tcW w:w="0" w:type="dxa"/>
            <w:vAlign w:val="bottom"/>
          </w:tcPr>
          <w:p>
            <w:pPr>
              <w:spacing w:after="0"/>
              <w:rPr>
                <w:sz w:val="1"/>
                <w:szCs w:val="1"/>
                <w:color w:val="auto"/>
              </w:rPr>
            </w:pPr>
          </w:p>
        </w:tc>
      </w:tr>
      <w:tr>
        <w:trPr>
          <w:trHeight w:val="260"/>
        </w:trPr>
        <w:tc>
          <w:tcPr>
            <w:tcW w:w="2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0" w:type="dxa"/>
            <w:vAlign w:val="bottom"/>
            <w:gridSpan w:val="2"/>
            <w:shd w:val="clear" w:color="auto" w:fill="CCEEFF"/>
          </w:tcPr>
          <w:p>
            <w:pPr>
              <w:jc w:val="right"/>
              <w:ind w:right="68"/>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243</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240</w:t>
            </w:r>
          </w:p>
        </w:tc>
        <w:tc>
          <w:tcPr>
            <w:tcW w:w="0" w:type="dxa"/>
            <w:vAlign w:val="bottom"/>
          </w:tcPr>
          <w:p>
            <w:pPr>
              <w:spacing w:after="0"/>
              <w:rPr>
                <w:sz w:val="1"/>
                <w:szCs w:val="1"/>
                <w:color w:val="auto"/>
              </w:rPr>
            </w:pPr>
          </w:p>
        </w:tc>
      </w:tr>
      <w:tr>
        <w:trPr>
          <w:trHeight w:val="253"/>
        </w:trPr>
        <w:tc>
          <w:tcPr>
            <w:tcW w:w="27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GM Financial net sales and revenue</w:t>
            </w:r>
          </w:p>
        </w:tc>
        <w:tc>
          <w:tcPr>
            <w:tcW w:w="14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6"/>
                <w:szCs w:val="16"/>
                <w:color w:val="auto"/>
                <w:w w:val="99"/>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gridSpan w:val="2"/>
          </w:tcPr>
          <w:p>
            <w:pPr>
              <w:jc w:val="right"/>
              <w:ind w:right="68"/>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color w:val="auto"/>
                <w:w w:val="99"/>
              </w:rPr>
              <w:t>7,259</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w:t>
            </w: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7,252</w:t>
            </w:r>
          </w:p>
        </w:tc>
        <w:tc>
          <w:tcPr>
            <w:tcW w:w="0" w:type="dxa"/>
            <w:vAlign w:val="bottom"/>
          </w:tcPr>
          <w:p>
            <w:pPr>
              <w:spacing w:after="0"/>
              <w:rPr>
                <w:sz w:val="1"/>
                <w:szCs w:val="1"/>
                <w:color w:val="auto"/>
              </w:rPr>
            </w:pPr>
          </w:p>
        </w:tc>
      </w:tr>
      <w:tr>
        <w:trPr>
          <w:trHeight w:val="278"/>
        </w:trPr>
        <w:tc>
          <w:tcPr>
            <w:tcW w:w="2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 and revenue</w:t>
            </w:r>
          </w:p>
        </w:tc>
        <w:tc>
          <w:tcPr>
            <w:tcW w:w="1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Arial" w:cs="Arial" w:eastAsia="Arial" w:hAnsi="Arial"/>
                <w:sz w:val="16"/>
                <w:szCs w:val="16"/>
                <w:color w:val="auto"/>
              </w:rPr>
              <w:t>55,689</w:t>
            </w:r>
          </w:p>
        </w:tc>
        <w:tc>
          <w:tcPr>
            <w:tcW w:w="220" w:type="dxa"/>
            <w:vAlign w:val="bottom"/>
            <w:tcBorders>
              <w:bottom w:val="single" w:sz="8" w:color="CCEEFF"/>
            </w:tcBorders>
            <w:gridSpan w:val="2"/>
            <w:shd w:val="clear" w:color="auto" w:fill="CCEEFF"/>
          </w:tcPr>
          <w:p>
            <w:pPr>
              <w:jc w:val="center"/>
              <w:ind w:left="4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7,897</w:t>
            </w:r>
          </w:p>
        </w:tc>
        <w:tc>
          <w:tcPr>
            <w:tcW w:w="700" w:type="dxa"/>
            <w:vAlign w:val="bottom"/>
            <w:tcBorders>
              <w:bottom w:val="single" w:sz="8" w:color="CCEEFF"/>
            </w:tcBorders>
            <w:gridSpan w:val="3"/>
            <w:shd w:val="clear" w:color="auto" w:fill="CCEEFF"/>
          </w:tcPr>
          <w:p>
            <w:pPr>
              <w:jc w:val="right"/>
              <w:ind w:right="302"/>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100</w:t>
            </w:r>
          </w:p>
        </w:tc>
        <w:tc>
          <w:tcPr>
            <w:tcW w:w="360" w:type="dxa"/>
            <w:vAlign w:val="bottom"/>
            <w:tcBorders>
              <w:bottom w:val="single" w:sz="8" w:color="CCEEFF"/>
            </w:tcBorders>
            <w:gridSpan w:val="3"/>
            <w:shd w:val="clear" w:color="auto" w:fill="CCEEFF"/>
          </w:tcPr>
          <w:p>
            <w:pPr>
              <w:ind w:left="260"/>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gridSpan w:val="4"/>
            <w:shd w:val="clear" w:color="auto" w:fill="CCEEFF"/>
          </w:tcPr>
          <w:p>
            <w:pPr>
              <w:jc w:val="right"/>
              <w:ind w:right="68"/>
              <w:spacing w:after="0"/>
              <w:rPr>
                <w:sz w:val="20"/>
                <w:szCs w:val="20"/>
                <w:color w:val="auto"/>
              </w:rPr>
            </w:pPr>
            <w:r>
              <w:rPr>
                <w:rFonts w:ascii="Arial" w:cs="Arial" w:eastAsia="Arial" w:hAnsi="Arial"/>
                <w:sz w:val="16"/>
                <w:szCs w:val="16"/>
                <w:color w:val="auto"/>
              </w:rPr>
              <w:t>63,686</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6"/>
                <w:szCs w:val="16"/>
                <w:color w:val="auto"/>
              </w:rPr>
              <w:t>50</w:t>
            </w:r>
          </w:p>
        </w:tc>
        <w:tc>
          <w:tcPr>
            <w:tcW w:w="480" w:type="dxa"/>
            <w:vAlign w:val="bottom"/>
            <w:tcBorders>
              <w:bottom w:val="single" w:sz="8" w:color="CCEEFF"/>
            </w:tcBorders>
            <w:gridSpan w:val="3"/>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w w:val="99"/>
              </w:rPr>
              <w:t>7,259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(57)</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70,938</w:t>
            </w: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ind w:firstLine="162"/>
        <w:spacing w:after="0" w:line="342" w:lineRule="auto"/>
        <w:rPr>
          <w:sz w:val="20"/>
          <w:szCs w:val="20"/>
          <w:color w:val="auto"/>
        </w:rPr>
      </w:pPr>
      <w:r>
        <w:rPr>
          <w:rFonts w:ascii="Arial" w:cs="Arial" w:eastAsia="Arial" w:hAnsi="Arial"/>
          <w:sz w:val="16"/>
          <w:szCs w:val="16"/>
          <w:color w:val="auto"/>
        </w:rPr>
        <w:t>Revenue is measured as the amount of consideration we expect to receive in exchange for transferring goods or providing services. Adjustments to sales incentives for previously recognized sales increased revenue by $470 million and were insignificant in the three months ended June 30, 2020 and 2019.</w:t>
      </w:r>
    </w:p>
    <w:p>
      <w:pPr>
        <w:spacing w:after="0" w:line="151" w:lineRule="exact"/>
        <w:rPr>
          <w:sz w:val="20"/>
          <w:szCs w:val="20"/>
          <w:color w:val="auto"/>
        </w:rPr>
      </w:pPr>
    </w:p>
    <w:p>
      <w:pPr>
        <w:jc w:val="both"/>
        <w:ind w:firstLine="162"/>
        <w:spacing w:after="0" w:line="275" w:lineRule="auto"/>
        <w:rPr>
          <w:sz w:val="20"/>
          <w:szCs w:val="20"/>
          <w:color w:val="auto"/>
        </w:rPr>
      </w:pPr>
      <w:r>
        <w:rPr>
          <w:rFonts w:ascii="Arial" w:cs="Arial" w:eastAsia="Arial" w:hAnsi="Arial"/>
          <w:sz w:val="17"/>
          <w:szCs w:val="17"/>
          <w:color w:val="auto"/>
        </w:rPr>
        <w:t>Contract liabilities in our Automotive segments primarily consist of maintenance, extended warranty and other service contracts of $2.3 billion and $2.2 billion at June 30, 2020 and December 31, 2019, which are included in Accrued liabilities and Other liabilities. We recognized revenue of $241 million and $627 million related to contract liabilities in the three and six months ended June 30, 2020 and $469 million and $902 million in the three and six months ended June 30, 2019. We expect to recognize revenue of $651 million in the six months ending December 31, 2020 and $718 million, $381 million and $533 million in the years ending December 31, 2021, 2022 and thereafter related to contract liabilities at June 30, 2020.</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Marketable and Other Securities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fair value of cash equivalents and marketable debt securities, which approximates cost:</w:t>
      </w:r>
    </w:p>
    <w:p>
      <w:pPr>
        <w:spacing w:after="0" w:line="13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Fair Value</w:t>
            </w:r>
          </w:p>
        </w:tc>
        <w:tc>
          <w:tcPr>
            <w:tcW w:w="240" w:type="dxa"/>
            <w:vAlign w:val="bottom"/>
          </w:tcPr>
          <w:p>
            <w:pPr>
              <w:spacing w:after="0"/>
              <w:rPr>
                <w:sz w:val="14"/>
                <w:szCs w:val="14"/>
                <w:color w:val="auto"/>
              </w:rPr>
            </w:pPr>
          </w:p>
        </w:tc>
        <w:tc>
          <w:tcPr>
            <w:tcW w:w="138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June 30, 2020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6"/>
              </w:rPr>
              <w:t>December 31, 2019</w:t>
            </w:r>
          </w:p>
        </w:tc>
        <w:tc>
          <w:tcPr>
            <w:tcW w:w="0" w:type="dxa"/>
            <w:vAlign w:val="bottom"/>
          </w:tcPr>
          <w:p>
            <w:pPr>
              <w:spacing w:after="0"/>
              <w:rPr>
                <w:sz w:val="1"/>
                <w:szCs w:val="1"/>
                <w:color w:val="auto"/>
              </w:rPr>
            </w:pPr>
          </w:p>
        </w:tc>
      </w:tr>
      <w:tr>
        <w:trPr>
          <w:trHeight w:val="192"/>
        </w:trPr>
        <w:tc>
          <w:tcPr>
            <w:tcW w:w="6820" w:type="dxa"/>
            <w:vAlign w:val="bottom"/>
          </w:tcPr>
          <w:p>
            <w:pPr>
              <w:spacing w:after="0"/>
              <w:rPr>
                <w:sz w:val="16"/>
                <w:szCs w:val="16"/>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Level</w:t>
            </w:r>
          </w:p>
        </w:tc>
        <w:tc>
          <w:tcPr>
            <w:tcW w:w="24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820" w:type="dxa"/>
            <w:vAlign w:val="bottom"/>
          </w:tcPr>
          <w:p>
            <w:pPr>
              <w:ind w:left="20"/>
              <w:spacing w:after="0"/>
              <w:rPr>
                <w:sz w:val="20"/>
                <w:szCs w:val="20"/>
                <w:color w:val="auto"/>
              </w:rPr>
            </w:pPr>
            <w:r>
              <w:rPr>
                <w:rFonts w:ascii="Arial" w:cs="Arial" w:eastAsia="Arial" w:hAnsi="Arial"/>
                <w:sz w:val="18"/>
                <w:szCs w:val="18"/>
                <w:b w:val="1"/>
                <w:bCs w:val="1"/>
                <w:color w:val="auto"/>
              </w:rPr>
              <w:t>Cash and cash equivalents</w:t>
            </w:r>
          </w:p>
        </w:tc>
        <w:tc>
          <w:tcPr>
            <w:tcW w:w="9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time deposits(a)</w:t>
            </w: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13,203</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6,828</w:t>
            </w:r>
          </w:p>
        </w:tc>
        <w:tc>
          <w:tcPr>
            <w:tcW w:w="0" w:type="dxa"/>
            <w:vAlign w:val="bottom"/>
          </w:tcPr>
          <w:p>
            <w:pPr>
              <w:spacing w:after="0"/>
              <w:rPr>
                <w:sz w:val="1"/>
                <w:szCs w:val="1"/>
                <w:color w:val="auto"/>
              </w:rPr>
            </w:pPr>
          </w:p>
        </w:tc>
      </w:tr>
      <w:tr>
        <w:trPr>
          <w:trHeight w:val="243"/>
        </w:trPr>
        <w:tc>
          <w:tcPr>
            <w:tcW w:w="6820" w:type="dxa"/>
            <w:vAlign w:val="bottom"/>
          </w:tcPr>
          <w:p>
            <w:pPr>
              <w:ind w:left="20"/>
              <w:spacing w:after="0"/>
              <w:rPr>
                <w:sz w:val="20"/>
                <w:szCs w:val="20"/>
                <w:color w:val="auto"/>
              </w:rPr>
            </w:pPr>
            <w:r>
              <w:rPr>
                <w:rFonts w:ascii="Arial" w:cs="Arial" w:eastAsia="Arial" w:hAnsi="Arial"/>
                <w:sz w:val="18"/>
                <w:szCs w:val="18"/>
                <w:color w:val="auto"/>
              </w:rPr>
              <w:t>Available-for-sale debt securities</w:t>
            </w: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 government and agencies</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3,879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1,484</w:t>
            </w:r>
          </w:p>
        </w:tc>
        <w:tc>
          <w:tcPr>
            <w:tcW w:w="0" w:type="dxa"/>
            <w:vAlign w:val="bottom"/>
          </w:tcPr>
          <w:p>
            <w:pPr>
              <w:spacing w:after="0"/>
              <w:rPr>
                <w:sz w:val="1"/>
                <w:szCs w:val="1"/>
                <w:color w:val="auto"/>
              </w:rPr>
            </w:pPr>
          </w:p>
        </w:tc>
      </w:tr>
      <w:tr>
        <w:trPr>
          <w:trHeight w:val="270"/>
        </w:trPr>
        <w:tc>
          <w:tcPr>
            <w:tcW w:w="6820" w:type="dxa"/>
            <w:vAlign w:val="bottom"/>
          </w:tcPr>
          <w:p>
            <w:pPr>
              <w:ind w:left="220"/>
              <w:spacing w:after="0"/>
              <w:rPr>
                <w:sz w:val="20"/>
                <w:szCs w:val="20"/>
                <w:color w:val="auto"/>
              </w:rPr>
            </w:pPr>
            <w:r>
              <w:rPr>
                <w:rFonts w:ascii="Arial" w:cs="Arial" w:eastAsia="Arial" w:hAnsi="Arial"/>
                <w:sz w:val="18"/>
                <w:szCs w:val="18"/>
                <w:color w:val="auto"/>
              </w:rPr>
              <w:t>Corporate debt</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80" w:type="dxa"/>
            <w:vAlign w:val="bottom"/>
          </w:tcPr>
          <w:p>
            <w:pPr>
              <w:jc w:val="right"/>
              <w:ind w:right="51"/>
              <w:spacing w:after="0"/>
              <w:rPr>
                <w:sz w:val="20"/>
                <w:szCs w:val="20"/>
                <w:color w:val="auto"/>
              </w:rPr>
            </w:pPr>
            <w:r>
              <w:rPr>
                <w:rFonts w:ascii="Arial" w:cs="Arial" w:eastAsia="Arial" w:hAnsi="Arial"/>
                <w:sz w:val="18"/>
                <w:szCs w:val="18"/>
                <w:color w:val="auto"/>
              </w:rPr>
              <w:t>3,318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5,863</w:t>
            </w:r>
          </w:p>
        </w:tc>
        <w:tc>
          <w:tcPr>
            <w:tcW w:w="0" w:type="dxa"/>
            <w:vAlign w:val="bottom"/>
          </w:tcPr>
          <w:p>
            <w:pPr>
              <w:spacing w:after="0"/>
              <w:rPr>
                <w:sz w:val="1"/>
                <w:szCs w:val="1"/>
                <w:color w:val="auto"/>
              </w:rPr>
            </w:pPr>
          </w:p>
        </w:tc>
      </w:tr>
      <w:tr>
        <w:trPr>
          <w:trHeight w:val="270"/>
        </w:trPr>
        <w:tc>
          <w:tcPr>
            <w:tcW w:w="6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Sovereign debt</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2,250</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2,123</w:t>
            </w:r>
          </w:p>
        </w:tc>
        <w:tc>
          <w:tcPr>
            <w:tcW w:w="0" w:type="dxa"/>
            <w:vAlign w:val="bottom"/>
          </w:tcPr>
          <w:p>
            <w:pPr>
              <w:spacing w:after="0"/>
              <w:rPr>
                <w:sz w:val="1"/>
                <w:szCs w:val="1"/>
                <w:color w:val="auto"/>
              </w:rPr>
            </w:pPr>
          </w:p>
        </w:tc>
      </w:tr>
      <w:tr>
        <w:trPr>
          <w:trHeight w:val="237"/>
        </w:trPr>
        <w:tc>
          <w:tcPr>
            <w:tcW w:w="6820" w:type="dxa"/>
            <w:vAlign w:val="bottom"/>
          </w:tcPr>
          <w:p>
            <w:pPr>
              <w:ind w:left="20"/>
              <w:spacing w:after="0"/>
              <w:rPr>
                <w:sz w:val="20"/>
                <w:szCs w:val="20"/>
                <w:color w:val="auto"/>
              </w:rPr>
            </w:pPr>
            <w:r>
              <w:rPr>
                <w:rFonts w:ascii="Arial" w:cs="Arial" w:eastAsia="Arial" w:hAnsi="Arial"/>
                <w:sz w:val="18"/>
                <w:szCs w:val="18"/>
                <w:color w:val="auto"/>
              </w:rPr>
              <w:t>Total available-for-sale debt securities – cash equivalents</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ind w:right="51"/>
              <w:spacing w:after="0"/>
              <w:rPr>
                <w:sz w:val="20"/>
                <w:szCs w:val="20"/>
                <w:color w:val="auto"/>
              </w:rPr>
            </w:pPr>
            <w:r>
              <w:rPr>
                <w:rFonts w:ascii="Arial" w:cs="Arial" w:eastAsia="Arial" w:hAnsi="Arial"/>
                <w:sz w:val="18"/>
                <w:szCs w:val="18"/>
                <w:color w:val="auto"/>
              </w:rPr>
              <w:t>9,447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9,470</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5,578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2,771</w:t>
            </w:r>
          </w:p>
        </w:tc>
        <w:tc>
          <w:tcPr>
            <w:tcW w:w="0" w:type="dxa"/>
            <w:vAlign w:val="bottom"/>
          </w:tcPr>
          <w:p>
            <w:pPr>
              <w:spacing w:after="0"/>
              <w:rPr>
                <w:sz w:val="1"/>
                <w:szCs w:val="1"/>
                <w:color w:val="auto"/>
              </w:rPr>
            </w:pPr>
          </w:p>
        </w:tc>
      </w:tr>
      <w:tr>
        <w:trPr>
          <w:trHeight w:val="263"/>
        </w:trPr>
        <w:tc>
          <w:tcPr>
            <w:tcW w:w="6820" w:type="dxa"/>
            <w:vAlign w:val="bottom"/>
          </w:tcPr>
          <w:p>
            <w:pPr>
              <w:ind w:left="20"/>
              <w:spacing w:after="0"/>
              <w:rPr>
                <w:sz w:val="20"/>
                <w:szCs w:val="20"/>
                <w:color w:val="auto"/>
              </w:rPr>
            </w:pPr>
            <w:r>
              <w:rPr>
                <w:rFonts w:ascii="Arial" w:cs="Arial" w:eastAsia="Arial" w:hAnsi="Arial"/>
                <w:sz w:val="18"/>
                <w:szCs w:val="18"/>
                <w:color w:val="auto"/>
              </w:rPr>
              <w:t>Total cash and cash equivalents(b)</w:t>
            </w: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28,228</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19,069</w:t>
            </w:r>
          </w:p>
        </w:tc>
        <w:tc>
          <w:tcPr>
            <w:tcW w:w="0" w:type="dxa"/>
            <w:vAlign w:val="bottom"/>
          </w:tcPr>
          <w:p>
            <w:pPr>
              <w:spacing w:after="0"/>
              <w:rPr>
                <w:sz w:val="1"/>
                <w:szCs w:val="1"/>
                <w:color w:val="auto"/>
              </w:rPr>
            </w:pPr>
          </w:p>
        </w:tc>
      </w:tr>
      <w:tr>
        <w:trPr>
          <w:trHeight w:val="20"/>
        </w:trPr>
        <w:tc>
          <w:tcPr>
            <w:tcW w:w="68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Marketable debt securities</w:t>
            </w:r>
          </w:p>
        </w:tc>
        <w:tc>
          <w:tcPr>
            <w:tcW w:w="9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820" w:type="dxa"/>
            <w:vAlign w:val="bottom"/>
          </w:tcPr>
          <w:p>
            <w:pPr>
              <w:ind w:left="220"/>
              <w:spacing w:after="0"/>
              <w:rPr>
                <w:sz w:val="20"/>
                <w:szCs w:val="20"/>
                <w:color w:val="auto"/>
              </w:rPr>
            </w:pPr>
            <w:r>
              <w:rPr>
                <w:rFonts w:ascii="Arial" w:cs="Arial" w:eastAsia="Arial" w:hAnsi="Arial"/>
                <w:sz w:val="18"/>
                <w:szCs w:val="18"/>
                <w:color w:val="auto"/>
              </w:rPr>
              <w:t>U.S. government and agencies(c)</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23"/>
                <w:szCs w:val="23"/>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51"/>
              <w:spacing w:after="0"/>
              <w:rPr>
                <w:sz w:val="20"/>
                <w:szCs w:val="20"/>
                <w:color w:val="auto"/>
              </w:rPr>
            </w:pPr>
            <w:r>
              <w:rPr>
                <w:rFonts w:ascii="Arial" w:cs="Arial" w:eastAsia="Arial" w:hAnsi="Arial"/>
                <w:sz w:val="18"/>
                <w:szCs w:val="18"/>
                <w:color w:val="auto"/>
              </w:rPr>
              <w:t>3,435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70"/>
        </w:trPr>
        <w:tc>
          <w:tcPr>
            <w:tcW w:w="6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Corporate debt</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3,552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2,932</w:t>
            </w:r>
          </w:p>
        </w:tc>
        <w:tc>
          <w:tcPr>
            <w:tcW w:w="0" w:type="dxa"/>
            <w:vAlign w:val="bottom"/>
          </w:tcPr>
          <w:p>
            <w:pPr>
              <w:spacing w:after="0"/>
              <w:rPr>
                <w:sz w:val="1"/>
                <w:szCs w:val="1"/>
                <w:color w:val="auto"/>
              </w:rPr>
            </w:pPr>
          </w:p>
        </w:tc>
      </w:tr>
      <w:tr>
        <w:trPr>
          <w:trHeight w:val="270"/>
        </w:trPr>
        <w:tc>
          <w:tcPr>
            <w:tcW w:w="6820" w:type="dxa"/>
            <w:vAlign w:val="bottom"/>
          </w:tcPr>
          <w:p>
            <w:pPr>
              <w:ind w:left="220"/>
              <w:spacing w:after="0"/>
              <w:rPr>
                <w:sz w:val="20"/>
                <w:szCs w:val="20"/>
                <w:color w:val="auto"/>
              </w:rPr>
            </w:pPr>
            <w:r>
              <w:rPr>
                <w:rFonts w:ascii="Arial" w:cs="Arial" w:eastAsia="Arial" w:hAnsi="Arial"/>
                <w:sz w:val="18"/>
                <w:szCs w:val="18"/>
                <w:color w:val="auto"/>
              </w:rPr>
              <w:t>Mortgage and asset-backed</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80" w:type="dxa"/>
            <w:vAlign w:val="bottom"/>
          </w:tcPr>
          <w:p>
            <w:pPr>
              <w:jc w:val="right"/>
              <w:ind w:right="51"/>
              <w:spacing w:after="0"/>
              <w:rPr>
                <w:sz w:val="20"/>
                <w:szCs w:val="20"/>
                <w:color w:val="auto"/>
              </w:rPr>
            </w:pPr>
            <w:r>
              <w:rPr>
                <w:rFonts w:ascii="Arial" w:cs="Arial" w:eastAsia="Arial" w:hAnsi="Arial"/>
                <w:sz w:val="18"/>
                <w:szCs w:val="18"/>
                <w:color w:val="auto"/>
              </w:rPr>
              <w:t>641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70"/>
        </w:trPr>
        <w:tc>
          <w:tcPr>
            <w:tcW w:w="6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Sovereign debt</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1,626</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63"/>
        </w:trPr>
        <w:tc>
          <w:tcPr>
            <w:tcW w:w="6820" w:type="dxa"/>
            <w:vAlign w:val="bottom"/>
          </w:tcPr>
          <w:p>
            <w:pPr>
              <w:ind w:left="20"/>
              <w:spacing w:after="0"/>
              <w:rPr>
                <w:sz w:val="20"/>
                <w:szCs w:val="20"/>
                <w:color w:val="auto"/>
              </w:rPr>
            </w:pPr>
            <w:r>
              <w:rPr>
                <w:rFonts w:ascii="Arial" w:cs="Arial" w:eastAsia="Arial" w:hAnsi="Arial"/>
                <w:sz w:val="18"/>
                <w:szCs w:val="18"/>
                <w:color w:val="auto"/>
              </w:rPr>
              <w:t>Total available-for-sale debt securities – marketable securities(d)</w:t>
            </w: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51"/>
              <w:spacing w:after="0"/>
              <w:rPr>
                <w:sz w:val="20"/>
                <w:szCs w:val="20"/>
                <w:color w:val="auto"/>
              </w:rPr>
            </w:pPr>
            <w:r>
              <w:rPr>
                <w:rFonts w:ascii="Arial" w:cs="Arial" w:eastAsia="Arial" w:hAnsi="Arial"/>
                <w:sz w:val="18"/>
                <w:szCs w:val="18"/>
                <w:color w:val="auto"/>
              </w:rPr>
              <w:t>9,254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4,174</w:t>
            </w:r>
          </w:p>
        </w:tc>
        <w:tc>
          <w:tcPr>
            <w:tcW w:w="0" w:type="dxa"/>
            <w:vAlign w:val="bottom"/>
          </w:tcPr>
          <w:p>
            <w:pPr>
              <w:spacing w:after="0"/>
              <w:rPr>
                <w:sz w:val="1"/>
                <w:szCs w:val="1"/>
                <w:color w:val="auto"/>
              </w:rPr>
            </w:pPr>
          </w:p>
        </w:tc>
      </w:tr>
      <w:tr>
        <w:trPr>
          <w:trHeight w:val="20"/>
        </w:trPr>
        <w:tc>
          <w:tcPr>
            <w:tcW w:w="68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Restricted cash</w:t>
            </w:r>
          </w:p>
        </w:tc>
        <w:tc>
          <w:tcPr>
            <w:tcW w:w="9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82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51"/>
              <w:spacing w:after="0"/>
              <w:rPr>
                <w:sz w:val="20"/>
                <w:szCs w:val="20"/>
                <w:color w:val="auto"/>
              </w:rPr>
            </w:pPr>
            <w:r>
              <w:rPr>
                <w:rFonts w:ascii="Arial" w:cs="Arial" w:eastAsia="Arial" w:hAnsi="Arial"/>
                <w:sz w:val="18"/>
                <w:szCs w:val="18"/>
                <w:color w:val="auto"/>
              </w:rPr>
              <w:t>267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70"/>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4,145</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3,582</w:t>
            </w:r>
          </w:p>
        </w:tc>
        <w:tc>
          <w:tcPr>
            <w:tcW w:w="0" w:type="dxa"/>
            <w:vAlign w:val="bottom"/>
          </w:tcPr>
          <w:p>
            <w:pPr>
              <w:spacing w:after="0"/>
              <w:rPr>
                <w:sz w:val="1"/>
                <w:szCs w:val="1"/>
                <w:color w:val="auto"/>
              </w:rPr>
            </w:pPr>
          </w:p>
        </w:tc>
      </w:tr>
      <w:tr>
        <w:trPr>
          <w:trHeight w:val="264"/>
        </w:trPr>
        <w:tc>
          <w:tcPr>
            <w:tcW w:w="6820" w:type="dxa"/>
            <w:vAlign w:val="bottom"/>
          </w:tcPr>
          <w:p>
            <w:pPr>
              <w:ind w:left="20"/>
              <w:spacing w:after="0"/>
              <w:rPr>
                <w:sz w:val="20"/>
                <w:szCs w:val="20"/>
                <w:color w:val="auto"/>
              </w:rPr>
            </w:pPr>
            <w:r>
              <w:rPr>
                <w:rFonts w:ascii="Arial" w:cs="Arial" w:eastAsia="Arial" w:hAnsi="Arial"/>
                <w:sz w:val="18"/>
                <w:szCs w:val="18"/>
                <w:color w:val="auto"/>
              </w:rPr>
              <w:t>Total restricted cash</w:t>
            </w: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51"/>
              <w:spacing w:after="0"/>
              <w:rPr>
                <w:sz w:val="20"/>
                <w:szCs w:val="20"/>
                <w:color w:val="auto"/>
              </w:rPr>
            </w:pPr>
            <w:r>
              <w:rPr>
                <w:rFonts w:ascii="Arial" w:cs="Arial" w:eastAsia="Arial" w:hAnsi="Arial"/>
                <w:sz w:val="18"/>
                <w:szCs w:val="18"/>
                <w:color w:val="auto"/>
              </w:rPr>
              <w:t>4,412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3,874</w:t>
            </w:r>
          </w:p>
        </w:tc>
        <w:tc>
          <w:tcPr>
            <w:tcW w:w="0" w:type="dxa"/>
            <w:vAlign w:val="bottom"/>
          </w:tcPr>
          <w:p>
            <w:pPr>
              <w:spacing w:after="0"/>
              <w:rPr>
                <w:sz w:val="1"/>
                <w:szCs w:val="1"/>
                <w:color w:val="auto"/>
              </w:rPr>
            </w:pPr>
          </w:p>
        </w:tc>
      </w:tr>
      <w:tr>
        <w:trPr>
          <w:trHeight w:val="46"/>
        </w:trPr>
        <w:tc>
          <w:tcPr>
            <w:tcW w:w="6820" w:type="dxa"/>
            <w:vAlign w:val="bottom"/>
            <w:tcBorders>
              <w:bottom w:val="single" w:sz="8" w:color="CCEEFF"/>
            </w:tcBorders>
          </w:tcPr>
          <w:p>
            <w:pPr>
              <w:spacing w:after="0"/>
              <w:rPr>
                <w:sz w:val="3"/>
                <w:szCs w:val="3"/>
                <w:color w:val="auto"/>
              </w:rPr>
            </w:pPr>
          </w:p>
        </w:tc>
        <w:tc>
          <w:tcPr>
            <w:tcW w:w="90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40" w:type="dxa"/>
            <w:vAlign w:val="bottom"/>
            <w:tcBorders>
              <w:top w:val="single" w:sz="8" w:color="auto"/>
              <w:bottom w:val="single" w:sz="8" w:color="auto"/>
            </w:tcBorders>
          </w:tcPr>
          <w:p>
            <w:pPr>
              <w:spacing w:after="0"/>
              <w:rPr>
                <w:sz w:val="3"/>
                <w:szCs w:val="3"/>
                <w:color w:val="auto"/>
              </w:rPr>
            </w:pPr>
          </w:p>
        </w:tc>
        <w:tc>
          <w:tcPr>
            <w:tcW w:w="1380" w:type="dxa"/>
            <w:vAlign w:val="bottom"/>
            <w:tcBorders>
              <w:top w:val="single" w:sz="8" w:color="auto"/>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top w:val="single" w:sz="8" w:color="auto"/>
              <w:bottom w:val="single" w:sz="8" w:color="auto"/>
            </w:tcBorders>
          </w:tcPr>
          <w:p>
            <w:pPr>
              <w:spacing w:after="0"/>
              <w:rPr>
                <w:sz w:val="3"/>
                <w:szCs w:val="3"/>
                <w:color w:val="auto"/>
              </w:rPr>
            </w:pPr>
          </w:p>
        </w:tc>
        <w:tc>
          <w:tcPr>
            <w:tcW w:w="146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6820" w:type="dxa"/>
            <w:vAlign w:val="bottom"/>
            <w:tcBorders>
              <w:top w:val="single" w:sz="8" w:color="CCEEFF"/>
            </w:tcBorders>
          </w:tcPr>
          <w:p>
            <w:pPr>
              <w:ind w:left="20"/>
              <w:spacing w:after="0"/>
              <w:rPr>
                <w:sz w:val="20"/>
                <w:szCs w:val="20"/>
                <w:color w:val="auto"/>
              </w:rPr>
            </w:pPr>
            <w:r>
              <w:rPr>
                <w:rFonts w:ascii="Arial" w:cs="Arial" w:eastAsia="Arial" w:hAnsi="Arial"/>
                <w:sz w:val="18"/>
                <w:szCs w:val="18"/>
                <w:b w:val="1"/>
                <w:bCs w:val="1"/>
                <w:color w:val="auto"/>
              </w:rPr>
              <w:t>Available-for-sale debt securities included above with contractual maturities(e)</w:t>
            </w:r>
          </w:p>
        </w:tc>
        <w:tc>
          <w:tcPr>
            <w:tcW w:w="90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13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46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in one year or less</w:t>
            </w: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15,333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Due between one and five years</w:t>
            </w:r>
          </w:p>
        </w:tc>
        <w:tc>
          <w:tcPr>
            <w:tcW w:w="90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2,727</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146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88"/>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available-for-sale debt securities with contractual maturities</w:t>
            </w:r>
          </w:p>
        </w:tc>
        <w:tc>
          <w:tcPr>
            <w:tcW w:w="9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18,060</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9" w:lineRule="exact"/>
        <w:rPr>
          <w:sz w:val="20"/>
          <w:szCs w:val="20"/>
          <w:color w:val="auto"/>
        </w:rPr>
      </w:pPr>
    </w:p>
    <w:p>
      <w:pPr>
        <w:ind w:left="340" w:right="20" w:hanging="332"/>
        <w:spacing w:after="0" w:line="246" w:lineRule="auto"/>
        <w:tabs>
          <w:tab w:leader="none" w:pos="331"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Includes $248 million designated exclusively to fund capital expenditures in GM Korea Company (GM Korea) at December 31, 2019. No amount was designated exclusively to fund GM Korea capital expenditures at June 30, 2020.</w:t>
      </w:r>
    </w:p>
    <w:p>
      <w:pPr>
        <w:ind w:left="340" w:hanging="332"/>
        <w:spacing w:after="0"/>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Includes $1.2 billion and $2.3 billion in Cruise at June 30, 2020 and December 31, 2019.</w:t>
      </w:r>
    </w:p>
    <w:p>
      <w:pPr>
        <w:spacing w:after="0" w:line="5" w:lineRule="exact"/>
        <w:rPr>
          <w:rFonts w:ascii="Arial" w:cs="Arial" w:eastAsia="Arial" w:hAnsi="Arial"/>
          <w:sz w:val="16"/>
          <w:szCs w:val="16"/>
          <w:color w:val="auto"/>
        </w:rPr>
      </w:pPr>
    </w:p>
    <w:p>
      <w:pPr>
        <w:ind w:left="320" w:hanging="312"/>
        <w:spacing w:after="0"/>
        <w:tabs>
          <w:tab w:leader="none" w:pos="32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Includes $505 million of marketable debt securities pending cash settlement at June 30, 2020.</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Includes $960 million and $266 million in Cruise at June 30, 2020 and December 31, 2019.</w:t>
      </w:r>
    </w:p>
    <w:p>
      <w:pPr>
        <w:spacing w:after="0" w:line="5" w:lineRule="exact"/>
        <w:rPr>
          <w:rFonts w:ascii="Arial" w:cs="Arial" w:eastAsia="Arial" w:hAnsi="Arial"/>
          <w:sz w:val="16"/>
          <w:szCs w:val="16"/>
          <w:color w:val="auto"/>
        </w:rPr>
      </w:pPr>
    </w:p>
    <w:p>
      <w:pPr>
        <w:ind w:left="320" w:hanging="312"/>
        <w:spacing w:after="0"/>
        <w:tabs>
          <w:tab w:leader="none" w:pos="320" w:val="left"/>
        </w:tabs>
        <w:numPr>
          <w:ilvl w:val="0"/>
          <w:numId w:val="3"/>
        </w:numPr>
        <w:rPr>
          <w:rFonts w:ascii="Arial" w:cs="Arial" w:eastAsia="Arial" w:hAnsi="Arial"/>
          <w:sz w:val="16"/>
          <w:szCs w:val="16"/>
          <w:color w:val="auto"/>
        </w:rPr>
      </w:pPr>
      <w:r>
        <w:rPr>
          <w:rFonts w:ascii="Arial" w:cs="Arial" w:eastAsia="Arial" w:hAnsi="Arial"/>
          <w:sz w:val="16"/>
          <w:szCs w:val="16"/>
          <w:color w:val="auto"/>
        </w:rPr>
        <w:t>Excludes mortgage- and asset-backed securities of $641 million at June 30, 2020 as these securities are not due at a single maturity date.</w:t>
      </w:r>
    </w:p>
    <w:p>
      <w:pPr>
        <w:spacing w:after="0" w:line="230"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Proceeds from the sale of available-for-sale debt investments sold prior to maturity were $554 million and $486 million in the three months ended June 30, 2020 and 2019 and $920 million and $1.1 billion in the six months ended June 30, 2020 and 2019. Net unrealized gains and losses on available-for-sale debt securities were insignificant in the three and six months ended June 30, 2020 and 2019. Cumulative unrealized gains and losses on available-for-sale debt securities were insignificant at June 30, 2020 and December 31, 2019.</w:t>
      </w:r>
    </w:p>
    <w:p>
      <w:pPr>
        <w:spacing w:after="0" w:line="214"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We liquidated our remaining shares in Lyft, Inc. (Lyft) in the three months ended June 30, 2020. We recorded an unrealized loss of $65 million and an unrealized gain of $220 million in Interest income and other non-operating income, net in the three and six months ended June 30, 2019.</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7"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condensed consolidated balance sheet to the total shown in the condensed consolidated statement of cash flows: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8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1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7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8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60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gridSpan w:val="5"/>
          </w:tcPr>
          <w:p>
            <w:pPr>
              <w:ind w:left="400"/>
              <w:spacing w:after="0"/>
              <w:rPr>
                <w:sz w:val="20"/>
                <w:szCs w:val="20"/>
                <w:color w:val="auto"/>
              </w:rPr>
            </w:pPr>
            <w:r>
              <w:rPr>
                <w:rFonts w:ascii="Arial" w:cs="Arial" w:eastAsia="Arial" w:hAnsi="Arial"/>
                <w:sz w:val="14"/>
                <w:szCs w:val="14"/>
                <w:b w:val="1"/>
                <w:bCs w:val="1"/>
                <w:color w:val="auto"/>
              </w:rPr>
              <w:t>June 30, 2020</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339"/>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28,228</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20"/>
              <w:spacing w:after="0"/>
              <w:rPr>
                <w:sz w:val="20"/>
                <w:szCs w:val="20"/>
                <w:color w:val="auto"/>
              </w:rPr>
            </w:pPr>
            <w:r>
              <w:rPr>
                <w:rFonts w:ascii="Arial" w:cs="Arial" w:eastAsia="Arial" w:hAnsi="Arial"/>
                <w:sz w:val="18"/>
                <w:szCs w:val="18"/>
                <w:color w:val="auto"/>
              </w:rPr>
              <w:t>Restricted cash included in Other current assets</w:t>
            </w: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3,930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Restricted cash included in Other assets</w:t>
            </w: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482</w:t>
            </w:r>
          </w:p>
        </w:tc>
        <w:tc>
          <w:tcPr>
            <w:tcW w:w="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4240" w:type="dxa"/>
            <w:vAlign w:val="bottom"/>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32,640</w:t>
            </w:r>
          </w:p>
        </w:tc>
        <w:tc>
          <w:tcPr>
            <w:tcW w:w="6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240" w:type="dxa"/>
            <w:vAlign w:val="bottom"/>
            <w:vMerge w:val="restart"/>
          </w:tcPr>
          <w:p>
            <w:pPr>
              <w:spacing w:after="0"/>
              <w:rPr>
                <w:sz w:val="20"/>
                <w:szCs w:val="20"/>
                <w:color w:val="auto"/>
              </w:rPr>
            </w:pPr>
            <w:r>
              <w:rPr>
                <w:rFonts w:ascii="Arial" w:cs="Arial" w:eastAsia="Arial" w:hAnsi="Arial"/>
                <w:sz w:val="18"/>
                <w:szCs w:val="18"/>
                <w:b w:val="1"/>
                <w:bCs w:val="1"/>
                <w:color w:val="auto"/>
                <w:w w:val="95"/>
              </w:rPr>
              <w:t>Note 5. GM Financial Receivables and Transactions</w:t>
            </w: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82"/>
        </w:trPr>
        <w:tc>
          <w:tcPr>
            <w:tcW w:w="42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42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June 30, 2020</w:t>
            </w: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December 31, 2019</w:t>
            </w: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ind w:left="100"/>
              <w:spacing w:after="0"/>
              <w:rPr>
                <w:sz w:val="20"/>
                <w:szCs w:val="20"/>
                <w:color w:val="auto"/>
              </w:rPr>
            </w:pPr>
            <w:r>
              <w:rPr>
                <w:rFonts w:ascii="Arial" w:cs="Arial" w:eastAsia="Arial" w:hAnsi="Arial"/>
                <w:sz w:val="14"/>
                <w:szCs w:val="14"/>
                <w:b w:val="1"/>
                <w:bCs w:val="1"/>
                <w:color w:val="auto"/>
              </w:rPr>
              <w:t>Retail</w:t>
            </w:r>
          </w:p>
        </w:tc>
        <w:tc>
          <w:tcPr>
            <w:tcW w:w="140" w:type="dxa"/>
            <w:vAlign w:val="bottom"/>
          </w:tcPr>
          <w:p>
            <w:pPr>
              <w:spacing w:after="0"/>
              <w:rPr>
                <w:sz w:val="17"/>
                <w:szCs w:val="17"/>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Commercial(a)</w:t>
            </w:r>
          </w:p>
        </w:tc>
        <w:tc>
          <w:tcPr>
            <w:tcW w:w="200" w:type="dxa"/>
            <w:vAlign w:val="bottom"/>
          </w:tcPr>
          <w:p>
            <w:pPr>
              <w:spacing w:after="0"/>
              <w:rPr>
                <w:sz w:val="17"/>
                <w:szCs w:val="17"/>
                <w:color w:val="auto"/>
              </w:rPr>
            </w:pPr>
          </w:p>
        </w:tc>
        <w:tc>
          <w:tcPr>
            <w:tcW w:w="84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7"/>
                <w:szCs w:val="17"/>
                <w:color w:val="auto"/>
              </w:rPr>
            </w:pPr>
          </w:p>
        </w:tc>
        <w:tc>
          <w:tcPr>
            <w:tcW w:w="900" w:type="dxa"/>
            <w:vAlign w:val="bottom"/>
            <w:gridSpan w:val="2"/>
          </w:tcPr>
          <w:p>
            <w:pPr>
              <w:ind w:left="120"/>
              <w:spacing w:after="0"/>
              <w:rPr>
                <w:sz w:val="20"/>
                <w:szCs w:val="20"/>
                <w:color w:val="auto"/>
              </w:rPr>
            </w:pPr>
            <w:r>
              <w:rPr>
                <w:rFonts w:ascii="Arial" w:cs="Arial" w:eastAsia="Arial" w:hAnsi="Arial"/>
                <w:sz w:val="14"/>
                <w:szCs w:val="14"/>
                <w:b w:val="1"/>
                <w:bCs w:val="1"/>
                <w:color w:val="auto"/>
              </w:rPr>
              <w:t>Retail</w:t>
            </w:r>
          </w:p>
        </w:tc>
        <w:tc>
          <w:tcPr>
            <w:tcW w:w="140" w:type="dxa"/>
            <w:vAlign w:val="bottom"/>
          </w:tcPr>
          <w:p>
            <w:pPr>
              <w:spacing w:after="0"/>
              <w:rPr>
                <w:sz w:val="17"/>
                <w:szCs w:val="17"/>
                <w:color w:val="auto"/>
              </w:rPr>
            </w:pPr>
          </w:p>
        </w:tc>
        <w:tc>
          <w:tcPr>
            <w:tcW w:w="1240" w:type="dxa"/>
            <w:vAlign w:val="bottom"/>
            <w:gridSpan w:val="3"/>
          </w:tcPr>
          <w:p>
            <w:pPr>
              <w:ind w:left="40"/>
              <w:spacing w:after="0"/>
              <w:rPr>
                <w:sz w:val="20"/>
                <w:szCs w:val="20"/>
                <w:color w:val="auto"/>
              </w:rPr>
            </w:pPr>
            <w:r>
              <w:rPr>
                <w:rFonts w:ascii="Arial" w:cs="Arial" w:eastAsia="Arial" w:hAnsi="Arial"/>
                <w:sz w:val="14"/>
                <w:szCs w:val="14"/>
                <w:b w:val="1"/>
                <w:bCs w:val="1"/>
                <w:color w:val="auto"/>
              </w:rPr>
              <w:t>Commercial(a)</w:t>
            </w:r>
          </w:p>
        </w:tc>
        <w:tc>
          <w:tcPr>
            <w:tcW w:w="200" w:type="dxa"/>
            <w:vAlign w:val="bottom"/>
          </w:tcPr>
          <w:p>
            <w:pPr>
              <w:spacing w:after="0"/>
              <w:rPr>
                <w:sz w:val="17"/>
                <w:szCs w:val="17"/>
                <w:color w:val="auto"/>
              </w:rPr>
            </w:pPr>
          </w:p>
        </w:tc>
        <w:tc>
          <w:tcPr>
            <w:tcW w:w="80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4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GM Financial receivables, net of fees</w:t>
            </w: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46,472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7,489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53,961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42,229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gridSpan w:val="2"/>
            <w:shd w:val="clear" w:color="auto" w:fill="CCEEFF"/>
          </w:tcPr>
          <w:p>
            <w:pPr>
              <w:jc w:val="right"/>
              <w:ind w:right="79"/>
              <w:spacing w:after="0"/>
              <w:rPr>
                <w:sz w:val="20"/>
                <w:szCs w:val="20"/>
                <w:color w:val="auto"/>
              </w:rPr>
            </w:pPr>
            <w:r>
              <w:rPr>
                <w:rFonts w:ascii="Arial" w:cs="Arial" w:eastAsia="Arial" w:hAnsi="Arial"/>
                <w:sz w:val="18"/>
                <w:szCs w:val="18"/>
                <w:color w:val="auto"/>
              </w:rPr>
              <w:t>11,671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53,900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20"/>
              <w:spacing w:after="0"/>
              <w:rPr>
                <w:sz w:val="20"/>
                <w:szCs w:val="20"/>
                <w:color w:val="auto"/>
              </w:rPr>
            </w:pPr>
            <w:r>
              <w:rPr>
                <w:rFonts w:ascii="Arial" w:cs="Arial" w:eastAsia="Arial" w:hAnsi="Arial"/>
                <w:sz w:val="18"/>
                <w:szCs w:val="18"/>
                <w:color w:val="auto"/>
              </w:rPr>
              <w:t>Less: allowance for loan losses</w:t>
            </w:r>
          </w:p>
        </w:tc>
        <w:tc>
          <w:tcPr>
            <w:tcW w:w="200" w:type="dxa"/>
            <w:vAlign w:val="bottom"/>
          </w:tcPr>
          <w:p>
            <w:pPr>
              <w:spacing w:after="0"/>
              <w:rPr>
                <w:sz w:val="21"/>
                <w:szCs w:val="21"/>
                <w:color w:val="auto"/>
              </w:rPr>
            </w:pPr>
          </w:p>
        </w:tc>
        <w:tc>
          <w:tcPr>
            <w:tcW w:w="800" w:type="dxa"/>
            <w:vAlign w:val="bottom"/>
          </w:tcPr>
          <w:p>
            <w:pPr>
              <w:ind w:left="160"/>
              <w:spacing w:after="0"/>
              <w:rPr>
                <w:sz w:val="20"/>
                <w:szCs w:val="20"/>
                <w:color w:val="auto"/>
              </w:rPr>
            </w:pPr>
            <w:r>
              <w:rPr>
                <w:rFonts w:ascii="Arial" w:cs="Arial" w:eastAsia="Arial" w:hAnsi="Arial"/>
                <w:sz w:val="18"/>
                <w:szCs w:val="18"/>
                <w:color w:val="auto"/>
              </w:rPr>
              <w:t>(2,044)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(2,111)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35"/>
              <w:spacing w:after="0"/>
              <w:rPr>
                <w:sz w:val="20"/>
                <w:szCs w:val="20"/>
                <w:color w:val="auto"/>
              </w:rPr>
            </w:pPr>
            <w:r>
              <w:rPr>
                <w:rFonts w:ascii="Arial" w:cs="Arial" w:eastAsia="Arial" w:hAnsi="Arial"/>
                <w:sz w:val="18"/>
                <w:szCs w:val="18"/>
                <w:color w:val="auto"/>
              </w:rPr>
              <w:t>(866)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39"/>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(944)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GM Financial receivables, net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44,428</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7,422</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51,850</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41,363</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gridSpan w:val="2"/>
            <w:shd w:val="clear" w:color="auto" w:fill="CCEEFF"/>
          </w:tcPr>
          <w:p>
            <w:pPr>
              <w:jc w:val="right"/>
              <w:ind w:right="79"/>
              <w:spacing w:after="0"/>
              <w:rPr>
                <w:sz w:val="20"/>
                <w:szCs w:val="20"/>
                <w:color w:val="auto"/>
              </w:rPr>
            </w:pPr>
            <w:r>
              <w:rPr>
                <w:rFonts w:ascii="Arial" w:cs="Arial" w:eastAsia="Arial" w:hAnsi="Arial"/>
                <w:sz w:val="18"/>
                <w:szCs w:val="18"/>
                <w:color w:val="auto"/>
              </w:rPr>
              <w:t>11,593</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52,956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42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6"/>
              </w:rPr>
              <w:t>Fair value of GM Financial receivables utilizing Level 2</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vMerge w:val="restart"/>
            <w:shd w:val="clear" w:color="auto" w:fill="CCEEFF"/>
          </w:tcPr>
          <w:p>
            <w:pPr>
              <w:jc w:val="right"/>
              <w:ind w:right="53"/>
              <w:spacing w:after="0"/>
              <w:rPr>
                <w:sz w:val="20"/>
                <w:szCs w:val="20"/>
                <w:color w:val="auto"/>
              </w:rPr>
            </w:pPr>
            <w:r>
              <w:rPr>
                <w:rFonts w:ascii="Arial" w:cs="Arial" w:eastAsia="Arial" w:hAnsi="Arial"/>
                <w:sz w:val="18"/>
                <w:szCs w:val="18"/>
                <w:color w:val="auto"/>
              </w:rPr>
              <w:t>7,422</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11,593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inputs</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240" w:type="dxa"/>
            <w:vAlign w:val="bottom"/>
          </w:tcPr>
          <w:p>
            <w:pPr>
              <w:ind w:left="20"/>
              <w:spacing w:after="0" w:line="176" w:lineRule="exact"/>
              <w:rPr>
                <w:sz w:val="20"/>
                <w:szCs w:val="20"/>
                <w:color w:val="auto"/>
              </w:rPr>
            </w:pPr>
            <w:r>
              <w:rPr>
                <w:rFonts w:ascii="Arial" w:cs="Arial" w:eastAsia="Arial" w:hAnsi="Arial"/>
                <w:sz w:val="18"/>
                <w:szCs w:val="18"/>
                <w:color w:val="auto"/>
                <w:w w:val="96"/>
              </w:rPr>
              <w:t>Fair value of GM Financial receivables utilizing Level 3</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vMerge w:val="restart"/>
          </w:tcPr>
          <w:p>
            <w:pPr>
              <w:jc w:val="right"/>
              <w:ind w:right="53"/>
              <w:spacing w:after="0"/>
              <w:rPr>
                <w:sz w:val="20"/>
                <w:szCs w:val="20"/>
                <w:color w:val="auto"/>
              </w:rPr>
            </w:pPr>
            <w:r>
              <w:rPr>
                <w:rFonts w:ascii="Arial" w:cs="Arial" w:eastAsia="Arial" w:hAnsi="Arial"/>
                <w:sz w:val="18"/>
                <w:szCs w:val="18"/>
                <w:color w:val="auto"/>
              </w:rPr>
              <w:t>46,603</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vMerge w:val="restart"/>
          </w:tcPr>
          <w:p>
            <w:pPr>
              <w:jc w:val="right"/>
              <w:ind w:right="72"/>
              <w:spacing w:after="0"/>
              <w:rPr>
                <w:sz w:val="20"/>
                <w:szCs w:val="20"/>
                <w:color w:val="auto"/>
              </w:rPr>
            </w:pPr>
            <w:r>
              <w:rPr>
                <w:rFonts w:ascii="Arial" w:cs="Arial" w:eastAsia="Arial" w:hAnsi="Arial"/>
                <w:sz w:val="18"/>
                <w:szCs w:val="18"/>
                <w:color w:val="auto"/>
              </w:rPr>
              <w:t>41,973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180"/>
              <w:spacing w:after="0"/>
              <w:rPr>
                <w:sz w:val="20"/>
                <w:szCs w:val="20"/>
                <w:color w:val="auto"/>
              </w:rPr>
            </w:pPr>
            <w:r>
              <w:rPr>
                <w:rFonts w:ascii="Arial" w:cs="Arial" w:eastAsia="Arial" w:hAnsi="Arial"/>
                <w:sz w:val="18"/>
                <w:szCs w:val="18"/>
                <w:color w:val="auto"/>
              </w:rPr>
              <w:t>inputs</w:t>
            </w: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vMerge w:val="continue"/>
          </w:tcPr>
          <w:p>
            <w:pPr>
              <w:spacing w:after="0"/>
              <w:rPr>
                <w:sz w:val="20"/>
                <w:szCs w:val="20"/>
                <w:color w:val="auto"/>
              </w:rPr>
            </w:pPr>
          </w:p>
        </w:tc>
        <w:tc>
          <w:tcPr>
            <w:tcW w:w="7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vMerge w:val="continue"/>
          </w:tcPr>
          <w:p>
            <w:pPr>
              <w:spacing w:after="0"/>
              <w:rPr>
                <w:sz w:val="20"/>
                <w:szCs w:val="20"/>
                <w:color w:val="auto"/>
              </w:rPr>
            </w:pPr>
          </w:p>
        </w:tc>
        <w:tc>
          <w:tcPr>
            <w:tcW w:w="74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9" w:lineRule="exact"/>
        <w:rPr>
          <w:sz w:val="20"/>
          <w:szCs w:val="20"/>
          <w:color w:val="auto"/>
        </w:rPr>
      </w:pPr>
    </w:p>
    <w:p>
      <w:pPr>
        <w:ind w:left="340" w:hanging="332"/>
        <w:spacing w:after="0" w:line="290" w:lineRule="auto"/>
        <w:tabs>
          <w:tab w:leader="none" w:pos="331" w:val="left"/>
        </w:tabs>
        <w:numPr>
          <w:ilvl w:val="0"/>
          <w:numId w:val="4"/>
        </w:numPr>
        <w:rPr>
          <w:rFonts w:ascii="Arial" w:cs="Arial" w:eastAsia="Arial" w:hAnsi="Arial"/>
          <w:sz w:val="15"/>
          <w:szCs w:val="15"/>
          <w:color w:val="auto"/>
        </w:rPr>
      </w:pPr>
      <w:r>
        <w:rPr>
          <w:rFonts w:ascii="Arial" w:cs="Arial" w:eastAsia="Arial" w:hAnsi="Arial"/>
          <w:sz w:val="15"/>
          <w:szCs w:val="15"/>
          <w:color w:val="auto"/>
        </w:rPr>
        <w:t>Net of dealer cash management balances of $1.3 billion and $1.2 billion at June 30, 2020 and December 31, 2019. Under the cash management program, subject to certain conditions, a dealer may choose to reduce the amount of interest on its floorplan line by making principal payments to GM Financial in advance.</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73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832"/>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5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 2020</w:t>
            </w:r>
          </w:p>
        </w:tc>
        <w:tc>
          <w:tcPr>
            <w:tcW w:w="200" w:type="dxa"/>
            <w:vAlign w:val="bottom"/>
          </w:tcPr>
          <w:p>
            <w:pPr>
              <w:spacing w:after="0"/>
              <w:rPr>
                <w:sz w:val="17"/>
                <w:szCs w:val="17"/>
                <w:color w:val="auto"/>
              </w:rPr>
            </w:pPr>
          </w:p>
        </w:tc>
        <w:tc>
          <w:tcPr>
            <w:tcW w:w="132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 2019</w:t>
            </w:r>
          </w:p>
        </w:tc>
        <w:tc>
          <w:tcPr>
            <w:tcW w:w="220" w:type="dxa"/>
            <w:vAlign w:val="bottom"/>
          </w:tcPr>
          <w:p>
            <w:pPr>
              <w:spacing w:after="0"/>
              <w:rPr>
                <w:sz w:val="17"/>
                <w:szCs w:val="17"/>
                <w:color w:val="auto"/>
              </w:rPr>
            </w:pPr>
          </w:p>
        </w:tc>
        <w:tc>
          <w:tcPr>
            <w:tcW w:w="132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 2020</w:t>
            </w:r>
          </w:p>
        </w:tc>
        <w:tc>
          <w:tcPr>
            <w:tcW w:w="220" w:type="dxa"/>
            <w:vAlign w:val="bottom"/>
          </w:tcPr>
          <w:p>
            <w:pPr>
              <w:spacing w:after="0"/>
              <w:rPr>
                <w:sz w:val="17"/>
                <w:szCs w:val="17"/>
                <w:color w:val="auto"/>
              </w:rPr>
            </w:pPr>
          </w:p>
        </w:tc>
        <w:tc>
          <w:tcPr>
            <w:tcW w:w="1220" w:type="dxa"/>
            <w:vAlign w:val="bottom"/>
          </w:tcPr>
          <w:p>
            <w:pPr>
              <w:jc w:val="right"/>
              <w:ind w:right="212"/>
              <w:spacing w:after="0"/>
              <w:rPr>
                <w:sz w:val="20"/>
                <w:szCs w:val="20"/>
                <w:color w:val="auto"/>
              </w:rPr>
            </w:pPr>
            <w:r>
              <w:rPr>
                <w:rFonts w:ascii="Arial" w:cs="Arial" w:eastAsia="Arial" w:hAnsi="Arial"/>
                <w:sz w:val="14"/>
                <w:szCs w:val="14"/>
                <w:b w:val="1"/>
                <w:bCs w:val="1"/>
                <w:color w:val="auto"/>
                <w:w w:val="98"/>
              </w:rPr>
              <w:t>June 30, 2019</w:t>
            </w:r>
          </w:p>
        </w:tc>
      </w:tr>
      <w:tr>
        <w:trPr>
          <w:trHeight w:val="250"/>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Allowance for loan losses at beginning of period</w:t>
            </w: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1,966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944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911</w:t>
            </w: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Impact of adoption ASU 2016-13 (Note 1)</w:t>
            </w:r>
          </w:p>
        </w:tc>
        <w:tc>
          <w:tcPr>
            <w:tcW w:w="200" w:type="dxa"/>
            <w:vAlign w:val="bottom"/>
          </w:tcPr>
          <w:p>
            <w:pPr>
              <w:spacing w:after="0"/>
              <w:rPr>
                <w:sz w:val="21"/>
                <w:szCs w:val="21"/>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20" w:type="dxa"/>
            <w:vAlign w:val="bottom"/>
          </w:tcPr>
          <w:p>
            <w:pPr>
              <w:jc w:val="right"/>
              <w:ind w:right="74"/>
              <w:spacing w:after="0"/>
              <w:rPr>
                <w:sz w:val="20"/>
                <w:szCs w:val="20"/>
                <w:color w:val="auto"/>
              </w:rPr>
            </w:pPr>
            <w:r>
              <w:rPr>
                <w:rFonts w:ascii="Arial" w:cs="Arial" w:eastAsia="Arial" w:hAnsi="Arial"/>
                <w:sz w:val="18"/>
                <w:szCs w:val="18"/>
                <w:color w:val="auto"/>
              </w:rPr>
              <w:t>801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w:t>
            </w:r>
          </w:p>
        </w:tc>
      </w:tr>
      <w:tr>
        <w:trPr>
          <w:trHeight w:val="27"/>
        </w:trPr>
        <w:tc>
          <w:tcPr>
            <w:tcW w:w="5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loan losses</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327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793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354</w:t>
            </w: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Charge-offs</w:t>
            </w:r>
          </w:p>
        </w:tc>
        <w:tc>
          <w:tcPr>
            <w:tcW w:w="20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(273)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(613)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(588)</w:t>
            </w:r>
          </w:p>
        </w:tc>
      </w:tr>
      <w:tr>
        <w:trPr>
          <w:trHeight w:val="27"/>
        </w:trPr>
        <w:tc>
          <w:tcPr>
            <w:tcW w:w="5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Recoveries</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91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277</w:t>
            </w: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Effect of foreign currency</w:t>
            </w:r>
          </w:p>
        </w:tc>
        <w:tc>
          <w:tcPr>
            <w:tcW w:w="200" w:type="dxa"/>
            <w:vAlign w:val="bottom"/>
          </w:tcPr>
          <w:p>
            <w:pPr>
              <w:spacing w:after="0"/>
              <w:rPr>
                <w:sz w:val="21"/>
                <w:szCs w:val="21"/>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3</w:t>
            </w:r>
          </w:p>
        </w:tc>
      </w:tr>
      <w:tr>
        <w:trPr>
          <w:trHeight w:val="27"/>
        </w:trPr>
        <w:tc>
          <w:tcPr>
            <w:tcW w:w="5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8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Allowance for loan losses at end of period</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2,111</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957</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2,111</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957</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provision for loan losses increased primarily due to increased expected charge-offs and decreased expected recoveries as a result of the economic impact of the novel strain of the coronavirus (COVID-19) pandemic.</w:t>
      </w:r>
    </w:p>
    <w:p>
      <w:pPr>
        <w:spacing w:after="0" w:line="197"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b w:val="1"/>
          <w:bCs w:val="1"/>
          <w:i w:val="1"/>
          <w:iCs w:val="1"/>
          <w:color w:val="auto"/>
        </w:rPr>
        <w:t xml:space="preserve">Retail Finance Receivables </w:t>
      </w:r>
      <w:r>
        <w:rPr>
          <w:rFonts w:ascii="Arial" w:cs="Arial" w:eastAsia="Arial" w:hAnsi="Arial"/>
          <w:sz w:val="18"/>
          <w:szCs w:val="18"/>
          <w:color w:val="auto"/>
        </w:rPr>
        <w:t>GM Financial's retail finance receivable portfolio includes loans made to consumers and businesses to finance the purchase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vehicles for personal and commercial use. A summary of the amortized cost of the retail finance receivables by FICO score or its equivalent, determined at origination, for each vintage of the retail finance receivables portfolio at June 30, 2020 is as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3"/>
              </w:rPr>
              <w:t>Year of Origination</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168"/>
              <w:spacing w:after="0"/>
              <w:rPr>
                <w:sz w:val="20"/>
                <w:szCs w:val="20"/>
                <w:color w:val="auto"/>
              </w:rPr>
            </w:pPr>
            <w:r>
              <w:rPr>
                <w:rFonts w:ascii="Arial" w:cs="Arial" w:eastAsia="Arial" w:hAnsi="Arial"/>
                <w:sz w:val="14"/>
                <w:szCs w:val="14"/>
                <w:b w:val="1"/>
                <w:bCs w:val="1"/>
                <w:color w:val="auto"/>
              </w:rPr>
              <w:t>June 30, 2020</w:t>
            </w:r>
          </w:p>
        </w:tc>
        <w:tc>
          <w:tcPr>
            <w:tcW w:w="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8"/>
              </w:rPr>
              <w:t>December 31, 2019</w:t>
            </w:r>
          </w:p>
        </w:tc>
        <w:tc>
          <w:tcPr>
            <w:tcW w:w="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ind w:right="12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ind w:right="12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jc w:val="right"/>
              <w:ind w:right="12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jc w:val="right"/>
              <w:ind w:right="12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jc w:val="right"/>
              <w:ind w:right="128"/>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gridSpan w:val="2"/>
          </w:tcPr>
          <w:p>
            <w:pPr>
              <w:ind w:left="40"/>
              <w:spacing w:after="0"/>
              <w:rPr>
                <w:sz w:val="20"/>
                <w:szCs w:val="20"/>
                <w:color w:val="auto"/>
              </w:rPr>
            </w:pPr>
            <w:r>
              <w:rPr>
                <w:rFonts w:ascii="Arial" w:cs="Arial" w:eastAsia="Arial" w:hAnsi="Arial"/>
                <w:sz w:val="14"/>
                <w:szCs w:val="14"/>
                <w:b w:val="1"/>
                <w:bCs w:val="1"/>
                <w:color w:val="auto"/>
              </w:rPr>
              <w:t>Prior</w:t>
            </w:r>
          </w:p>
        </w:tc>
        <w:tc>
          <w:tcPr>
            <w:tcW w:w="14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Percent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Percent</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2240" w:type="dxa"/>
            <w:vAlign w:val="bottom"/>
            <w:tcBorders>
              <w:top w:val="single" w:sz="8" w:color="CCEEFF"/>
            </w:tcBorders>
            <w:shd w:val="clear" w:color="auto" w:fill="CCEEFF"/>
          </w:tcPr>
          <w:p>
            <w:pPr>
              <w:ind w:left="20"/>
              <w:spacing w:after="0" w:line="152" w:lineRule="exact"/>
              <w:rPr>
                <w:sz w:val="20"/>
                <w:szCs w:val="20"/>
                <w:color w:val="auto"/>
              </w:rPr>
            </w:pPr>
            <w:r>
              <w:rPr>
                <w:rFonts w:ascii="Arial" w:cs="Arial" w:eastAsia="Arial" w:hAnsi="Arial"/>
                <w:sz w:val="16"/>
                <w:szCs w:val="16"/>
                <w:color w:val="auto"/>
              </w:rPr>
              <w:t>Prime – FICO score 680 and</w:t>
            </w:r>
          </w:p>
        </w:tc>
        <w:tc>
          <w:tcPr>
            <w:tcW w:w="12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22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greater</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97"/>
              </w:rPr>
              <w:t>10,305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9,009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6,056</w:t>
            </w:r>
          </w:p>
        </w:tc>
        <w:tc>
          <w:tcPr>
            <w:tcW w:w="40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2,774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940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93"/>
              </w:rPr>
              <w:t>29,346</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63.2</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97"/>
              </w:rPr>
              <w:t>25,400</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60.1</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66"/>
        </w:trPr>
        <w:tc>
          <w:tcPr>
            <w:tcW w:w="2240" w:type="dxa"/>
            <w:vAlign w:val="bottom"/>
          </w:tcPr>
          <w:p>
            <w:pPr>
              <w:ind w:left="20"/>
              <w:spacing w:after="0" w:line="166" w:lineRule="exact"/>
              <w:rPr>
                <w:sz w:val="20"/>
                <w:szCs w:val="20"/>
                <w:color w:val="auto"/>
              </w:rPr>
            </w:pPr>
            <w:r>
              <w:rPr>
                <w:rFonts w:ascii="Arial" w:cs="Arial" w:eastAsia="Arial" w:hAnsi="Arial"/>
                <w:sz w:val="16"/>
                <w:szCs w:val="16"/>
                <w:color w:val="auto"/>
                <w:w w:val="96"/>
              </w:rPr>
              <w:t>Near-prime – FICO score 620 to</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240" w:type="dxa"/>
            <w:vAlign w:val="bottom"/>
          </w:tcPr>
          <w:p>
            <w:pPr>
              <w:ind w:left="180"/>
              <w:spacing w:after="0"/>
              <w:rPr>
                <w:sz w:val="20"/>
                <w:szCs w:val="20"/>
                <w:color w:val="auto"/>
              </w:rPr>
            </w:pPr>
            <w:r>
              <w:rPr>
                <w:rFonts w:ascii="Arial" w:cs="Arial" w:eastAsia="Arial" w:hAnsi="Arial"/>
                <w:sz w:val="16"/>
                <w:szCs w:val="16"/>
                <w:color w:val="auto"/>
              </w:rPr>
              <w:t>679</w:t>
            </w:r>
          </w:p>
        </w:tc>
        <w:tc>
          <w:tcPr>
            <w:tcW w:w="120" w:type="dxa"/>
            <w:vAlign w:val="bottom"/>
          </w:tcPr>
          <w:p>
            <w:pPr>
              <w:spacing w:after="0"/>
              <w:rPr>
                <w:sz w:val="18"/>
                <w:szCs w:val="18"/>
                <w:color w:val="auto"/>
              </w:rPr>
            </w:pPr>
          </w:p>
        </w:tc>
        <w:tc>
          <w:tcPr>
            <w:tcW w:w="580" w:type="dxa"/>
            <w:vAlign w:val="bottom"/>
          </w:tcPr>
          <w:p>
            <w:pPr>
              <w:jc w:val="right"/>
              <w:ind w:right="68"/>
              <w:spacing w:after="0"/>
              <w:rPr>
                <w:sz w:val="20"/>
                <w:szCs w:val="20"/>
                <w:color w:val="auto"/>
              </w:rPr>
            </w:pPr>
            <w:r>
              <w:rPr>
                <w:rFonts w:ascii="Arial" w:cs="Arial" w:eastAsia="Arial" w:hAnsi="Arial"/>
                <w:sz w:val="14"/>
                <w:szCs w:val="14"/>
                <w:color w:val="auto"/>
              </w:rPr>
              <w:t>1,785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2,533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1,574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ind w:right="68"/>
              <w:spacing w:after="0"/>
              <w:rPr>
                <w:sz w:val="20"/>
                <w:szCs w:val="20"/>
                <w:color w:val="auto"/>
              </w:rPr>
            </w:pPr>
            <w:r>
              <w:rPr>
                <w:rFonts w:ascii="Arial" w:cs="Arial" w:eastAsia="Arial" w:hAnsi="Arial"/>
                <w:sz w:val="14"/>
                <w:szCs w:val="14"/>
                <w:color w:val="auto"/>
              </w:rPr>
              <w:t>828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ind w:right="68"/>
              <w:spacing w:after="0"/>
              <w:rPr>
                <w:sz w:val="20"/>
                <w:szCs w:val="20"/>
                <w:color w:val="auto"/>
              </w:rPr>
            </w:pPr>
            <w:r>
              <w:rPr>
                <w:rFonts w:ascii="Arial" w:cs="Arial" w:eastAsia="Arial" w:hAnsi="Arial"/>
                <w:sz w:val="14"/>
                <w:szCs w:val="14"/>
                <w:color w:val="auto"/>
              </w:rPr>
              <w:t>340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ind w:right="68"/>
              <w:spacing w:after="0"/>
              <w:rPr>
                <w:sz w:val="20"/>
                <w:szCs w:val="20"/>
                <w:color w:val="auto"/>
              </w:rPr>
            </w:pPr>
            <w:r>
              <w:rPr>
                <w:rFonts w:ascii="Arial" w:cs="Arial" w:eastAsia="Arial" w:hAnsi="Arial"/>
                <w:sz w:val="14"/>
                <w:szCs w:val="14"/>
                <w:color w:val="auto"/>
              </w:rPr>
              <w:t>138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7,223</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15.5</w:t>
            </w:r>
          </w:p>
        </w:tc>
        <w:tc>
          <w:tcPr>
            <w:tcW w:w="140" w:type="dxa"/>
            <w:vAlign w:val="bottom"/>
          </w:tcPr>
          <w:p>
            <w:pPr>
              <w:jc w:val="right"/>
              <w:spacing w:after="0"/>
              <w:rPr>
                <w:sz w:val="20"/>
                <w:szCs w:val="20"/>
                <w:color w:val="auto"/>
              </w:rPr>
            </w:pPr>
            <w:r>
              <w:rPr>
                <w:rFonts w:ascii="Arial" w:cs="Arial" w:eastAsia="Arial" w:hAnsi="Arial"/>
                <w:sz w:val="14"/>
                <w:szCs w:val="14"/>
                <w:color w:val="auto"/>
                <w:w w:val="79"/>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ind w:right="68"/>
              <w:spacing w:after="0"/>
              <w:rPr>
                <w:sz w:val="20"/>
                <w:szCs w:val="20"/>
                <w:color w:val="auto"/>
              </w:rPr>
            </w:pPr>
            <w:r>
              <w:rPr>
                <w:rFonts w:ascii="Arial" w:cs="Arial" w:eastAsia="Arial" w:hAnsi="Arial"/>
                <w:sz w:val="14"/>
                <w:szCs w:val="14"/>
                <w:color w:val="auto"/>
              </w:rPr>
              <w:t>6,862</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16.3</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69"/>
        </w:trPr>
        <w:tc>
          <w:tcPr>
            <w:tcW w:w="224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Sub-prime – FICO score less</w:t>
            </w: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2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than 620</w:t>
            </w: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1,917</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3,178</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1,982</w:t>
            </w:r>
          </w:p>
        </w:tc>
        <w:tc>
          <w:tcPr>
            <w:tcW w:w="1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1,440</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833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396</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157</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9,903</w:t>
            </w:r>
          </w:p>
        </w:tc>
        <w:tc>
          <w:tcPr>
            <w:tcW w:w="1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9,967</w:t>
            </w:r>
          </w:p>
        </w:tc>
        <w:tc>
          <w:tcPr>
            <w:tcW w:w="1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46"/>
        </w:trPr>
        <w:tc>
          <w:tcPr>
            <w:tcW w:w="2240" w:type="dxa"/>
            <w:vAlign w:val="bottom"/>
          </w:tcPr>
          <w:p>
            <w:pPr>
              <w:ind w:left="20"/>
              <w:spacing w:after="0" w:line="146" w:lineRule="exact"/>
              <w:rPr>
                <w:sz w:val="20"/>
                <w:szCs w:val="20"/>
                <w:color w:val="auto"/>
              </w:rPr>
            </w:pPr>
            <w:r>
              <w:rPr>
                <w:rFonts w:ascii="Arial" w:cs="Arial" w:eastAsia="Arial" w:hAnsi="Arial"/>
                <w:sz w:val="16"/>
                <w:szCs w:val="16"/>
                <w:color w:val="auto"/>
                <w:w w:val="95"/>
              </w:rPr>
              <w:t>Retail finance receivables, net of</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vMerge w:val="restart"/>
          </w:tcPr>
          <w:p>
            <w:pPr>
              <w:jc w:val="right"/>
              <w:ind w:right="68"/>
              <w:spacing w:after="0"/>
              <w:rPr>
                <w:sz w:val="20"/>
                <w:szCs w:val="20"/>
                <w:color w:val="auto"/>
              </w:rPr>
            </w:pPr>
            <w:r>
              <w:rPr>
                <w:rFonts w:ascii="Arial" w:cs="Arial" w:eastAsia="Arial" w:hAnsi="Arial"/>
                <w:sz w:val="14"/>
                <w:szCs w:val="14"/>
                <w:color w:val="auto"/>
                <w:w w:val="97"/>
              </w:rPr>
              <w:t>14,007</w:t>
            </w: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ind w:right="68"/>
              <w:spacing w:after="0"/>
              <w:rPr>
                <w:sz w:val="20"/>
                <w:szCs w:val="20"/>
                <w:color w:val="auto"/>
              </w:rPr>
            </w:pPr>
            <w:r>
              <w:rPr>
                <w:rFonts w:ascii="Arial" w:cs="Arial" w:eastAsia="Arial" w:hAnsi="Arial"/>
                <w:sz w:val="14"/>
                <w:szCs w:val="14"/>
                <w:color w:val="auto"/>
                <w:w w:val="93"/>
              </w:rPr>
              <w:t>14,720</w:t>
            </w:r>
          </w:p>
        </w:tc>
        <w:tc>
          <w:tcPr>
            <w:tcW w:w="12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420" w:type="dxa"/>
            <w:vAlign w:val="bottom"/>
            <w:vMerge w:val="restart"/>
          </w:tcPr>
          <w:p>
            <w:pPr>
              <w:jc w:val="right"/>
              <w:spacing w:after="0"/>
              <w:rPr>
                <w:sz w:val="20"/>
                <w:szCs w:val="20"/>
                <w:color w:val="auto"/>
              </w:rPr>
            </w:pPr>
            <w:r>
              <w:rPr>
                <w:rFonts w:ascii="Arial" w:cs="Arial" w:eastAsia="Arial" w:hAnsi="Arial"/>
                <w:sz w:val="14"/>
                <w:szCs w:val="14"/>
                <w:color w:val="auto"/>
              </w:rPr>
              <w:t>9,612</w:t>
            </w:r>
          </w:p>
        </w:tc>
        <w:tc>
          <w:tcPr>
            <w:tcW w:w="400" w:type="dxa"/>
            <w:vAlign w:val="bottom"/>
            <w:gridSpan w:val="3"/>
            <w:vMerge w:val="restart"/>
          </w:tcPr>
          <w:p>
            <w:pPr>
              <w:jc w:val="right"/>
              <w:ind w:right="60"/>
              <w:spacing w:after="0"/>
              <w:rPr>
                <w:sz w:val="20"/>
                <w:szCs w:val="20"/>
                <w:color w:val="auto"/>
              </w:rPr>
            </w:pPr>
            <w:r>
              <w:rPr>
                <w:rFonts w:ascii="Arial" w:cs="Arial" w:eastAsia="Arial" w:hAnsi="Arial"/>
                <w:sz w:val="14"/>
                <w:szCs w:val="14"/>
                <w:color w:val="auto"/>
              </w:rPr>
              <w:t>$</w:t>
            </w:r>
          </w:p>
        </w:tc>
        <w:tc>
          <w:tcPr>
            <w:tcW w:w="540" w:type="dxa"/>
            <w:vAlign w:val="bottom"/>
            <w:vMerge w:val="restart"/>
          </w:tcPr>
          <w:p>
            <w:pPr>
              <w:jc w:val="right"/>
              <w:ind w:right="68"/>
              <w:spacing w:after="0"/>
              <w:rPr>
                <w:sz w:val="20"/>
                <w:szCs w:val="20"/>
                <w:color w:val="auto"/>
              </w:rPr>
            </w:pPr>
            <w:r>
              <w:rPr>
                <w:rFonts w:ascii="Arial" w:cs="Arial" w:eastAsia="Arial" w:hAnsi="Arial"/>
                <w:sz w:val="14"/>
                <w:szCs w:val="14"/>
                <w:color w:val="auto"/>
              </w:rPr>
              <w:t>5,042</w:t>
            </w:r>
          </w:p>
        </w:tc>
        <w:tc>
          <w:tcPr>
            <w:tcW w:w="120" w:type="dxa"/>
            <w:vAlign w:val="bottom"/>
          </w:tcPr>
          <w:p>
            <w:pPr>
              <w:spacing w:after="0"/>
              <w:rPr>
                <w:sz w:val="12"/>
                <w:szCs w:val="12"/>
                <w:color w:val="auto"/>
              </w:rPr>
            </w:pPr>
          </w:p>
        </w:tc>
        <w:tc>
          <w:tcPr>
            <w:tcW w:w="160" w:type="dxa"/>
            <w:vAlign w:val="bottom"/>
            <w:vMerge w:val="restart"/>
          </w:tcPr>
          <w:p>
            <w:pPr>
              <w:jc w:val="right"/>
              <w:ind w:right="8"/>
              <w:spacing w:after="0"/>
              <w:rPr>
                <w:sz w:val="20"/>
                <w:szCs w:val="20"/>
                <w:color w:val="auto"/>
              </w:rPr>
            </w:pPr>
            <w:r>
              <w:rPr>
                <w:rFonts w:ascii="Arial" w:cs="Arial" w:eastAsia="Arial" w:hAnsi="Arial"/>
                <w:sz w:val="14"/>
                <w:szCs w:val="14"/>
                <w:color w:val="auto"/>
                <w:w w:val="76"/>
              </w:rPr>
              <w:t>$</w:t>
            </w:r>
          </w:p>
        </w:tc>
        <w:tc>
          <w:tcPr>
            <w:tcW w:w="540" w:type="dxa"/>
            <w:vAlign w:val="bottom"/>
            <w:vMerge w:val="restart"/>
          </w:tcPr>
          <w:p>
            <w:pPr>
              <w:jc w:val="right"/>
              <w:ind w:right="68"/>
              <w:spacing w:after="0"/>
              <w:rPr>
                <w:sz w:val="20"/>
                <w:szCs w:val="20"/>
                <w:color w:val="auto"/>
              </w:rPr>
            </w:pPr>
            <w:r>
              <w:rPr>
                <w:rFonts w:ascii="Arial" w:cs="Arial" w:eastAsia="Arial" w:hAnsi="Arial"/>
                <w:sz w:val="14"/>
                <w:szCs w:val="14"/>
                <w:color w:val="auto"/>
              </w:rPr>
              <w:t>2,113</w:t>
            </w:r>
          </w:p>
        </w:tc>
        <w:tc>
          <w:tcPr>
            <w:tcW w:w="10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40" w:type="dxa"/>
            <w:vAlign w:val="bottom"/>
            <w:vMerge w:val="restart"/>
          </w:tcPr>
          <w:p>
            <w:pPr>
              <w:jc w:val="right"/>
              <w:ind w:right="68"/>
              <w:spacing w:after="0"/>
              <w:rPr>
                <w:sz w:val="20"/>
                <w:szCs w:val="20"/>
                <w:color w:val="auto"/>
              </w:rPr>
            </w:pPr>
            <w:r>
              <w:rPr>
                <w:rFonts w:ascii="Arial" w:cs="Arial" w:eastAsia="Arial" w:hAnsi="Arial"/>
                <w:sz w:val="14"/>
                <w:szCs w:val="14"/>
                <w:color w:val="auto"/>
              </w:rPr>
              <w:t>787</w:t>
            </w:r>
          </w:p>
        </w:tc>
        <w:tc>
          <w:tcPr>
            <w:tcW w:w="12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vMerge w:val="restart"/>
          </w:tcPr>
          <w:p>
            <w:pPr>
              <w:jc w:val="right"/>
              <w:ind w:right="68"/>
              <w:spacing w:after="0"/>
              <w:rPr>
                <w:sz w:val="20"/>
                <w:szCs w:val="20"/>
                <w:color w:val="auto"/>
              </w:rPr>
            </w:pPr>
            <w:r>
              <w:rPr>
                <w:rFonts w:ascii="Arial" w:cs="Arial" w:eastAsia="Arial" w:hAnsi="Arial"/>
                <w:sz w:val="14"/>
                <w:szCs w:val="14"/>
                <w:color w:val="auto"/>
              </w:rPr>
              <w:t>191</w:t>
            </w: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ind w:right="68"/>
              <w:spacing w:after="0"/>
              <w:rPr>
                <w:sz w:val="20"/>
                <w:szCs w:val="20"/>
                <w:color w:val="auto"/>
              </w:rPr>
            </w:pPr>
            <w:r>
              <w:rPr>
                <w:rFonts w:ascii="Arial" w:cs="Arial" w:eastAsia="Arial" w:hAnsi="Arial"/>
                <w:sz w:val="14"/>
                <w:szCs w:val="14"/>
                <w:color w:val="auto"/>
                <w:w w:val="93"/>
              </w:rPr>
              <w:t>46,472</w:t>
            </w:r>
          </w:p>
        </w:tc>
        <w:tc>
          <w:tcPr>
            <w:tcW w:w="12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100.0</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w w:val="79"/>
              </w:rPr>
              <w:t>%</w:t>
            </w:r>
          </w:p>
        </w:tc>
        <w:tc>
          <w:tcPr>
            <w:tcW w:w="1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vMerge w:val="restart"/>
          </w:tcPr>
          <w:p>
            <w:pPr>
              <w:jc w:val="right"/>
              <w:ind w:right="68"/>
              <w:spacing w:after="0"/>
              <w:rPr>
                <w:sz w:val="20"/>
                <w:szCs w:val="20"/>
                <w:color w:val="auto"/>
              </w:rPr>
            </w:pPr>
            <w:r>
              <w:rPr>
                <w:rFonts w:ascii="Arial" w:cs="Arial" w:eastAsia="Arial" w:hAnsi="Arial"/>
                <w:sz w:val="14"/>
                <w:szCs w:val="14"/>
                <w:color w:val="auto"/>
                <w:w w:val="97"/>
              </w:rPr>
              <w:t>42,229</w:t>
            </w:r>
          </w:p>
        </w:tc>
        <w:tc>
          <w:tcPr>
            <w:tcW w:w="10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100.0</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85"/>
        </w:trPr>
        <w:tc>
          <w:tcPr>
            <w:tcW w:w="2240" w:type="dxa"/>
            <w:vAlign w:val="bottom"/>
          </w:tcPr>
          <w:p>
            <w:pPr>
              <w:ind w:left="180"/>
              <w:spacing w:after="0"/>
              <w:rPr>
                <w:sz w:val="20"/>
                <w:szCs w:val="20"/>
                <w:color w:val="auto"/>
              </w:rPr>
            </w:pPr>
            <w:r>
              <w:rPr>
                <w:rFonts w:ascii="Arial" w:cs="Arial" w:eastAsia="Arial" w:hAnsi="Arial"/>
                <w:sz w:val="16"/>
                <w:szCs w:val="16"/>
                <w:color w:val="auto"/>
              </w:rPr>
              <w:t>fees</w:t>
            </w:r>
          </w:p>
        </w:tc>
        <w:tc>
          <w:tcPr>
            <w:tcW w:w="120" w:type="dxa"/>
            <w:vAlign w:val="bottom"/>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420" w:type="dxa"/>
            <w:vAlign w:val="bottom"/>
            <w:vMerge w:val="continue"/>
          </w:tcPr>
          <w:p>
            <w:pPr>
              <w:spacing w:after="0"/>
              <w:rPr>
                <w:sz w:val="16"/>
                <w:szCs w:val="16"/>
                <w:color w:val="auto"/>
              </w:rPr>
            </w:pPr>
          </w:p>
        </w:tc>
        <w:tc>
          <w:tcPr>
            <w:tcW w:w="400" w:type="dxa"/>
            <w:vAlign w:val="bottom"/>
            <w:gridSpan w:val="3"/>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7"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color w:val="auto"/>
        </w:rPr>
        <w:t>GM Financial reviews the ongoing credit quality of retail finance receivables based on customer payment activity. A retail account is considered delinquent if a substantial portion of a scheduled payment has not been received by the date the payment was contractually due. Retail finance receivables are collateralized by vehicle titles and, subject to local laws, GM Financial generally has the right to repossess the vehicle in the event the customer defaults on the payment terms of the contract. The accrual of finance charge income had been suspended on delinquent retail finance receivables with contractual amounts due of $907 million and $875 million at June 30, 2020 and December 31, 2019. The following table is a consolidated summary of the delinquency status of the outstanding amortized cost of retail finance receivables for each vintage of the portfolio at June 30, 2020:</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3"/>
              </w:rPr>
              <w:t>Year of Origination</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168"/>
              <w:spacing w:after="0"/>
              <w:rPr>
                <w:sz w:val="20"/>
                <w:szCs w:val="20"/>
                <w:color w:val="auto"/>
              </w:rPr>
            </w:pPr>
            <w:r>
              <w:rPr>
                <w:rFonts w:ascii="Arial" w:cs="Arial" w:eastAsia="Arial" w:hAnsi="Arial"/>
                <w:sz w:val="14"/>
                <w:szCs w:val="14"/>
                <w:b w:val="1"/>
                <w:bCs w:val="1"/>
                <w:color w:val="auto"/>
              </w:rPr>
              <w:t>June 30, 2020</w:t>
            </w:r>
          </w:p>
        </w:tc>
        <w:tc>
          <w:tcPr>
            <w:tcW w:w="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148"/>
              <w:spacing w:after="0"/>
              <w:rPr>
                <w:sz w:val="20"/>
                <w:szCs w:val="20"/>
                <w:color w:val="auto"/>
              </w:rPr>
            </w:pPr>
            <w:r>
              <w:rPr>
                <w:rFonts w:ascii="Arial" w:cs="Arial" w:eastAsia="Arial" w:hAnsi="Arial"/>
                <w:sz w:val="14"/>
                <w:szCs w:val="14"/>
                <w:b w:val="1"/>
                <w:bCs w:val="1"/>
                <w:color w:val="auto"/>
              </w:rPr>
              <w:t>June 30, 2019</w:t>
            </w:r>
          </w:p>
        </w:tc>
        <w:tc>
          <w:tcPr>
            <w:tcW w:w="160" w:type="dxa"/>
            <w:vAlign w:val="bottom"/>
            <w:tcBorders>
              <w:bottom w:val="single" w:sz="8" w:color="auto"/>
            </w:tcBorders>
          </w:tcPr>
          <w:p>
            <w:pPr>
              <w:spacing w:after="0"/>
              <w:rPr>
                <w:sz w:val="16"/>
                <w:szCs w:val="16"/>
                <w:color w:val="auto"/>
              </w:rPr>
            </w:pPr>
          </w:p>
        </w:tc>
      </w:tr>
      <w:tr>
        <w:trPr>
          <w:trHeight w:val="196"/>
        </w:trPr>
        <w:tc>
          <w:tcPr>
            <w:tcW w:w="22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Prior</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Percent</w:t>
            </w: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94"/>
              </w:rPr>
              <w:t>Total(a)</w:t>
            </w:r>
          </w:p>
        </w:tc>
        <w:tc>
          <w:tcPr>
            <w:tcW w:w="10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Percent</w:t>
            </w:r>
          </w:p>
        </w:tc>
        <w:tc>
          <w:tcPr>
            <w:tcW w:w="160" w:type="dxa"/>
            <w:vAlign w:val="bottom"/>
            <w:tcBorders>
              <w:bottom w:val="single" w:sz="8" w:color="auto"/>
            </w:tcBorders>
          </w:tcPr>
          <w:p>
            <w:pPr>
              <w:spacing w:after="0"/>
              <w:rPr>
                <w:sz w:val="17"/>
                <w:szCs w:val="17"/>
                <w:color w:val="auto"/>
              </w:rPr>
            </w:pPr>
          </w:p>
        </w:tc>
      </w:tr>
      <w:tr>
        <w:trPr>
          <w:trHeight w:val="256"/>
        </w:trPr>
        <w:tc>
          <w:tcPr>
            <w:tcW w:w="2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97"/>
              </w:rPr>
              <w:t>13,875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93"/>
              </w:rPr>
              <w:t>14,234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9,224</w:t>
            </w:r>
          </w:p>
        </w:tc>
        <w:tc>
          <w:tcPr>
            <w:tcW w:w="40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4,752</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1,930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689</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93"/>
              </w:rPr>
              <w:t>44,852</w:t>
            </w:r>
          </w:p>
        </w:tc>
        <w:tc>
          <w:tcPr>
            <w:tcW w:w="12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96.5</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r>
      <w:tr>
        <w:trPr>
          <w:trHeight w:val="264"/>
        </w:trPr>
        <w:tc>
          <w:tcPr>
            <w:tcW w:w="2240" w:type="dxa"/>
            <w:vAlign w:val="bottom"/>
          </w:tcPr>
          <w:p>
            <w:pPr>
              <w:ind w:left="20"/>
              <w:spacing w:after="0"/>
              <w:rPr>
                <w:sz w:val="20"/>
                <w:szCs w:val="20"/>
                <w:color w:val="auto"/>
              </w:rPr>
            </w:pPr>
            <w:r>
              <w:rPr>
                <w:rFonts w:ascii="Arial" w:cs="Arial" w:eastAsia="Arial" w:hAnsi="Arial"/>
                <w:sz w:val="18"/>
                <w:szCs w:val="18"/>
                <w:color w:val="auto"/>
              </w:rPr>
              <w:t>31-to-60 days</w:t>
            </w:r>
          </w:p>
        </w:tc>
        <w:tc>
          <w:tcPr>
            <w:tcW w:w="120" w:type="dxa"/>
            <w:vAlign w:val="bottom"/>
          </w:tcPr>
          <w:p>
            <w:pPr>
              <w:spacing w:after="0"/>
              <w:rPr>
                <w:sz w:val="22"/>
                <w:szCs w:val="22"/>
                <w:color w:val="auto"/>
              </w:rPr>
            </w:pPr>
          </w:p>
        </w:tc>
        <w:tc>
          <w:tcPr>
            <w:tcW w:w="580" w:type="dxa"/>
            <w:vAlign w:val="bottom"/>
          </w:tcPr>
          <w:p>
            <w:pPr>
              <w:jc w:val="right"/>
              <w:ind w:right="68"/>
              <w:spacing w:after="0"/>
              <w:rPr>
                <w:sz w:val="20"/>
                <w:szCs w:val="20"/>
                <w:color w:val="auto"/>
              </w:rPr>
            </w:pPr>
            <w:r>
              <w:rPr>
                <w:rFonts w:ascii="Arial" w:cs="Arial" w:eastAsia="Arial" w:hAnsi="Arial"/>
                <w:sz w:val="14"/>
                <w:szCs w:val="14"/>
                <w:color w:val="auto"/>
              </w:rPr>
              <w:t>86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295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236</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jc w:val="right"/>
              <w:ind w:right="68"/>
              <w:spacing w:after="0"/>
              <w:rPr>
                <w:sz w:val="20"/>
                <w:szCs w:val="20"/>
                <w:color w:val="auto"/>
              </w:rPr>
            </w:pPr>
            <w:r>
              <w:rPr>
                <w:rFonts w:ascii="Arial" w:cs="Arial" w:eastAsia="Arial" w:hAnsi="Arial"/>
                <w:sz w:val="14"/>
                <w:szCs w:val="14"/>
                <w:color w:val="auto"/>
              </w:rPr>
              <w:t>181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jc w:val="right"/>
              <w:ind w:right="68"/>
              <w:spacing w:after="0"/>
              <w:rPr>
                <w:sz w:val="20"/>
                <w:szCs w:val="20"/>
                <w:color w:val="auto"/>
              </w:rPr>
            </w:pPr>
            <w:r>
              <w:rPr>
                <w:rFonts w:ascii="Arial" w:cs="Arial" w:eastAsia="Arial" w:hAnsi="Arial"/>
                <w:sz w:val="14"/>
                <w:szCs w:val="14"/>
                <w:color w:val="auto"/>
              </w:rPr>
              <w:t>114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jc w:val="right"/>
              <w:ind w:right="68"/>
              <w:spacing w:after="0"/>
              <w:rPr>
                <w:sz w:val="20"/>
                <w:szCs w:val="20"/>
                <w:color w:val="auto"/>
              </w:rPr>
            </w:pPr>
            <w:r>
              <w:rPr>
                <w:rFonts w:ascii="Arial" w:cs="Arial" w:eastAsia="Arial" w:hAnsi="Arial"/>
                <w:sz w:val="14"/>
                <w:szCs w:val="14"/>
                <w:color w:val="auto"/>
              </w:rPr>
              <w:t>61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998</w:t>
            </w:r>
          </w:p>
        </w:tc>
        <w:tc>
          <w:tcPr>
            <w:tcW w:w="1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2.2</w:t>
            </w:r>
          </w:p>
        </w:tc>
        <w:tc>
          <w:tcPr>
            <w:tcW w:w="140" w:type="dxa"/>
            <w:vAlign w:val="bottom"/>
          </w:tcPr>
          <w:p>
            <w:pPr>
              <w:jc w:val="right"/>
              <w:spacing w:after="0"/>
              <w:rPr>
                <w:sz w:val="20"/>
                <w:szCs w:val="20"/>
                <w:color w:val="auto"/>
              </w:rPr>
            </w:pPr>
            <w:r>
              <w:rPr>
                <w:rFonts w:ascii="Arial" w:cs="Arial" w:eastAsia="Arial" w:hAnsi="Arial"/>
                <w:sz w:val="14"/>
                <w:szCs w:val="14"/>
                <w:color w:val="auto"/>
                <w:w w:val="79"/>
              </w:rPr>
              <w:t>%</w:t>
            </w:r>
          </w:p>
        </w:tc>
        <w:tc>
          <w:tcPr>
            <w:tcW w:w="2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1,083</w:t>
            </w: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2.5</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76"/>
        </w:trPr>
        <w:tc>
          <w:tcPr>
            <w:tcW w:w="2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Greater-than-60 days</w:t>
            </w:r>
          </w:p>
        </w:tc>
        <w:tc>
          <w:tcPr>
            <w:tcW w:w="120" w:type="dxa"/>
            <w:vAlign w:val="bottom"/>
            <w:tcBorders>
              <w:bottom w:val="single" w:sz="8" w:color="auto"/>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183</w:t>
            </w: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147</w:t>
            </w:r>
          </w:p>
        </w:tc>
        <w:tc>
          <w:tcPr>
            <w:tcW w:w="14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106</w:t>
            </w: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67</w:t>
            </w: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36</w:t>
            </w: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601</w:t>
            </w:r>
          </w:p>
        </w:tc>
        <w:tc>
          <w:tcPr>
            <w:tcW w:w="120" w:type="dxa"/>
            <w:vAlign w:val="bottom"/>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10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498</w:t>
            </w:r>
          </w:p>
        </w:tc>
        <w:tc>
          <w:tcPr>
            <w:tcW w:w="100" w:type="dxa"/>
            <w:vAlign w:val="bottom"/>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w:t>
            </w:r>
          </w:p>
        </w:tc>
      </w:tr>
      <w:tr>
        <w:trPr>
          <w:trHeight w:val="156"/>
        </w:trPr>
        <w:tc>
          <w:tcPr>
            <w:tcW w:w="2240" w:type="dxa"/>
            <w:vAlign w:val="bottom"/>
          </w:tcPr>
          <w:p>
            <w:pPr>
              <w:ind w:left="20"/>
              <w:spacing w:after="0" w:line="156" w:lineRule="exact"/>
              <w:rPr>
                <w:sz w:val="20"/>
                <w:szCs w:val="20"/>
                <w:color w:val="auto"/>
              </w:rPr>
            </w:pPr>
            <w:r>
              <w:rPr>
                <w:rFonts w:ascii="Arial" w:cs="Arial" w:eastAsia="Arial" w:hAnsi="Arial"/>
                <w:sz w:val="18"/>
                <w:szCs w:val="18"/>
                <w:color w:val="auto"/>
              </w:rPr>
              <w:t>Finance receivables more</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229"/>
        </w:trPr>
        <w:tc>
          <w:tcPr>
            <w:tcW w:w="2240" w:type="dxa"/>
            <w:vAlign w:val="bottom"/>
          </w:tcPr>
          <w:p>
            <w:pPr>
              <w:ind w:left="180"/>
              <w:spacing w:after="0"/>
              <w:rPr>
                <w:sz w:val="20"/>
                <w:szCs w:val="20"/>
                <w:color w:val="auto"/>
              </w:rPr>
            </w:pPr>
            <w:r>
              <w:rPr>
                <w:rFonts w:ascii="Arial" w:cs="Arial" w:eastAsia="Arial" w:hAnsi="Arial"/>
                <w:sz w:val="18"/>
                <w:szCs w:val="18"/>
                <w:color w:val="auto"/>
              </w:rPr>
              <w:t>than 30 days delinquent</w:t>
            </w:r>
          </w:p>
        </w:tc>
        <w:tc>
          <w:tcPr>
            <w:tcW w:w="120" w:type="dxa"/>
            <w:vAlign w:val="bottom"/>
          </w:tcPr>
          <w:p>
            <w:pPr>
              <w:spacing w:after="0"/>
              <w:rPr>
                <w:sz w:val="19"/>
                <w:szCs w:val="19"/>
                <w:color w:val="auto"/>
              </w:rPr>
            </w:pPr>
          </w:p>
        </w:tc>
        <w:tc>
          <w:tcPr>
            <w:tcW w:w="580" w:type="dxa"/>
            <w:vAlign w:val="bottom"/>
          </w:tcPr>
          <w:p>
            <w:pPr>
              <w:jc w:val="right"/>
              <w:ind w:right="68"/>
              <w:spacing w:after="0"/>
              <w:rPr>
                <w:sz w:val="20"/>
                <w:szCs w:val="20"/>
                <w:color w:val="auto"/>
              </w:rPr>
            </w:pPr>
            <w:r>
              <w:rPr>
                <w:rFonts w:ascii="Arial" w:cs="Arial" w:eastAsia="Arial" w:hAnsi="Arial"/>
                <w:sz w:val="14"/>
                <w:szCs w:val="14"/>
                <w:color w:val="auto"/>
              </w:rPr>
              <w:t>130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478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383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ind w:right="68"/>
              <w:spacing w:after="0"/>
              <w:rPr>
                <w:sz w:val="20"/>
                <w:szCs w:val="20"/>
                <w:color w:val="auto"/>
              </w:rPr>
            </w:pPr>
            <w:r>
              <w:rPr>
                <w:rFonts w:ascii="Arial" w:cs="Arial" w:eastAsia="Arial" w:hAnsi="Arial"/>
                <w:sz w:val="14"/>
                <w:szCs w:val="14"/>
                <w:color w:val="auto"/>
              </w:rPr>
              <w:t>287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ind w:right="68"/>
              <w:spacing w:after="0"/>
              <w:rPr>
                <w:sz w:val="20"/>
                <w:szCs w:val="20"/>
                <w:color w:val="auto"/>
              </w:rPr>
            </w:pPr>
            <w:r>
              <w:rPr>
                <w:rFonts w:ascii="Arial" w:cs="Arial" w:eastAsia="Arial" w:hAnsi="Arial"/>
                <w:sz w:val="14"/>
                <w:szCs w:val="14"/>
                <w:color w:val="auto"/>
              </w:rPr>
              <w:t>181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ind w:right="68"/>
              <w:spacing w:after="0"/>
              <w:rPr>
                <w:sz w:val="20"/>
                <w:szCs w:val="20"/>
                <w:color w:val="auto"/>
              </w:rPr>
            </w:pPr>
            <w:r>
              <w:rPr>
                <w:rFonts w:ascii="Arial" w:cs="Arial" w:eastAsia="Arial" w:hAnsi="Arial"/>
                <w:sz w:val="14"/>
                <w:szCs w:val="14"/>
                <w:color w:val="auto"/>
              </w:rPr>
              <w:t>97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1,599</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3.5</w:t>
            </w:r>
          </w:p>
        </w:tc>
        <w:tc>
          <w:tcPr>
            <w:tcW w:w="140" w:type="dxa"/>
            <w:vAlign w:val="bottom"/>
          </w:tcPr>
          <w:p>
            <w:pPr>
              <w:jc w:val="right"/>
              <w:spacing w:after="0"/>
              <w:rPr>
                <w:sz w:val="20"/>
                <w:szCs w:val="20"/>
                <w:color w:val="auto"/>
              </w:rPr>
            </w:pPr>
            <w:r>
              <w:rPr>
                <w:rFonts w:ascii="Arial" w:cs="Arial" w:eastAsia="Arial" w:hAnsi="Arial"/>
                <w:sz w:val="14"/>
                <w:szCs w:val="14"/>
                <w:color w:val="auto"/>
                <w:w w:val="79"/>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1,581</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3.7</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70"/>
        </w:trPr>
        <w:tc>
          <w:tcPr>
            <w:tcW w:w="2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 repossession</w:t>
            </w: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48</w:t>
            </w:r>
          </w:p>
        </w:tc>
        <w:tc>
          <w:tcPr>
            <w:tcW w:w="1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0.1 %</w:t>
            </w:r>
          </w:p>
        </w:tc>
      </w:tr>
      <w:tr>
        <w:trPr>
          <w:trHeight w:val="156"/>
        </w:trPr>
        <w:tc>
          <w:tcPr>
            <w:tcW w:w="2240" w:type="dxa"/>
            <w:vAlign w:val="bottom"/>
          </w:tcPr>
          <w:p>
            <w:pPr>
              <w:ind w:left="20"/>
              <w:spacing w:after="0" w:line="156" w:lineRule="exact"/>
              <w:rPr>
                <w:sz w:val="20"/>
                <w:szCs w:val="20"/>
                <w:color w:val="auto"/>
              </w:rPr>
            </w:pPr>
            <w:r>
              <w:rPr>
                <w:rFonts w:ascii="Arial" w:cs="Arial" w:eastAsia="Arial" w:hAnsi="Arial"/>
                <w:sz w:val="18"/>
                <w:szCs w:val="18"/>
                <w:color w:val="auto"/>
              </w:rPr>
              <w:t>Finance receivables more</w:t>
            </w:r>
          </w:p>
        </w:tc>
        <w:tc>
          <w:tcPr>
            <w:tcW w:w="1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r>
      <w:tr>
        <w:trPr>
          <w:trHeight w:val="175"/>
        </w:trPr>
        <w:tc>
          <w:tcPr>
            <w:tcW w:w="2240" w:type="dxa"/>
            <w:vAlign w:val="bottom"/>
          </w:tcPr>
          <w:p>
            <w:pPr>
              <w:ind w:left="180"/>
              <w:spacing w:after="0" w:line="176" w:lineRule="exact"/>
              <w:rPr>
                <w:sz w:val="20"/>
                <w:szCs w:val="20"/>
                <w:color w:val="auto"/>
              </w:rPr>
            </w:pPr>
            <w:r>
              <w:rPr>
                <w:rFonts w:ascii="Arial" w:cs="Arial" w:eastAsia="Arial" w:hAnsi="Arial"/>
                <w:sz w:val="18"/>
                <w:szCs w:val="18"/>
                <w:color w:val="auto"/>
                <w:w w:val="96"/>
              </w:rPr>
              <w:t>than 30 days delinquent or</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03"/>
        </w:trPr>
        <w:tc>
          <w:tcPr>
            <w:tcW w:w="2240" w:type="dxa"/>
            <w:vAlign w:val="bottom"/>
          </w:tcPr>
          <w:p>
            <w:pPr>
              <w:ind w:left="180"/>
              <w:spacing w:after="0" w:line="202" w:lineRule="exact"/>
              <w:rPr>
                <w:sz w:val="20"/>
                <w:szCs w:val="20"/>
                <w:color w:val="auto"/>
              </w:rPr>
            </w:pPr>
            <w:r>
              <w:rPr>
                <w:rFonts w:ascii="Arial" w:cs="Arial" w:eastAsia="Arial" w:hAnsi="Arial"/>
                <w:sz w:val="18"/>
                <w:szCs w:val="18"/>
                <w:color w:val="auto"/>
              </w:rPr>
              <w:t>in repossession</w:t>
            </w:r>
          </w:p>
        </w:tc>
        <w:tc>
          <w:tcPr>
            <w:tcW w:w="120" w:type="dxa"/>
            <w:vAlign w:val="bottom"/>
          </w:tcPr>
          <w:p>
            <w:pPr>
              <w:spacing w:after="0"/>
              <w:rPr>
                <w:sz w:val="17"/>
                <w:szCs w:val="17"/>
                <w:color w:val="auto"/>
              </w:rPr>
            </w:pPr>
          </w:p>
        </w:tc>
        <w:tc>
          <w:tcPr>
            <w:tcW w:w="580" w:type="dxa"/>
            <w:vAlign w:val="bottom"/>
          </w:tcPr>
          <w:p>
            <w:pPr>
              <w:jc w:val="right"/>
              <w:ind w:right="68"/>
              <w:spacing w:after="0"/>
              <w:rPr>
                <w:sz w:val="20"/>
                <w:szCs w:val="20"/>
                <w:color w:val="auto"/>
              </w:rPr>
            </w:pPr>
            <w:r>
              <w:rPr>
                <w:rFonts w:ascii="Arial" w:cs="Arial" w:eastAsia="Arial" w:hAnsi="Arial"/>
                <w:sz w:val="14"/>
                <w:szCs w:val="14"/>
                <w:color w:val="auto"/>
              </w:rPr>
              <w:t>132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486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388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jc w:val="right"/>
              <w:ind w:right="68"/>
              <w:spacing w:after="0"/>
              <w:rPr>
                <w:sz w:val="20"/>
                <w:szCs w:val="20"/>
                <w:color w:val="auto"/>
              </w:rPr>
            </w:pPr>
            <w:r>
              <w:rPr>
                <w:rFonts w:ascii="Arial" w:cs="Arial" w:eastAsia="Arial" w:hAnsi="Arial"/>
                <w:sz w:val="14"/>
                <w:szCs w:val="14"/>
                <w:color w:val="auto"/>
              </w:rPr>
              <w:t>290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jc w:val="right"/>
              <w:ind w:right="68"/>
              <w:spacing w:after="0"/>
              <w:rPr>
                <w:sz w:val="20"/>
                <w:szCs w:val="20"/>
                <w:color w:val="auto"/>
              </w:rPr>
            </w:pPr>
            <w:r>
              <w:rPr>
                <w:rFonts w:ascii="Arial" w:cs="Arial" w:eastAsia="Arial" w:hAnsi="Arial"/>
                <w:sz w:val="14"/>
                <w:szCs w:val="14"/>
                <w:color w:val="auto"/>
              </w:rPr>
              <w:t>183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jc w:val="right"/>
              <w:ind w:right="68"/>
              <w:spacing w:after="0"/>
              <w:rPr>
                <w:sz w:val="20"/>
                <w:szCs w:val="20"/>
                <w:color w:val="auto"/>
              </w:rPr>
            </w:pPr>
            <w:r>
              <w:rPr>
                <w:rFonts w:ascii="Arial" w:cs="Arial" w:eastAsia="Arial" w:hAnsi="Arial"/>
                <w:sz w:val="14"/>
                <w:szCs w:val="14"/>
                <w:color w:val="auto"/>
              </w:rPr>
              <w:t>98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1,620</w:t>
            </w: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3.5</w:t>
            </w:r>
          </w:p>
        </w:tc>
        <w:tc>
          <w:tcPr>
            <w:tcW w:w="140" w:type="dxa"/>
            <w:vAlign w:val="bottom"/>
          </w:tcPr>
          <w:p>
            <w:pPr>
              <w:jc w:val="right"/>
              <w:spacing w:after="0"/>
              <w:rPr>
                <w:sz w:val="20"/>
                <w:szCs w:val="20"/>
                <w:color w:val="auto"/>
              </w:rPr>
            </w:pPr>
            <w:r>
              <w:rPr>
                <w:rFonts w:ascii="Arial" w:cs="Arial" w:eastAsia="Arial" w:hAnsi="Arial"/>
                <w:sz w:val="14"/>
                <w:szCs w:val="14"/>
                <w:color w:val="auto"/>
                <w:w w:val="79"/>
              </w:rPr>
              <w:t>%</w:t>
            </w:r>
          </w:p>
        </w:tc>
        <w:tc>
          <w:tcPr>
            <w:tcW w:w="2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1,629</w:t>
            </w: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3.8</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
        </w:trPr>
        <w:tc>
          <w:tcPr>
            <w:tcW w:w="2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r>
      <w:tr>
        <w:trPr>
          <w:trHeight w:val="143"/>
        </w:trPr>
        <w:tc>
          <w:tcPr>
            <w:tcW w:w="224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color w:val="auto"/>
              </w:rPr>
              <w:t>Retail finance receivables, net</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223"/>
        </w:trPr>
        <w:tc>
          <w:tcPr>
            <w:tcW w:w="22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of fees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97"/>
              </w:rPr>
              <w:t>14,007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93"/>
              </w:rPr>
              <w:t>14,720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9,612</w:t>
            </w:r>
          </w:p>
        </w:tc>
        <w:tc>
          <w:tcPr>
            <w:tcW w:w="40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5,042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787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93"/>
              </w:rPr>
              <w:t>46,472</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23" w:lineRule="exact"/>
        <w:rPr>
          <w:sz w:val="20"/>
          <w:szCs w:val="20"/>
          <w:color w:val="auto"/>
        </w:rPr>
      </w:pPr>
    </w:p>
    <w:p>
      <w:pPr>
        <w:spacing w:after="0"/>
        <w:tabs>
          <w:tab w:leader="none" w:pos="30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Represents the contractual amounts of delinquent retail finance receivables, which is not significantly different than the outstanding amortized cost for such receivables.</w:t>
      </w:r>
    </w:p>
    <w:p>
      <w:pPr>
        <w:spacing w:after="0" w:line="234"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outstanding amortized cost of retail finance receivables that are considered TDRs was $2.3 billion at June 30, 2020, including $320 million in nonaccrual loans.</w:t>
      </w:r>
    </w:p>
    <w:p>
      <w:pPr>
        <w:spacing w:after="0" w:line="197"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b w:val="1"/>
          <w:bCs w:val="1"/>
          <w:i w:val="1"/>
          <w:iCs w:val="1"/>
          <w:color w:val="auto"/>
        </w:rPr>
        <w:t xml:space="preserve">Commercial Finance Receivables </w:t>
      </w:r>
      <w:r>
        <w:rPr>
          <w:rFonts w:ascii="Arial" w:cs="Arial" w:eastAsia="Arial" w:hAnsi="Arial"/>
          <w:sz w:val="17"/>
          <w:szCs w:val="17"/>
          <w:color w:val="auto"/>
        </w:rPr>
        <w:t>GM Financial's commercial finance receivables consist of dealer financings, primarily for inventory purchases.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Proprietary models are used to assign a risk rating to each dealer. GM Financial performs periodic credit reviews of each dealership and adjusts the dealership's risk rating, if necessary. The commercial finance receivables on nonaccrual status were insignificant at June 30, 2020.</w:t>
      </w:r>
    </w:p>
    <w:p>
      <w:pPr>
        <w:spacing w:after="0" w:line="192"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color w:val="auto"/>
        </w:rPr>
        <w:t>Prior to January 1, 2020, GM Financial estimated the allowance for loan losses based on an analysis of the experience of comparable commercial lenders. Effective January 1, 2020, GM Financial establishes the allowance for loan losses based on historical loss experience for the consolidated portfolio, in addition to forecast for industry vehicle sales. The updated risk rating categories are as follows:</w:t>
      </w:r>
    </w:p>
    <w:p>
      <w:pPr>
        <w:sectPr>
          <w:pgSz w:w="11900" w:h="16838" w:orient="portrait"/>
          <w:cols w:equalWidth="0" w:num="1">
            <w:col w:w="11240"/>
          </w:cols>
          <w:pgMar w:left="320" w:top="125" w:right="339" w:bottom="1440" w:gutter="0" w:footer="0" w:header="0"/>
        </w:sectPr>
      </w:pPr>
    </w:p>
    <w:p>
      <w:pPr>
        <w:spacing w:after="0" w:line="11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Rating</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8"/>
          <w:szCs w:val="18"/>
          <w:color w:val="auto"/>
        </w:rPr>
        <w:t>I</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II</w:t>
      </w:r>
    </w:p>
    <w:p>
      <w:pPr>
        <w:spacing w:after="0" w:line="131" w:lineRule="exact"/>
        <w:rPr>
          <w:sz w:val="20"/>
          <w:szCs w:val="20"/>
          <w:color w:val="auto"/>
        </w:rPr>
      </w:pPr>
    </w:p>
    <w:p>
      <w:pPr>
        <w:ind w:left="20"/>
        <w:spacing w:after="0"/>
        <w:rPr>
          <w:sz w:val="20"/>
          <w:szCs w:val="20"/>
          <w:color w:val="auto"/>
        </w:rPr>
      </w:pPr>
      <w:r>
        <w:rPr>
          <w:rFonts w:ascii="Arial" w:cs="Arial" w:eastAsia="Arial" w:hAnsi="Arial"/>
          <w:sz w:val="18"/>
          <w:szCs w:val="18"/>
          <w:color w:val="auto"/>
        </w:rPr>
        <w:t>III</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-692785</wp:posOffset>
            </wp:positionH>
            <wp:positionV relativeFrom="paragraph">
              <wp:posOffset>34290</wp:posOffset>
            </wp:positionV>
            <wp:extent cx="7132320" cy="1797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color w:val="auto"/>
        </w:rPr>
        <w:t>Performing accounts with strong to acceptable financial metrics with at least satisfactory capacity to meet financial commitments.</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Performing accounts experiencing potential weakness in financial metrics and repayment prospects resulting in increased monitoring.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-692785</wp:posOffset>
            </wp:positionH>
            <wp:positionV relativeFrom="paragraph">
              <wp:posOffset>22225</wp:posOffset>
            </wp:positionV>
            <wp:extent cx="7132320" cy="2571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15" w:lineRule="exact"/>
        <w:rPr>
          <w:sz w:val="20"/>
          <w:szCs w:val="20"/>
          <w:color w:val="auto"/>
        </w:rPr>
      </w:pPr>
    </w:p>
    <w:p>
      <w:pPr>
        <w:ind w:left="160" w:right="20" w:hanging="161"/>
        <w:spacing w:after="0" w:line="234" w:lineRule="auto"/>
        <w:rPr>
          <w:sz w:val="20"/>
          <w:szCs w:val="20"/>
          <w:color w:val="auto"/>
        </w:rPr>
      </w:pPr>
      <w:r>
        <w:rPr>
          <w:rFonts w:ascii="Arial" w:cs="Arial" w:eastAsia="Arial" w:hAnsi="Arial"/>
          <w:sz w:val="18"/>
          <w:szCs w:val="18"/>
          <w:color w:val="auto"/>
        </w:rPr>
        <w:t>Non-Performing accounts with inadequate paying capacity for current obligations and have the distinct possibility of creating a loss if deficiencies are not corrected.</w:t>
      </w:r>
    </w:p>
    <w:p>
      <w:pPr>
        <w:spacing w:after="0" w:line="1" w:lineRule="exact"/>
        <w:rPr>
          <w:sz w:val="20"/>
          <w:szCs w:val="20"/>
          <w:color w:val="auto"/>
        </w:rPr>
      </w:pPr>
    </w:p>
    <w:p>
      <w:pPr>
        <w:ind w:left="160" w:right="20" w:hanging="161"/>
        <w:spacing w:after="0" w:line="234" w:lineRule="auto"/>
        <w:rPr>
          <w:sz w:val="20"/>
          <w:szCs w:val="20"/>
          <w:color w:val="auto"/>
        </w:rPr>
      </w:pPr>
      <w:r>
        <w:rPr>
          <w:rFonts w:ascii="Arial" w:cs="Arial" w:eastAsia="Arial" w:hAnsi="Arial"/>
          <w:sz w:val="18"/>
          <w:szCs w:val="18"/>
          <w:color w:val="auto"/>
        </w:rPr>
        <w:t>Non-Performing accounts with inadequate paying capacity for current obligations and inherent weaknesses that make collection of liquidation in full highly questionable or improbable.</w:t>
      </w:r>
    </w:p>
    <w:p>
      <w:pPr>
        <w:spacing w:after="0" w:line="200" w:lineRule="exact"/>
        <w:rPr>
          <w:sz w:val="20"/>
          <w:szCs w:val="20"/>
          <w:color w:val="auto"/>
        </w:rPr>
      </w:pPr>
    </w:p>
    <w:p>
      <w:pPr>
        <w:sectPr>
          <w:pgSz w:w="11900" w:h="16838" w:orient="portrait"/>
          <w:cols w:equalWidth="0" w:num="2">
            <w:col w:w="540" w:space="560"/>
            <w:col w:w="10140"/>
          </w:cols>
          <w:pgMar w:left="320" w:top="125" w:right="339" w:bottom="1440" w:gutter="0" w:footer="0" w:header="0"/>
          <w:type w:val="continuous"/>
        </w:sect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7" w:lineRule="exact"/>
        <w:rPr>
          <w:sz w:val="20"/>
          <w:szCs w:val="20"/>
          <w:color w:val="auto"/>
        </w:rPr>
      </w:pPr>
    </w:p>
    <w:p>
      <w:pPr>
        <w:ind w:firstLine="162"/>
        <w:spacing w:after="0" w:line="308" w:lineRule="auto"/>
        <w:rPr>
          <w:sz w:val="20"/>
          <w:szCs w:val="20"/>
          <w:color w:val="auto"/>
        </w:rPr>
      </w:pPr>
      <w:r>
        <w:rPr>
          <w:rFonts w:ascii="Arial" w:cs="Arial" w:eastAsia="Arial" w:hAnsi="Arial"/>
          <w:sz w:val="17"/>
          <w:szCs w:val="17"/>
          <w:color w:val="auto"/>
        </w:rPr>
        <w:t>Dealers with III and IV risk ratings are subject to additional monitoring and restrictions on funding, including suspension of lines of credit and liquidation of assets. The following table summarizes the credit risk profile by dealer risk rating of commercial finance receivables at June 30, 2020:</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00" w:type="dxa"/>
            <w:vAlign w:val="bottom"/>
            <w:gridSpan w:val="8"/>
          </w:tcPr>
          <w:p>
            <w:pPr>
              <w:ind w:left="400"/>
              <w:spacing w:after="0"/>
              <w:rPr>
                <w:sz w:val="20"/>
                <w:szCs w:val="20"/>
                <w:color w:val="auto"/>
              </w:rPr>
            </w:pPr>
            <w:r>
              <w:rPr>
                <w:rFonts w:ascii="Arial" w:cs="Arial" w:eastAsia="Arial" w:hAnsi="Arial"/>
                <w:sz w:val="18"/>
                <w:szCs w:val="18"/>
                <w:b w:val="1"/>
                <w:bCs w:val="1"/>
                <w:color w:val="auto"/>
              </w:rPr>
              <w:t>Year of Origination(a)</w:t>
            </w: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gridSpan w:val="3"/>
          </w:tcPr>
          <w:p>
            <w:pPr>
              <w:jc w:val="right"/>
              <w:ind w:right="190"/>
              <w:spacing w:after="0"/>
              <w:rPr>
                <w:sz w:val="20"/>
                <w:szCs w:val="20"/>
                <w:color w:val="auto"/>
              </w:rPr>
            </w:pPr>
            <w:r>
              <w:rPr>
                <w:rFonts w:ascii="Arial" w:cs="Arial" w:eastAsia="Arial" w:hAnsi="Arial"/>
                <w:sz w:val="18"/>
                <w:szCs w:val="18"/>
                <w:b w:val="1"/>
                <w:bCs w:val="1"/>
                <w:color w:val="auto"/>
              </w:rPr>
              <w:t>June 30, 2020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ind w:left="20"/>
              <w:spacing w:after="0"/>
              <w:rPr>
                <w:sz w:val="20"/>
                <w:szCs w:val="20"/>
                <w:color w:val="auto"/>
              </w:rPr>
            </w:pPr>
            <w:r>
              <w:rPr>
                <w:rFonts w:ascii="Arial" w:cs="Arial" w:eastAsia="Arial" w:hAnsi="Arial"/>
                <w:sz w:val="18"/>
                <w:szCs w:val="18"/>
                <w:b w:val="1"/>
                <w:bCs w:val="1"/>
                <w:color w:val="auto"/>
              </w:rPr>
              <w:t>Revolving</w:t>
            </w:r>
          </w:p>
        </w:tc>
        <w:tc>
          <w:tcPr>
            <w:tcW w:w="120" w:type="dxa"/>
            <w:vAlign w:val="bottom"/>
          </w:tcPr>
          <w:p>
            <w:pPr>
              <w:spacing w:after="0"/>
              <w:rPr>
                <w:sz w:val="20"/>
                <w:szCs w:val="20"/>
                <w:color w:val="auto"/>
              </w:rPr>
            </w:pPr>
          </w:p>
        </w:tc>
        <w:tc>
          <w:tcPr>
            <w:tcW w:w="560" w:type="dxa"/>
            <w:vAlign w:val="bottom"/>
          </w:tcPr>
          <w:p>
            <w:pPr>
              <w:jc w:val="right"/>
              <w:ind w:right="70"/>
              <w:spacing w:after="0"/>
              <w:rPr>
                <w:sz w:val="20"/>
                <w:szCs w:val="20"/>
                <w:color w:val="auto"/>
              </w:rPr>
            </w:pPr>
            <w:r>
              <w:rPr>
                <w:rFonts w:ascii="Arial" w:cs="Arial" w:eastAsia="Arial" w:hAnsi="Arial"/>
                <w:sz w:val="18"/>
                <w:szCs w:val="18"/>
                <w:b w:val="1"/>
                <w:bCs w:val="1"/>
                <w:color w:val="auto"/>
                <w:w w:val="94"/>
              </w:rPr>
              <w:t>2020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ind w:right="90"/>
              <w:spacing w:after="0"/>
              <w:rPr>
                <w:sz w:val="20"/>
                <w:szCs w:val="20"/>
                <w:color w:val="auto"/>
              </w:rPr>
            </w:pPr>
            <w:r>
              <w:rPr>
                <w:rFonts w:ascii="Arial" w:cs="Arial" w:eastAsia="Arial" w:hAnsi="Arial"/>
                <w:sz w:val="18"/>
                <w:szCs w:val="18"/>
                <w:b w:val="1"/>
                <w:bCs w:val="1"/>
                <w:color w:val="auto"/>
                <w:w w:val="94"/>
              </w:rPr>
              <w:t>2019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ind w:right="70"/>
              <w:spacing w:after="0"/>
              <w:rPr>
                <w:sz w:val="20"/>
                <w:szCs w:val="20"/>
                <w:color w:val="auto"/>
              </w:rPr>
            </w:pPr>
            <w:r>
              <w:rPr>
                <w:rFonts w:ascii="Arial" w:cs="Arial" w:eastAsia="Arial" w:hAnsi="Arial"/>
                <w:sz w:val="18"/>
                <w:szCs w:val="18"/>
                <w:b w:val="1"/>
                <w:bCs w:val="1"/>
                <w:color w:val="auto"/>
                <w:w w:val="94"/>
              </w:rPr>
              <w:t>2018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ind w:right="90"/>
              <w:spacing w:after="0"/>
              <w:rPr>
                <w:sz w:val="20"/>
                <w:szCs w:val="20"/>
                <w:color w:val="auto"/>
              </w:rPr>
            </w:pPr>
            <w:r>
              <w:rPr>
                <w:rFonts w:ascii="Arial" w:cs="Arial" w:eastAsia="Arial" w:hAnsi="Arial"/>
                <w:sz w:val="18"/>
                <w:szCs w:val="18"/>
                <w:b w:val="1"/>
                <w:bCs w:val="1"/>
                <w:color w:val="auto"/>
                <w:w w:val="94"/>
              </w:rPr>
              <w:t>2017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ind w:right="70"/>
              <w:spacing w:after="0"/>
              <w:rPr>
                <w:sz w:val="20"/>
                <w:szCs w:val="20"/>
                <w:color w:val="auto"/>
              </w:rPr>
            </w:pPr>
            <w:r>
              <w:rPr>
                <w:rFonts w:ascii="Arial" w:cs="Arial" w:eastAsia="Arial" w:hAnsi="Arial"/>
                <w:sz w:val="18"/>
                <w:szCs w:val="18"/>
                <w:b w:val="1"/>
                <w:bCs w:val="1"/>
                <w:color w:val="auto"/>
                <w:w w:val="94"/>
              </w:rPr>
              <w:t>2016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ind w:right="70"/>
              <w:spacing w:after="0"/>
              <w:rPr>
                <w:sz w:val="20"/>
                <w:szCs w:val="20"/>
                <w:color w:val="auto"/>
              </w:rPr>
            </w:pPr>
            <w:r>
              <w:rPr>
                <w:rFonts w:ascii="Arial" w:cs="Arial" w:eastAsia="Arial" w:hAnsi="Arial"/>
                <w:sz w:val="18"/>
                <w:szCs w:val="18"/>
                <w:b w:val="1"/>
                <w:bCs w:val="1"/>
                <w:color w:val="auto"/>
                <w:w w:val="94"/>
              </w:rPr>
              <w:t>2015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gridSpan w:val="2"/>
          </w:tcPr>
          <w:p>
            <w:pPr>
              <w:spacing w:after="0"/>
              <w:rPr>
                <w:sz w:val="20"/>
                <w:szCs w:val="20"/>
                <w:color w:val="auto"/>
              </w:rPr>
            </w:pPr>
            <w:r>
              <w:rPr>
                <w:rFonts w:ascii="Arial" w:cs="Arial" w:eastAsia="Arial" w:hAnsi="Arial"/>
                <w:sz w:val="18"/>
                <w:szCs w:val="18"/>
                <w:b w:val="1"/>
                <w:bCs w:val="1"/>
                <w:color w:val="auto"/>
              </w:rPr>
              <w:t>Prior</w:t>
            </w:r>
          </w:p>
        </w:tc>
        <w:tc>
          <w:tcPr>
            <w:tcW w:w="180" w:type="dxa"/>
            <w:vAlign w:val="bottom"/>
          </w:tcPr>
          <w:p>
            <w:pPr>
              <w:spacing w:after="0"/>
              <w:rPr>
                <w:sz w:val="20"/>
                <w:szCs w:val="20"/>
                <w:color w:val="auto"/>
              </w:rPr>
            </w:pPr>
          </w:p>
        </w:tc>
        <w:tc>
          <w:tcPr>
            <w:tcW w:w="820" w:type="dxa"/>
            <w:vAlign w:val="bottom"/>
            <w:gridSpan w:val="2"/>
          </w:tcPr>
          <w:p>
            <w:pPr>
              <w:ind w:left="80"/>
              <w:spacing w:after="0"/>
              <w:rPr>
                <w:sz w:val="20"/>
                <w:szCs w:val="20"/>
                <w:color w:val="auto"/>
              </w:rPr>
            </w:pPr>
            <w:r>
              <w:rPr>
                <w:rFonts w:ascii="Arial" w:cs="Arial" w:eastAsia="Arial" w:hAnsi="Arial"/>
                <w:sz w:val="18"/>
                <w:szCs w:val="18"/>
                <w:b w:val="1"/>
                <w:bCs w:val="1"/>
                <w:color w:val="auto"/>
              </w:rPr>
              <w:t>Total</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Percent</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5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5,989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6,728</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43"/>
        </w:trPr>
        <w:tc>
          <w:tcPr>
            <w:tcW w:w="2540" w:type="dxa"/>
            <w:vAlign w:val="bottom"/>
          </w:tcPr>
          <w:p>
            <w:pPr>
              <w:ind w:left="20"/>
              <w:spacing w:after="0"/>
              <w:rPr>
                <w:sz w:val="20"/>
                <w:szCs w:val="20"/>
                <w:color w:val="auto"/>
              </w:rPr>
            </w:pPr>
            <w:r>
              <w:rPr>
                <w:rFonts w:ascii="Arial" w:cs="Arial" w:eastAsia="Arial" w:hAnsi="Arial"/>
                <w:sz w:val="18"/>
                <w:szCs w:val="18"/>
                <w:color w:val="auto"/>
              </w:rPr>
              <w:t>II</w:t>
            </w:r>
          </w:p>
        </w:tc>
        <w:tc>
          <w:tcPr>
            <w:tcW w:w="120" w:type="dxa"/>
            <w:vAlign w:val="bottom"/>
          </w:tcPr>
          <w:p>
            <w:pPr>
              <w:spacing w:after="0"/>
              <w:rPr>
                <w:sz w:val="21"/>
                <w:szCs w:val="21"/>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388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jc w:val="right"/>
              <w:ind w:right="7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ind w:right="7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jc w:val="right"/>
              <w:ind w:right="7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ind w:right="7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jc w:val="right"/>
              <w:ind w:right="7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jc w:val="right"/>
              <w:ind w:right="7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jc w:val="right"/>
              <w:ind w:right="7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459</w:t>
            </w:r>
          </w:p>
        </w:tc>
        <w:tc>
          <w:tcPr>
            <w:tcW w:w="1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6.1</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III</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247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297</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4.0 %</w:t>
            </w:r>
          </w:p>
        </w:tc>
        <w:tc>
          <w:tcPr>
            <w:tcW w:w="0" w:type="dxa"/>
            <w:vAlign w:val="bottom"/>
          </w:tcPr>
          <w:p>
            <w:pPr>
              <w:spacing w:after="0"/>
              <w:rPr>
                <w:sz w:val="1"/>
                <w:szCs w:val="1"/>
                <w:color w:val="auto"/>
              </w:rPr>
            </w:pPr>
          </w:p>
        </w:tc>
      </w:tr>
      <w:tr>
        <w:trPr>
          <w:trHeight w:val="243"/>
        </w:trPr>
        <w:tc>
          <w:tcPr>
            <w:tcW w:w="2540" w:type="dxa"/>
            <w:vAlign w:val="bottom"/>
          </w:tcPr>
          <w:p>
            <w:pPr>
              <w:ind w:left="20"/>
              <w:spacing w:after="0"/>
              <w:rPr>
                <w:sz w:val="20"/>
                <w:szCs w:val="20"/>
                <w:color w:val="auto"/>
              </w:rPr>
            </w:pPr>
            <w:r>
              <w:rPr>
                <w:rFonts w:ascii="Arial" w:cs="Arial" w:eastAsia="Arial" w:hAnsi="Arial"/>
                <w:sz w:val="18"/>
                <w:szCs w:val="18"/>
                <w:color w:val="auto"/>
              </w:rPr>
              <w:t>IV</w:t>
            </w:r>
          </w:p>
        </w:tc>
        <w:tc>
          <w:tcPr>
            <w:tcW w:w="120" w:type="dxa"/>
            <w:vAlign w:val="bottom"/>
          </w:tcPr>
          <w:p>
            <w:pPr>
              <w:spacing w:after="0"/>
              <w:rPr>
                <w:sz w:val="21"/>
                <w:szCs w:val="21"/>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560" w:type="dxa"/>
            <w:vAlign w:val="bottom"/>
          </w:tcPr>
          <w:p>
            <w:pPr>
              <w:jc w:val="right"/>
              <w:ind w:right="7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7"/>
        </w:trPr>
        <w:tc>
          <w:tcPr>
            <w:tcW w:w="25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254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w w:val="96"/>
              </w:rPr>
              <w:t>Commercial finance receivables,</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6,625</w:t>
            </w:r>
          </w:p>
        </w:tc>
        <w:tc>
          <w:tcPr>
            <w:tcW w:w="12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241</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7,489</w:t>
            </w:r>
          </w:p>
        </w:tc>
        <w:tc>
          <w:tcPr>
            <w:tcW w:w="10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23"/>
        </w:trPr>
        <w:tc>
          <w:tcPr>
            <w:tcW w:w="2540" w:type="dxa"/>
            <w:vAlign w:val="bottom"/>
            <w:tcBorders>
              <w:bottom w:val="single" w:sz="8" w:color="CCEEFF"/>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net of fees</w:t>
            </w: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5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5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5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5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5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5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5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7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auto"/>
            </w:tcBorders>
            <w:vMerge w:val="continue"/>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23" w:lineRule="exact"/>
        <w:rPr>
          <w:sz w:val="20"/>
          <w:szCs w:val="20"/>
          <w:color w:val="auto"/>
        </w:rPr>
      </w:pPr>
    </w:p>
    <w:p>
      <w:pPr>
        <w:spacing w:after="0"/>
        <w:tabs>
          <w:tab w:leader="none" w:pos="30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Floorplan advances comprise 97% of the total revolving balance. Dealer term loans are presented by year of origination.</w:t>
      </w:r>
    </w:p>
    <w:p>
      <w:pPr>
        <w:spacing w:after="0" w:line="234"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 xml:space="preserve">Transactions with GM Financial </w:t>
      </w:r>
      <w:r>
        <w:rPr>
          <w:rFonts w:ascii="Arial" w:cs="Arial" w:eastAsia="Arial" w:hAnsi="Arial"/>
          <w:sz w:val="18"/>
          <w:szCs w:val="18"/>
          <w:color w:val="auto"/>
        </w:rPr>
        <w:t>The following table shows transactions between our Automotive segments and GM Financial. These amounts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presented in GM Financial's condensed consolidated balance sheets and statements of income.</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4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w w:val="98"/>
              </w:rPr>
              <w:t>June 30, 2020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2019</w:t>
            </w:r>
          </w:p>
        </w:tc>
      </w:tr>
      <w:tr>
        <w:trPr>
          <w:trHeight w:val="216"/>
        </w:trPr>
        <w:tc>
          <w:tcPr>
            <w:tcW w:w="5200" w:type="dxa"/>
            <w:vAlign w:val="bottom"/>
          </w:tcPr>
          <w:p>
            <w:pPr>
              <w:ind w:left="20"/>
              <w:spacing w:after="0"/>
              <w:rPr>
                <w:sz w:val="20"/>
                <w:szCs w:val="20"/>
                <w:color w:val="auto"/>
              </w:rPr>
            </w:pPr>
            <w:r>
              <w:rPr>
                <w:rFonts w:ascii="Arial" w:cs="Arial" w:eastAsia="Arial" w:hAnsi="Arial"/>
                <w:sz w:val="18"/>
                <w:szCs w:val="18"/>
                <w:b w:val="1"/>
                <w:bCs w:val="1"/>
                <w:color w:val="auto"/>
              </w:rPr>
              <w:t>Condensed Consolidated Balance Sheets(a)</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r>
      <w:tr>
        <w:trPr>
          <w:trHeight w:val="27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Commercial finance receivables, net due from GM consolidated dealers</w:t>
            </w:r>
          </w:p>
        </w:tc>
        <w:tc>
          <w:tcPr>
            <w:tcW w:w="2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395</w:t>
            </w:r>
          </w:p>
        </w:tc>
        <w:tc>
          <w:tcPr>
            <w:tcW w:w="120" w:type="dxa"/>
            <w:vAlign w:val="bottom"/>
            <w:shd w:val="clear" w:color="auto" w:fill="CCEEFF"/>
          </w:tcPr>
          <w:p>
            <w:pPr>
              <w:spacing w:after="0"/>
              <w:rPr>
                <w:sz w:val="23"/>
                <w:szCs w:val="23"/>
                <w:color w:val="auto"/>
              </w:rPr>
            </w:pP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478</w:t>
            </w: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Finance receivables from GM subsidiaries</w:t>
            </w: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54"/>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22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39</w:t>
            </w:r>
          </w:p>
        </w:tc>
      </w:tr>
      <w:tr>
        <w:trPr>
          <w:trHeight w:val="27"/>
        </w:trPr>
        <w:tc>
          <w:tcPr>
            <w:tcW w:w="5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Subvention receivable(b)</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618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676</w:t>
            </w: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Loans receivable(b)</w:t>
            </w: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54"/>
              <w:spacing w:after="0"/>
              <w:rPr>
                <w:sz w:val="20"/>
                <w:szCs w:val="20"/>
                <w:color w:val="auto"/>
              </w:rPr>
            </w:pPr>
            <w:r>
              <w:rPr>
                <w:rFonts w:ascii="Arial" w:cs="Arial" w:eastAsia="Arial" w:hAnsi="Arial"/>
                <w:sz w:val="18"/>
                <w:szCs w:val="18"/>
                <w:color w:val="auto"/>
              </w:rPr>
              <w:t>947</w:t>
            </w:r>
          </w:p>
        </w:tc>
        <w:tc>
          <w:tcPr>
            <w:tcW w:w="120" w:type="dxa"/>
            <w:vAlign w:val="bottom"/>
          </w:tcPr>
          <w:p>
            <w:pPr>
              <w:spacing w:after="0"/>
              <w:rPr>
                <w:sz w:val="21"/>
                <w:szCs w:val="21"/>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22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w:t>
            </w:r>
          </w:p>
        </w:tc>
      </w:tr>
      <w:tr>
        <w:trPr>
          <w:trHeight w:val="27"/>
        </w:trPr>
        <w:tc>
          <w:tcPr>
            <w:tcW w:w="5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Commercial loan funding payable</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74</w:t>
            </w:r>
          </w:p>
        </w:tc>
      </w:tr>
      <w:tr>
        <w:trPr>
          <w:trHeight w:val="696"/>
        </w:trPr>
        <w:tc>
          <w:tcPr>
            <w:tcW w:w="52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5"/>
          </w:tcPr>
          <w:p>
            <w:pPr>
              <w:jc w:val="right"/>
              <w:ind w:right="8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6"/>
          </w:tcPr>
          <w:p>
            <w:pPr>
              <w:jc w:val="right"/>
              <w:ind w:right="832"/>
              <w:spacing w:after="0"/>
              <w:rPr>
                <w:sz w:val="20"/>
                <w:szCs w:val="20"/>
                <w:color w:val="auto"/>
              </w:rPr>
            </w:pPr>
            <w:r>
              <w:rPr>
                <w:rFonts w:ascii="Arial" w:cs="Arial" w:eastAsia="Arial" w:hAnsi="Arial"/>
                <w:sz w:val="14"/>
                <w:szCs w:val="14"/>
                <w:b w:val="1"/>
                <w:bCs w:val="1"/>
                <w:color w:val="auto"/>
              </w:rPr>
              <w:t>Six Months Ended</w:t>
            </w:r>
          </w:p>
        </w:tc>
      </w:tr>
      <w:tr>
        <w:trPr>
          <w:trHeight w:val="195"/>
        </w:trPr>
        <w:tc>
          <w:tcPr>
            <w:tcW w:w="5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 2020</w:t>
            </w:r>
          </w:p>
        </w:tc>
        <w:tc>
          <w:tcPr>
            <w:tcW w:w="200" w:type="dxa"/>
            <w:vAlign w:val="bottom"/>
          </w:tcPr>
          <w:p>
            <w:pPr>
              <w:spacing w:after="0"/>
              <w:rPr>
                <w:sz w:val="17"/>
                <w:szCs w:val="17"/>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8"/>
              </w:rPr>
              <w:t>June 30, 2019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8"/>
              </w:rPr>
              <w:t>June 30, 2020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ind w:right="212"/>
              <w:spacing w:after="0"/>
              <w:rPr>
                <w:sz w:val="20"/>
                <w:szCs w:val="20"/>
                <w:color w:val="auto"/>
              </w:rPr>
            </w:pPr>
            <w:r>
              <w:rPr>
                <w:rFonts w:ascii="Arial" w:cs="Arial" w:eastAsia="Arial" w:hAnsi="Arial"/>
                <w:sz w:val="14"/>
                <w:szCs w:val="14"/>
                <w:b w:val="1"/>
                <w:bCs w:val="1"/>
                <w:color w:val="auto"/>
                <w:w w:val="98"/>
              </w:rPr>
              <w:t>June 30, 2019</w:t>
            </w: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b w:val="1"/>
                <w:bCs w:val="1"/>
                <w:color w:val="auto"/>
              </w:rPr>
              <w:t>Condensed Consolidated Statements of Income</w:t>
            </w:r>
          </w:p>
        </w:tc>
        <w:tc>
          <w:tcPr>
            <w:tcW w:w="2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r>
      <w:tr>
        <w:trPr>
          <w:trHeight w:val="27"/>
        </w:trPr>
        <w:tc>
          <w:tcPr>
            <w:tcW w:w="5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subvention earned on finance receivables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162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147</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295</w:t>
            </w: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Leased vehicle subvention earned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59"/>
              <w:spacing w:after="0"/>
              <w:rPr>
                <w:sz w:val="20"/>
                <w:szCs w:val="20"/>
                <w:color w:val="auto"/>
              </w:rPr>
            </w:pPr>
            <w:r>
              <w:rPr>
                <w:rFonts w:ascii="Arial" w:cs="Arial" w:eastAsia="Arial" w:hAnsi="Arial"/>
                <w:sz w:val="18"/>
                <w:szCs w:val="18"/>
                <w:color w:val="auto"/>
              </w:rPr>
              <w:t>765</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818</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1,570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1,653</w:t>
            </w:r>
          </w:p>
        </w:tc>
      </w:tr>
      <w:tr>
        <w:trPr>
          <w:trHeight w:val="338"/>
        </w:trPr>
        <w:tc>
          <w:tcPr>
            <w:tcW w:w="5200" w:type="dxa"/>
            <w:vAlign w:val="bottom"/>
          </w:tcPr>
          <w:p>
            <w:pPr>
              <w:spacing w:after="0"/>
              <w:rPr>
                <w:sz w:val="20"/>
                <w:szCs w:val="20"/>
                <w:color w:val="auto"/>
              </w:rPr>
            </w:pPr>
            <w:r>
              <w:rPr>
                <w:rFonts w:ascii="Arial" w:cs="Arial" w:eastAsia="Arial" w:hAnsi="Arial"/>
                <w:sz w:val="18"/>
                <w:szCs w:val="18"/>
                <w:color w:val="auto"/>
              </w:rPr>
              <w:t>__________</w:t>
            </w: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ind w:left="320" w:hanging="312"/>
        <w:spacing w:after="0"/>
        <w:tabs>
          <w:tab w:leader="none" w:pos="320" w:val="left"/>
        </w:tabs>
        <w:numPr>
          <w:ilvl w:val="0"/>
          <w:numId w:val="5"/>
        </w:numPr>
        <w:rPr>
          <w:rFonts w:ascii="Arial" w:cs="Arial" w:eastAsia="Arial" w:hAnsi="Arial"/>
          <w:sz w:val="16"/>
          <w:szCs w:val="16"/>
          <w:color w:val="auto"/>
        </w:rPr>
      </w:pPr>
      <w:r>
        <w:rPr>
          <w:rFonts w:ascii="Arial" w:cs="Arial" w:eastAsia="Arial" w:hAnsi="Arial"/>
          <w:sz w:val="16"/>
          <w:szCs w:val="16"/>
          <w:color w:val="auto"/>
        </w:rPr>
        <w:t>All balance sheet amounts are eliminated upon consolidation.</w:t>
      </w:r>
    </w:p>
    <w:p>
      <w:pPr>
        <w:spacing w:after="0" w:line="9" w:lineRule="exact"/>
        <w:rPr>
          <w:rFonts w:ascii="Arial" w:cs="Arial" w:eastAsia="Arial" w:hAnsi="Arial"/>
          <w:sz w:val="16"/>
          <w:szCs w:val="16"/>
          <w:color w:val="auto"/>
        </w:rPr>
      </w:pPr>
    </w:p>
    <w:p>
      <w:pPr>
        <w:jc w:val="both"/>
        <w:ind w:left="340" w:hanging="332"/>
        <w:spacing w:after="0" w:line="251" w:lineRule="auto"/>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Cash paid by Automotive segments to GM Financial for subvention was $967 million and $959 million in the three months ended June 30, 2020 and 2019 and $2.0 billion in the six months ended June 30, 2020 and 2019. Loans receivable include amounts funded to Automotive segments primarily in the amount of subvention owed to GM Financial in the three months ended June 30, 2020.</w:t>
      </w:r>
    </w:p>
    <w:p>
      <w:pPr>
        <w:spacing w:after="0" w:line="214"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GM Financial's Board of Directors declared and paid dividends of $400 million and $800 million on its common stock in the three and six months ended June 30, 2020.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Inventories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80" w:type="dxa"/>
            <w:vAlign w:val="bottom"/>
            <w:tcBorders>
              <w:bottom w:val="single" w:sz="8" w:color="CCEEFF"/>
            </w:tcBorders>
          </w:tcPr>
          <w:p>
            <w:pPr>
              <w:spacing w:after="0"/>
              <w:rPr>
                <w:sz w:val="16"/>
                <w:szCs w:val="16"/>
                <w:color w:val="auto"/>
              </w:rPr>
            </w:pPr>
          </w:p>
        </w:tc>
        <w:tc>
          <w:tcPr>
            <w:tcW w:w="30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June 30, 2020</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w w:val="96"/>
              </w:rPr>
              <w:t>December 31, 2019</w:t>
            </w:r>
          </w:p>
        </w:tc>
        <w:tc>
          <w:tcPr>
            <w:tcW w:w="0" w:type="dxa"/>
            <w:vAlign w:val="bottom"/>
          </w:tcPr>
          <w:p>
            <w:pPr>
              <w:spacing w:after="0"/>
              <w:rPr>
                <w:sz w:val="1"/>
                <w:szCs w:val="1"/>
                <w:color w:val="auto"/>
              </w:rPr>
            </w:pPr>
          </w:p>
        </w:tc>
      </w:tr>
      <w:tr>
        <w:trPr>
          <w:trHeight w:val="270"/>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productive material, supplies and work in process</w:t>
            </w:r>
          </w:p>
        </w:tc>
        <w:tc>
          <w:tcPr>
            <w:tcW w:w="3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5,149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4,713</w:t>
            </w:r>
          </w:p>
        </w:tc>
        <w:tc>
          <w:tcPr>
            <w:tcW w:w="0" w:type="dxa"/>
            <w:vAlign w:val="bottom"/>
          </w:tcPr>
          <w:p>
            <w:pPr>
              <w:spacing w:after="0"/>
              <w:rPr>
                <w:sz w:val="1"/>
                <w:szCs w:val="1"/>
                <w:color w:val="auto"/>
              </w:rPr>
            </w:pPr>
          </w:p>
        </w:tc>
      </w:tr>
      <w:tr>
        <w:trPr>
          <w:trHeight w:val="243"/>
        </w:trPr>
        <w:tc>
          <w:tcPr>
            <w:tcW w:w="4780" w:type="dxa"/>
            <w:vAlign w:val="bottom"/>
          </w:tcPr>
          <w:p>
            <w:pPr>
              <w:ind w:left="20"/>
              <w:spacing w:after="0"/>
              <w:rPr>
                <w:sz w:val="20"/>
                <w:szCs w:val="20"/>
                <w:color w:val="auto"/>
              </w:rPr>
            </w:pPr>
            <w:r>
              <w:rPr>
                <w:rFonts w:ascii="Arial" w:cs="Arial" w:eastAsia="Arial" w:hAnsi="Arial"/>
                <w:sz w:val="18"/>
                <w:szCs w:val="18"/>
                <w:color w:val="auto"/>
              </w:rPr>
              <w:t>Finished product, including service parts</w:t>
            </w:r>
          </w:p>
        </w:tc>
        <w:tc>
          <w:tcPr>
            <w:tcW w:w="30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jc w:val="right"/>
              <w:ind w:right="55"/>
              <w:spacing w:after="0"/>
              <w:rPr>
                <w:sz w:val="20"/>
                <w:szCs w:val="20"/>
                <w:color w:val="auto"/>
              </w:rPr>
            </w:pPr>
            <w:r>
              <w:rPr>
                <w:rFonts w:ascii="Arial" w:cs="Arial" w:eastAsia="Arial" w:hAnsi="Arial"/>
                <w:sz w:val="18"/>
                <w:szCs w:val="18"/>
                <w:color w:val="auto"/>
              </w:rPr>
              <w:t>5,131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ind w:right="75"/>
              <w:spacing w:after="0"/>
              <w:rPr>
                <w:sz w:val="20"/>
                <w:szCs w:val="20"/>
                <w:color w:val="auto"/>
              </w:rPr>
            </w:pPr>
            <w:r>
              <w:rPr>
                <w:rFonts w:ascii="Arial" w:cs="Arial" w:eastAsia="Arial" w:hAnsi="Arial"/>
                <w:sz w:val="18"/>
                <w:szCs w:val="18"/>
                <w:color w:val="auto"/>
              </w:rPr>
              <w:t>5,685</w:t>
            </w:r>
          </w:p>
        </w:tc>
        <w:tc>
          <w:tcPr>
            <w:tcW w:w="0" w:type="dxa"/>
            <w:vAlign w:val="bottom"/>
          </w:tcPr>
          <w:p>
            <w:pPr>
              <w:spacing w:after="0"/>
              <w:rPr>
                <w:sz w:val="1"/>
                <w:szCs w:val="1"/>
                <w:color w:val="auto"/>
              </w:rPr>
            </w:pPr>
          </w:p>
        </w:tc>
      </w:tr>
      <w:tr>
        <w:trPr>
          <w:trHeight w:val="27"/>
        </w:trPr>
        <w:tc>
          <w:tcPr>
            <w:tcW w:w="4780" w:type="dxa"/>
            <w:vAlign w:val="bottom"/>
            <w:tcBorders>
              <w:bottom w:val="single" w:sz="8" w:color="CCEEFF"/>
            </w:tcBorders>
          </w:tcPr>
          <w:p>
            <w:pPr>
              <w:spacing w:after="0"/>
              <w:rPr>
                <w:sz w:val="2"/>
                <w:szCs w:val="2"/>
                <w:color w:val="auto"/>
              </w:rPr>
            </w:pPr>
          </w:p>
        </w:tc>
        <w:tc>
          <w:tcPr>
            <w:tcW w:w="30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inventories</w:t>
            </w:r>
          </w:p>
        </w:tc>
        <w:tc>
          <w:tcPr>
            <w:tcW w:w="3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10,280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10,398</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3080" w:type="dxa"/>
            <w:vAlign w:val="bottom"/>
            <w:tcBorders>
              <w:top w:val="single" w:sz="8" w:color="CCEEFF"/>
              <w:bottom w:val="single" w:sz="8" w:color="CCEEFF"/>
            </w:tcBorders>
            <w:vMerge w:val="restart"/>
          </w:tcPr>
          <w:p>
            <w:pPr>
              <w:jc w:val="right"/>
              <w:ind w:right="2050"/>
              <w:spacing w:after="0"/>
              <w:rPr>
                <w:sz w:val="20"/>
                <w:szCs w:val="20"/>
                <w:color w:val="auto"/>
              </w:rPr>
            </w:pPr>
            <w:r>
              <w:rPr>
                <w:rFonts w:ascii="Arial" w:cs="Arial" w:eastAsia="Arial" w:hAnsi="Arial"/>
                <w:sz w:val="18"/>
                <w:szCs w:val="18"/>
                <w:color w:val="auto"/>
              </w:rPr>
              <w:t>11</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2"/>
        </w:trPr>
        <w:tc>
          <w:tcPr>
            <w:tcW w:w="4780" w:type="dxa"/>
            <w:vAlign w:val="bottom"/>
          </w:tcPr>
          <w:p>
            <w:pPr>
              <w:spacing w:after="0"/>
              <w:rPr>
                <w:sz w:val="24"/>
                <w:szCs w:val="24"/>
                <w:color w:val="auto"/>
              </w:rPr>
            </w:pPr>
          </w:p>
        </w:tc>
        <w:tc>
          <w:tcPr>
            <w:tcW w:w="30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4780" w:type="dxa"/>
            <w:vAlign w:val="bottom"/>
            <w:tcBorders>
              <w:bottom w:val="single" w:sz="8" w:color="9A9A9A"/>
            </w:tcBorders>
          </w:tcPr>
          <w:p>
            <w:pPr>
              <w:spacing w:after="0"/>
              <w:rPr>
                <w:sz w:val="24"/>
                <w:szCs w:val="24"/>
                <w:color w:val="auto"/>
              </w:rPr>
            </w:pPr>
          </w:p>
        </w:tc>
        <w:tc>
          <w:tcPr>
            <w:tcW w:w="30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Equipment on Operating Leases</w:t>
      </w:r>
    </w:p>
    <w:p>
      <w:pPr>
        <w:spacing w:after="0" w:line="121"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Equipment on operating leases primarily consists of leases to retail customers of GM Financial. The current portion of net equipment on operating leases is included in Other current assets.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2020</w:t>
            </w:r>
          </w:p>
        </w:tc>
        <w:tc>
          <w:tcPr>
            <w:tcW w:w="160" w:type="dxa"/>
            <w:vAlign w:val="bottom"/>
          </w:tcPr>
          <w:p>
            <w:pPr>
              <w:spacing w:after="0"/>
              <w:rPr>
                <w:sz w:val="16"/>
                <w:szCs w:val="16"/>
                <w:color w:val="auto"/>
              </w:rPr>
            </w:pPr>
          </w:p>
        </w:tc>
        <w:tc>
          <w:tcPr>
            <w:tcW w:w="1480" w:type="dxa"/>
            <w:vAlign w:val="bottom"/>
          </w:tcPr>
          <w:p>
            <w:pPr>
              <w:ind w:left="80"/>
              <w:spacing w:after="0"/>
              <w:rPr>
                <w:sz w:val="20"/>
                <w:szCs w:val="20"/>
                <w:color w:val="auto"/>
              </w:rPr>
            </w:pPr>
            <w:r>
              <w:rPr>
                <w:rFonts w:ascii="Arial" w:cs="Arial" w:eastAsia="Arial" w:hAnsi="Arial"/>
                <w:sz w:val="14"/>
                <w:szCs w:val="14"/>
                <w:b w:val="1"/>
                <w:bCs w:val="1"/>
                <w:color w:val="auto"/>
              </w:rPr>
              <w:t>December 31, 2019</w:t>
            </w:r>
          </w:p>
        </w:tc>
      </w:tr>
      <w:tr>
        <w:trPr>
          <w:trHeight w:val="250"/>
        </w:trPr>
        <w:tc>
          <w:tcPr>
            <w:tcW w:w="7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Equipment on operating leases</w:t>
            </w: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CCEEFF"/>
            </w:tcBorders>
            <w:shd w:val="clear" w:color="auto" w:fill="CCEEFF"/>
          </w:tcPr>
          <w:p>
            <w:pPr>
              <w:jc w:val="center"/>
              <w:ind w:left="515"/>
              <w:spacing w:after="0"/>
              <w:rPr>
                <w:sz w:val="20"/>
                <w:szCs w:val="20"/>
                <w:color w:val="auto"/>
              </w:rPr>
            </w:pPr>
            <w:r>
              <w:rPr>
                <w:rFonts w:ascii="Arial" w:cs="Arial" w:eastAsia="Arial" w:hAnsi="Arial"/>
                <w:sz w:val="18"/>
                <w:szCs w:val="18"/>
                <w:color w:val="auto"/>
                <w:w w:val="90"/>
              </w:rPr>
              <w:t>50,685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CCEEFF"/>
            </w:tcBorders>
            <w:shd w:val="clear" w:color="auto" w:fill="CCEEFF"/>
          </w:tcPr>
          <w:p>
            <w:pPr>
              <w:jc w:val="center"/>
              <w:ind w:left="595"/>
              <w:spacing w:after="0"/>
              <w:rPr>
                <w:sz w:val="20"/>
                <w:szCs w:val="20"/>
                <w:color w:val="auto"/>
              </w:rPr>
            </w:pPr>
            <w:r>
              <w:rPr>
                <w:rFonts w:ascii="Arial" w:cs="Arial" w:eastAsia="Arial" w:hAnsi="Arial"/>
                <w:sz w:val="18"/>
                <w:szCs w:val="18"/>
                <w:color w:val="auto"/>
                <w:w w:val="87"/>
              </w:rPr>
              <w:t>53,081</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Less: accumulated depreciation</w:t>
            </w:r>
          </w:p>
        </w:tc>
        <w:tc>
          <w:tcPr>
            <w:tcW w:w="240" w:type="dxa"/>
            <w:vAlign w:val="bottom"/>
          </w:tcPr>
          <w:p>
            <w:pPr>
              <w:spacing w:after="0"/>
              <w:rPr>
                <w:sz w:val="21"/>
                <w:szCs w:val="21"/>
                <w:color w:val="auto"/>
              </w:rPr>
            </w:pPr>
          </w:p>
        </w:tc>
        <w:tc>
          <w:tcPr>
            <w:tcW w:w="1380" w:type="dxa"/>
            <w:vAlign w:val="bottom"/>
          </w:tcPr>
          <w:p>
            <w:pPr>
              <w:jc w:val="center"/>
              <w:ind w:left="475"/>
              <w:spacing w:after="0"/>
              <w:rPr>
                <w:sz w:val="20"/>
                <w:szCs w:val="20"/>
                <w:color w:val="auto"/>
              </w:rPr>
            </w:pPr>
            <w:r>
              <w:rPr>
                <w:rFonts w:ascii="Arial" w:cs="Arial" w:eastAsia="Arial" w:hAnsi="Arial"/>
                <w:sz w:val="18"/>
                <w:szCs w:val="18"/>
                <w:color w:val="auto"/>
                <w:w w:val="92"/>
              </w:rPr>
              <w:t>(11,078)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center"/>
              <w:ind w:left="575"/>
              <w:spacing w:after="0"/>
              <w:rPr>
                <w:sz w:val="20"/>
                <w:szCs w:val="20"/>
                <w:color w:val="auto"/>
              </w:rPr>
            </w:pPr>
            <w:r>
              <w:rPr>
                <w:rFonts w:ascii="Arial" w:cs="Arial" w:eastAsia="Arial" w:hAnsi="Arial"/>
                <w:sz w:val="18"/>
                <w:szCs w:val="18"/>
                <w:color w:val="auto"/>
                <w:w w:val="92"/>
              </w:rPr>
              <w:t>(10,989)</w:t>
            </w:r>
          </w:p>
        </w:tc>
      </w:tr>
      <w:tr>
        <w:trPr>
          <w:trHeight w:val="27"/>
        </w:trPr>
        <w:tc>
          <w:tcPr>
            <w:tcW w:w="7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88"/>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Equipment on operating leases, net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center"/>
              <w:ind w:left="515"/>
              <w:spacing w:after="0"/>
              <w:rPr>
                <w:sz w:val="20"/>
                <w:szCs w:val="20"/>
                <w:color w:val="auto"/>
              </w:rPr>
            </w:pPr>
            <w:r>
              <w:rPr>
                <w:rFonts w:ascii="Arial" w:cs="Arial" w:eastAsia="Arial" w:hAnsi="Arial"/>
                <w:sz w:val="18"/>
                <w:szCs w:val="18"/>
                <w:color w:val="auto"/>
                <w:w w:val="90"/>
              </w:rPr>
              <w:t>39,607</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center"/>
              <w:ind w:left="595"/>
              <w:spacing w:after="0"/>
              <w:rPr>
                <w:sz w:val="20"/>
                <w:szCs w:val="20"/>
                <w:color w:val="auto"/>
              </w:rPr>
            </w:pPr>
            <w:r>
              <w:rPr>
                <w:rFonts w:ascii="Arial" w:cs="Arial" w:eastAsia="Arial" w:hAnsi="Arial"/>
                <w:sz w:val="18"/>
                <w:szCs w:val="18"/>
                <w:color w:val="auto"/>
                <w:w w:val="87"/>
              </w:rPr>
              <w:t>42,092</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Depreciation expense related to Equipment on operating leases, net was $1.9 billion and $1.8 billion in the three months ended June 30, 2020 and 2019 and $3.7 billion in the six months ended June 30, 2020 and 2019.</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lease payments due to GM Financial on leases to retail customers: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6"/>
          </w:tcPr>
          <w:p>
            <w:pPr>
              <w:jc w:val="right"/>
              <w:ind w:right="102"/>
              <w:spacing w:after="0"/>
              <w:rPr>
                <w:sz w:val="20"/>
                <w:szCs w:val="20"/>
                <w:color w:val="auto"/>
              </w:rPr>
            </w:pPr>
            <w:r>
              <w:rPr>
                <w:rFonts w:ascii="Arial" w:cs="Arial" w:eastAsia="Arial" w:hAnsi="Arial"/>
                <w:sz w:val="14"/>
                <w:szCs w:val="14"/>
                <w:b w:val="1"/>
                <w:bCs w:val="1"/>
                <w:color w:val="auto"/>
              </w:rPr>
              <w:t>Year Ending December 31,</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96"/>
        </w:trPr>
        <w:tc>
          <w:tcPr>
            <w:tcW w:w="40" w:type="dxa"/>
            <w:vAlign w:val="bottom"/>
          </w:tcPr>
          <w:p>
            <w:pPr>
              <w:spacing w:after="0"/>
              <w:rPr>
                <w:sz w:val="17"/>
                <w:szCs w:val="17"/>
                <w:color w:val="auto"/>
              </w:rPr>
            </w:pPr>
          </w:p>
        </w:tc>
        <w:tc>
          <w:tcPr>
            <w:tcW w:w="50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w w:val="83"/>
              </w:rPr>
              <w:t>2024</w:t>
            </w: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7"/>
                <w:szCs w:val="17"/>
                <w:color w:val="auto"/>
              </w:rPr>
            </w:pPr>
          </w:p>
        </w:tc>
      </w:tr>
      <w:tr>
        <w:trPr>
          <w:trHeight w:val="249"/>
        </w:trPr>
        <w:tc>
          <w:tcPr>
            <w:tcW w:w="40" w:type="dxa"/>
            <w:vAlign w:val="bottom"/>
          </w:tcPr>
          <w:p>
            <w:pPr>
              <w:spacing w:after="0"/>
              <w:rPr>
                <w:sz w:val="21"/>
                <w:szCs w:val="21"/>
                <w:color w:val="auto"/>
              </w:rPr>
            </w:pPr>
          </w:p>
        </w:tc>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 receipts under operating leases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3,333</w:t>
            </w:r>
          </w:p>
        </w:tc>
        <w:tc>
          <w:tcPr>
            <w:tcW w:w="460" w:type="dxa"/>
            <w:vAlign w:val="bottom"/>
            <w:tcBorders>
              <w:bottom w:val="single" w:sz="8" w:color="CCEEFF"/>
            </w:tcBorders>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8"/>
              </w:rPr>
              <w:t>4,961</w:t>
            </w:r>
          </w:p>
        </w:tc>
        <w:tc>
          <w:tcPr>
            <w:tcW w:w="1140" w:type="dxa"/>
            <w:vAlign w:val="bottom"/>
            <w:tcBorders>
              <w:bottom w:val="single" w:sz="8" w:color="CCEEFF"/>
            </w:tcBorders>
            <w:gridSpan w:val="3"/>
            <w:shd w:val="clear" w:color="auto" w:fill="CCEEFF"/>
          </w:tcPr>
          <w:p>
            <w:pPr>
              <w:jc w:val="right"/>
              <w:ind w:right="88"/>
              <w:spacing w:after="0"/>
              <w:rPr>
                <w:sz w:val="20"/>
                <w:szCs w:val="20"/>
                <w:color w:val="auto"/>
              </w:rPr>
            </w:pPr>
            <w:r>
              <w:rPr>
                <w:rFonts w:ascii="Arial" w:cs="Arial" w:eastAsia="Arial" w:hAnsi="Arial"/>
                <w:sz w:val="18"/>
                <w:szCs w:val="18"/>
                <w:color w:val="auto"/>
              </w:rPr>
              <w:t>$   2,481</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8"/>
                <w:szCs w:val="18"/>
                <w:color w:val="auto"/>
              </w:rPr>
              <w:t>435</w:t>
            </w: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w w:val="99"/>
              </w:rPr>
              <w:t>19</w:t>
            </w:r>
          </w:p>
        </w:tc>
        <w:tc>
          <w:tcPr>
            <w:tcW w:w="1160" w:type="dxa"/>
            <w:vAlign w:val="bottom"/>
            <w:tcBorders>
              <w:bottom w:val="single" w:sz="8" w:color="CCEEFF"/>
            </w:tcBorders>
            <w:gridSpan w:val="3"/>
            <w:shd w:val="clear" w:color="auto" w:fill="CCEEFF"/>
          </w:tcPr>
          <w:p>
            <w:pPr>
              <w:jc w:val="right"/>
              <w:ind w:right="88"/>
              <w:spacing w:after="0"/>
              <w:rPr>
                <w:sz w:val="20"/>
                <w:szCs w:val="20"/>
                <w:color w:val="auto"/>
              </w:rPr>
            </w:pPr>
            <w:r>
              <w:rPr>
                <w:rFonts w:ascii="Arial" w:cs="Arial" w:eastAsia="Arial" w:hAnsi="Arial"/>
                <w:sz w:val="18"/>
                <w:szCs w:val="18"/>
                <w:color w:val="auto"/>
              </w:rPr>
              <w:t>$  11,229</w:t>
            </w:r>
          </w:p>
        </w:tc>
        <w:tc>
          <w:tcPr>
            <w:tcW w:w="20" w:type="dxa"/>
            <w:vAlign w:val="bottom"/>
          </w:tcPr>
          <w:p>
            <w:pPr>
              <w:spacing w:after="0"/>
              <w:rPr>
                <w:sz w:val="21"/>
                <w:szCs w:val="21"/>
                <w:color w:val="auto"/>
              </w:rPr>
            </w:pPr>
          </w:p>
        </w:tc>
      </w:tr>
      <w:tr>
        <w:trPr>
          <w:trHeight w:val="689"/>
        </w:trPr>
        <w:tc>
          <w:tcPr>
            <w:tcW w:w="5080" w:type="dxa"/>
            <w:vAlign w:val="bottom"/>
            <w:gridSpan w:val="2"/>
          </w:tcPr>
          <w:p>
            <w:pPr>
              <w:spacing w:after="0"/>
              <w:rPr>
                <w:sz w:val="20"/>
                <w:szCs w:val="20"/>
                <w:color w:val="auto"/>
              </w:rPr>
            </w:pPr>
            <w:r>
              <w:rPr>
                <w:rFonts w:ascii="Arial" w:cs="Arial" w:eastAsia="Arial" w:hAnsi="Arial"/>
                <w:sz w:val="18"/>
                <w:szCs w:val="18"/>
                <w:b w:val="1"/>
                <w:bCs w:val="1"/>
                <w:color w:val="auto"/>
              </w:rPr>
              <w:t>Note 8. Equity in Net Assets of Nonconsolidated Affiliates</w:t>
            </w: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1"/>
        </w:trPr>
        <w:tc>
          <w:tcPr>
            <w:tcW w:w="4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9"/>
          </w:tcPr>
          <w:p>
            <w:pPr>
              <w:ind w:left="2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8"/>
          </w:tcPr>
          <w:p>
            <w:pPr>
              <w:jc w:val="right"/>
              <w:ind w:right="828"/>
              <w:spacing w:after="0"/>
              <w:rPr>
                <w:sz w:val="20"/>
                <w:szCs w:val="20"/>
                <w:color w:val="auto"/>
              </w:rPr>
            </w:pPr>
            <w:r>
              <w:rPr>
                <w:rFonts w:ascii="Arial" w:cs="Arial" w:eastAsia="Arial" w:hAnsi="Arial"/>
                <w:sz w:val="14"/>
                <w:szCs w:val="14"/>
                <w:b w:val="1"/>
                <w:bCs w:val="1"/>
                <w:color w:val="auto"/>
                <w:w w:val="95"/>
              </w:rPr>
              <w:t>Six Months Ended</w:t>
            </w:r>
          </w:p>
        </w:tc>
        <w:tc>
          <w:tcPr>
            <w:tcW w:w="20" w:type="dxa"/>
            <w:vAlign w:val="bottom"/>
            <w:tcBorders>
              <w:bottom w:val="single" w:sz="8" w:color="auto"/>
            </w:tcBorders>
          </w:tcPr>
          <w:p>
            <w:pPr>
              <w:spacing w:after="0"/>
              <w:rPr>
                <w:sz w:val="24"/>
                <w:szCs w:val="24"/>
                <w:color w:val="auto"/>
              </w:rPr>
            </w:pPr>
          </w:p>
        </w:tc>
      </w:tr>
      <w:tr>
        <w:trPr>
          <w:trHeight w:val="196"/>
        </w:trPr>
        <w:tc>
          <w:tcPr>
            <w:tcW w:w="40" w:type="dxa"/>
            <w:vAlign w:val="bottom"/>
            <w:tcBorders>
              <w:bottom w:val="single" w:sz="8" w:color="CCEEFF"/>
            </w:tcBorders>
          </w:tcPr>
          <w:p>
            <w:pPr>
              <w:spacing w:after="0"/>
              <w:rPr>
                <w:sz w:val="17"/>
                <w:szCs w:val="17"/>
                <w:color w:val="auto"/>
              </w:rPr>
            </w:pPr>
          </w:p>
        </w:tc>
        <w:tc>
          <w:tcPr>
            <w:tcW w:w="50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June 30, 2020</w:t>
            </w: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June 30, 2019</w:t>
            </w: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June 30, 2020</w:t>
            </w: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3"/>
          </w:tcPr>
          <w:p>
            <w:pPr>
              <w:jc w:val="right"/>
              <w:ind w:right="208"/>
              <w:spacing w:after="0"/>
              <w:rPr>
                <w:sz w:val="20"/>
                <w:szCs w:val="20"/>
                <w:color w:val="auto"/>
              </w:rPr>
            </w:pPr>
            <w:r>
              <w:rPr>
                <w:rFonts w:ascii="Arial" w:cs="Arial" w:eastAsia="Arial" w:hAnsi="Arial"/>
                <w:sz w:val="14"/>
                <w:szCs w:val="14"/>
                <w:b w:val="1"/>
                <w:bCs w:val="1"/>
                <w:color w:val="auto"/>
                <w:w w:val="94"/>
              </w:rPr>
              <w:t>June 30, 2019</w:t>
            </w:r>
          </w:p>
        </w:tc>
        <w:tc>
          <w:tcPr>
            <w:tcW w:w="20" w:type="dxa"/>
            <w:vAlign w:val="bottom"/>
            <w:tcBorders>
              <w:bottom w:val="single" w:sz="8" w:color="auto"/>
            </w:tcBorders>
          </w:tcPr>
          <w:p>
            <w:pPr>
              <w:spacing w:after="0"/>
              <w:rPr>
                <w:sz w:val="17"/>
                <w:szCs w:val="17"/>
                <w:color w:val="auto"/>
              </w:rPr>
            </w:pPr>
          </w:p>
        </w:tc>
      </w:tr>
      <w:tr>
        <w:trPr>
          <w:trHeight w:val="250"/>
        </w:trPr>
        <w:tc>
          <w:tcPr>
            <w:tcW w:w="5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Automotive China equity income</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17"/>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4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3"/>
            <w:shd w:val="clear" w:color="auto" w:fill="CCEEFF"/>
          </w:tcPr>
          <w:p>
            <w:pPr>
              <w:jc w:val="right"/>
              <w:ind w:right="8"/>
              <w:spacing w:after="0"/>
              <w:rPr>
                <w:sz w:val="20"/>
                <w:szCs w:val="20"/>
                <w:color w:val="auto"/>
              </w:rPr>
            </w:pPr>
            <w:r>
              <w:rPr>
                <w:rFonts w:ascii="Arial" w:cs="Arial" w:eastAsia="Arial" w:hAnsi="Arial"/>
                <w:sz w:val="18"/>
                <w:szCs w:val="18"/>
                <w:color w:val="auto"/>
              </w:rPr>
              <w:t>235</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500" w:type="dxa"/>
            <w:vAlign w:val="bottom"/>
            <w:tcBorders>
              <w:bottom w:val="single" w:sz="8" w:color="CCEEFF"/>
            </w:tcBorders>
            <w:gridSpan w:val="3"/>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3"/>
            <w:shd w:val="clear" w:color="auto" w:fill="CCEEFF"/>
          </w:tcPr>
          <w:p>
            <w:pPr>
              <w:jc w:val="right"/>
              <w:ind w:right="68"/>
              <w:spacing w:after="0"/>
              <w:rPr>
                <w:sz w:val="20"/>
                <w:szCs w:val="20"/>
                <w:color w:val="auto"/>
              </w:rPr>
            </w:pPr>
            <w:r>
              <w:rPr>
                <w:rFonts w:ascii="Arial" w:cs="Arial" w:eastAsia="Arial" w:hAnsi="Arial"/>
                <w:sz w:val="18"/>
                <w:szCs w:val="18"/>
                <w:color w:val="auto"/>
              </w:rPr>
              <w:t>611</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5080" w:type="dxa"/>
            <w:vAlign w:val="bottom"/>
            <w:gridSpan w:val="2"/>
          </w:tcPr>
          <w:p>
            <w:pPr>
              <w:ind w:left="20"/>
              <w:spacing w:after="0"/>
              <w:rPr>
                <w:sz w:val="20"/>
                <w:szCs w:val="20"/>
                <w:color w:val="auto"/>
              </w:rPr>
            </w:pPr>
            <w:r>
              <w:rPr>
                <w:rFonts w:ascii="Arial" w:cs="Arial" w:eastAsia="Arial" w:hAnsi="Arial"/>
                <w:sz w:val="18"/>
                <w:szCs w:val="18"/>
                <w:color w:val="auto"/>
              </w:rPr>
              <w:t>Other joint ventures equity income</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3"/>
          </w:tcPr>
          <w:p>
            <w:pPr>
              <w:jc w:val="right"/>
              <w:ind w:right="8"/>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78</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gridSpan w:val="3"/>
          </w:tcPr>
          <w:p>
            <w:pPr>
              <w:jc w:val="right"/>
              <w:ind w:right="68"/>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21"/>
                <w:szCs w:val="21"/>
                <w:color w:val="auto"/>
              </w:rPr>
            </w:pPr>
          </w:p>
        </w:tc>
      </w:tr>
      <w:tr>
        <w:trPr>
          <w:trHeight w:val="27"/>
        </w:trPr>
        <w:tc>
          <w:tcPr>
            <w:tcW w:w="508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84"/>
        </w:trPr>
        <w:tc>
          <w:tcPr>
            <w:tcW w:w="5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Equity income</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617"/>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rPr>
              <w:t>271</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24"/>
                <w:szCs w:val="24"/>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w:t>
            </w:r>
          </w:p>
        </w:tc>
        <w:tc>
          <w:tcPr>
            <w:tcW w:w="50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68"/>
              <w:spacing w:after="0"/>
              <w:rPr>
                <w:sz w:val="20"/>
                <w:szCs w:val="20"/>
                <w:color w:val="auto"/>
              </w:rPr>
            </w:pPr>
            <w:r>
              <w:rPr>
                <w:rFonts w:ascii="Arial" w:cs="Arial" w:eastAsia="Arial" w:hAnsi="Arial"/>
                <w:sz w:val="18"/>
                <w:szCs w:val="18"/>
                <w:color w:val="auto"/>
              </w:rPr>
              <w:t>685</w:t>
            </w:r>
          </w:p>
        </w:tc>
        <w:tc>
          <w:tcPr>
            <w:tcW w:w="20" w:type="dxa"/>
            <w:vAlign w:val="bottom"/>
            <w:shd w:val="clear" w:color="auto" w:fill="CCEEFF"/>
          </w:tcPr>
          <w:p>
            <w:pPr>
              <w:spacing w:after="0"/>
              <w:rPr>
                <w:sz w:val="24"/>
                <w:szCs w:val="24"/>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5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There have been no significant ownership changes in our Automotive China joint ventures (Automotive China JVs) since December 31, 2019.</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736"/>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836"/>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5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 2020</w:t>
            </w:r>
          </w:p>
        </w:tc>
        <w:tc>
          <w:tcPr>
            <w:tcW w:w="200" w:type="dxa"/>
            <w:vAlign w:val="bottom"/>
          </w:tcPr>
          <w:p>
            <w:pPr>
              <w:spacing w:after="0"/>
              <w:rPr>
                <w:sz w:val="17"/>
                <w:szCs w:val="17"/>
                <w:color w:val="auto"/>
              </w:rPr>
            </w:pPr>
          </w:p>
        </w:tc>
        <w:tc>
          <w:tcPr>
            <w:tcW w:w="132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 2019</w:t>
            </w:r>
          </w:p>
        </w:tc>
        <w:tc>
          <w:tcPr>
            <w:tcW w:w="220" w:type="dxa"/>
            <w:vAlign w:val="bottom"/>
          </w:tcPr>
          <w:p>
            <w:pPr>
              <w:spacing w:after="0"/>
              <w:rPr>
                <w:sz w:val="17"/>
                <w:szCs w:val="17"/>
                <w:color w:val="auto"/>
              </w:rPr>
            </w:pPr>
          </w:p>
        </w:tc>
        <w:tc>
          <w:tcPr>
            <w:tcW w:w="132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 2020</w:t>
            </w:r>
          </w:p>
        </w:tc>
        <w:tc>
          <w:tcPr>
            <w:tcW w:w="220" w:type="dxa"/>
            <w:vAlign w:val="bottom"/>
          </w:tcPr>
          <w:p>
            <w:pPr>
              <w:spacing w:after="0"/>
              <w:rPr>
                <w:sz w:val="17"/>
                <w:szCs w:val="17"/>
                <w:color w:val="auto"/>
              </w:rPr>
            </w:pPr>
          </w:p>
        </w:tc>
        <w:tc>
          <w:tcPr>
            <w:tcW w:w="1220" w:type="dxa"/>
            <w:vAlign w:val="bottom"/>
          </w:tcPr>
          <w:p>
            <w:pPr>
              <w:jc w:val="right"/>
              <w:ind w:right="216"/>
              <w:spacing w:after="0"/>
              <w:rPr>
                <w:sz w:val="20"/>
                <w:szCs w:val="20"/>
                <w:color w:val="auto"/>
              </w:rPr>
            </w:pPr>
            <w:r>
              <w:rPr>
                <w:rFonts w:ascii="Arial" w:cs="Arial" w:eastAsia="Arial" w:hAnsi="Arial"/>
                <w:sz w:val="14"/>
                <w:szCs w:val="14"/>
                <w:b w:val="1"/>
                <w:bCs w:val="1"/>
                <w:color w:val="auto"/>
                <w:w w:val="98"/>
              </w:rPr>
              <w:t>June 30, 2019</w:t>
            </w: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b w:val="1"/>
                <w:bCs w:val="1"/>
                <w:color w:val="auto"/>
              </w:rPr>
              <w:t>Summarized Operating Data of Automotive China JVs</w:t>
            </w:r>
          </w:p>
        </w:tc>
        <w:tc>
          <w:tcPr>
            <w:tcW w:w="2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r>
      <w:tr>
        <w:trPr>
          <w:trHeight w:val="27"/>
        </w:trPr>
        <w:tc>
          <w:tcPr>
            <w:tcW w:w="5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Automotive China JVs' net sales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9,239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9,002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13,560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19,148</w:t>
            </w: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Automotive China JVs' net income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59"/>
              <w:spacing w:after="0"/>
              <w:rPr>
                <w:sz w:val="20"/>
                <w:szCs w:val="20"/>
                <w:color w:val="auto"/>
              </w:rPr>
            </w:pPr>
            <w:r>
              <w:rPr>
                <w:rFonts w:ascii="Arial" w:cs="Arial" w:eastAsia="Arial" w:hAnsi="Arial"/>
                <w:sz w:val="18"/>
                <w:szCs w:val="18"/>
                <w:color w:val="auto"/>
              </w:rPr>
              <w:t>562</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76"/>
              <w:spacing w:after="0"/>
              <w:rPr>
                <w:sz w:val="20"/>
                <w:szCs w:val="20"/>
                <w:color w:val="auto"/>
              </w:rPr>
            </w:pPr>
            <w:r>
              <w:rPr>
                <w:rFonts w:ascii="Arial" w:cs="Arial" w:eastAsia="Arial" w:hAnsi="Arial"/>
                <w:sz w:val="18"/>
                <w:szCs w:val="18"/>
                <w:color w:val="auto"/>
              </w:rPr>
              <w:t>499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79"/>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76"/>
              <w:spacing w:after="0"/>
              <w:rPr>
                <w:sz w:val="20"/>
                <w:szCs w:val="20"/>
                <w:color w:val="auto"/>
              </w:rPr>
            </w:pPr>
            <w:r>
              <w:rPr>
                <w:rFonts w:ascii="Arial" w:cs="Arial" w:eastAsia="Arial" w:hAnsi="Arial"/>
                <w:sz w:val="18"/>
                <w:szCs w:val="18"/>
                <w:color w:val="auto"/>
              </w:rPr>
              <w:t>1,266</w:t>
            </w:r>
          </w:p>
        </w:tc>
      </w:tr>
    </w:tbl>
    <w:p>
      <w:pPr>
        <w:spacing w:after="0" w:line="202"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Dividends declared but not paid from our nonconsolidated affiliates were $526 million and an insignificant amount at June 30, 2020 and December 31, 2019. Dividends received from our nonconsolidated affiliates were $525 million and $526 million in the three and six months ended June 30, 2020 and $941 million in the three and six months ended June 30, 2019. Undistributed earnings from our nonconsolidated affiliates were $1.7 billion and $2.1 billion at June 30, 2020 and December 31, 2019.</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Goodwill</w:t>
      </w:r>
    </w:p>
    <w:p>
      <w:pPr>
        <w:spacing w:after="0" w:line="256" w:lineRule="exact"/>
        <w:rPr>
          <w:sz w:val="20"/>
          <w:szCs w:val="20"/>
          <w:color w:val="auto"/>
        </w:rPr>
      </w:pPr>
    </w:p>
    <w:p>
      <w:pPr>
        <w:jc w:val="both"/>
        <w:ind w:firstLine="162"/>
        <w:spacing w:after="0" w:line="275" w:lineRule="auto"/>
        <w:rPr>
          <w:sz w:val="20"/>
          <w:szCs w:val="20"/>
          <w:color w:val="auto"/>
        </w:rPr>
      </w:pPr>
      <w:r>
        <w:rPr>
          <w:rFonts w:ascii="Arial" w:cs="Arial" w:eastAsia="Arial" w:hAnsi="Arial"/>
          <w:sz w:val="17"/>
          <w:szCs w:val="17"/>
          <w:color w:val="auto"/>
        </w:rPr>
        <w:t>We had Goodwill of $1.9 billion at June 30, 2020, which includes $1.3 billion related to GM Financial's North America reporting unit. Since December 31, 2019, the COVID-19 pandemic has caused material disruption to businesses, resulting in an economic slowdown. The economic and social uncertainty resulting from the COVID-19 pandemic indicated that it was more likely than not that a goodwill impairment existed at March 31, 2020 for GM Financial's North America reporting unit. Therefore, in the three months ended March 31, 2020, we performed an event-driven goodwill impairment test for GM Financial's North America reporting unit and determined no goodwill impairment existed.</w:t>
      </w:r>
    </w:p>
    <w:p>
      <w:pPr>
        <w:spacing w:after="0" w:line="109"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color w:val="auto"/>
        </w:rPr>
        <w:t>The fair value of GM Financial's North America reporting unit at March 31, 2020 was determined based on valuation techniques using the best available information, primarily discounted cash flow projections. We make significant assumptions and estimates about the extent and timing of future cash flows. There can be no assurance that anticipated financial results will</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be achieved. Under multiple scenarios, including fully weighting the downside cash flow scenario, the estimated fair value of GM Financial's North America reporting unit at March 31, 2020 exceeded its carrying amount. During the three months ended June 30, 2020, we noted no further material deterioration in our economic performance or outlook that would indicate further testing of goodwill impairment was warranted. Future goodwill impairment could be recognized should economic uncertainty continue, thereby resulting in a prolonged economic slowdown and a corresponding decline in the fair value of our reporting units.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Variable Interest Entities</w:t>
      </w:r>
    </w:p>
    <w:p>
      <w:pPr>
        <w:spacing w:after="0" w:line="121" w:lineRule="exact"/>
        <w:rPr>
          <w:sz w:val="20"/>
          <w:szCs w:val="20"/>
          <w:color w:val="auto"/>
        </w:rPr>
      </w:pPr>
    </w:p>
    <w:p>
      <w:pPr>
        <w:jc w:val="both"/>
        <w:ind w:firstLine="162"/>
        <w:spacing w:after="0" w:line="269" w:lineRule="auto"/>
        <w:rPr>
          <w:sz w:val="20"/>
          <w:szCs w:val="20"/>
          <w:color w:val="auto"/>
        </w:rPr>
      </w:pPr>
      <w:r>
        <w:rPr>
          <w:rFonts w:ascii="Arial" w:cs="Arial" w:eastAsia="Arial" w:hAnsi="Arial"/>
          <w:sz w:val="17"/>
          <w:szCs w:val="17"/>
          <w:color w:val="auto"/>
        </w:rPr>
        <w:t>GM Financial uses special purpose entities (SPEs) that are considered VIEs to issue variable funding notes to third party, bank-sponsored warehouse facilities or asset-backed securities to investors in securitization transactions. The debt issued by these VIEs is backed by finance receivables and leasing-related assets transferred to the VIEs (Securitized Assets). GM Financial determined that it is the primary beneficiary of the SPEs because the servicing responsibilities for the Securitized Assets give GM Financial the power to direct the activities that most significantly impact the performance of the VIEs and the variable interests in the VIEs give GM Financial the obligation to absorb losses and the right to receive residual returns that could potentially be significant. The assets serve as the sole source of repayment for the debt issued by these entities. Investors in the notes issued by the VIEs do not have recourse to GM Financial or its other assets, with the exception of customary representation and warranty repurchase provisions and indemnities that GM Financial provides as the servicer. GM Financial is not required to provide additional financial support to these SPEs. While these subsidiaries are included in GM Financial's condensed consolidated financial statements, they are separate legal entities and their assets are legally owned by them and are not available to GM Financial's creditors.</w:t>
      </w:r>
    </w:p>
    <w:p>
      <w:pPr>
        <w:spacing w:after="0" w:line="21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assets and liabilities related to GM Financial's consolidated VIEs: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2020</w:t>
            </w:r>
          </w:p>
        </w:tc>
        <w:tc>
          <w:tcPr>
            <w:tcW w:w="160" w:type="dxa"/>
            <w:vAlign w:val="bottom"/>
          </w:tcPr>
          <w:p>
            <w:pPr>
              <w:spacing w:after="0"/>
              <w:rPr>
                <w:sz w:val="16"/>
                <w:szCs w:val="16"/>
                <w:color w:val="auto"/>
              </w:rPr>
            </w:pPr>
          </w:p>
        </w:tc>
        <w:tc>
          <w:tcPr>
            <w:tcW w:w="1480" w:type="dxa"/>
            <w:vAlign w:val="bottom"/>
          </w:tcPr>
          <w:p>
            <w:pPr>
              <w:jc w:val="right"/>
              <w:ind w:right="152"/>
              <w:spacing w:after="0"/>
              <w:rPr>
                <w:sz w:val="20"/>
                <w:szCs w:val="20"/>
                <w:color w:val="auto"/>
              </w:rPr>
            </w:pPr>
            <w:r>
              <w:rPr>
                <w:rFonts w:ascii="Arial" w:cs="Arial" w:eastAsia="Arial" w:hAnsi="Arial"/>
                <w:sz w:val="14"/>
                <w:szCs w:val="14"/>
                <w:b w:val="1"/>
                <w:bCs w:val="1"/>
                <w:color w:val="auto"/>
                <w:w w:val="96"/>
              </w:rPr>
              <w:t>December 31, 2019</w:t>
            </w:r>
          </w:p>
        </w:tc>
      </w:tr>
      <w:tr>
        <w:trPr>
          <w:trHeight w:val="249"/>
        </w:trPr>
        <w:tc>
          <w:tcPr>
            <w:tcW w:w="7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Restricted cash – current</w:t>
            </w: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2,269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2,202</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Restricted cash – non-current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52"/>
              <w:spacing w:after="0"/>
              <w:rPr>
                <w:sz w:val="20"/>
                <w:szCs w:val="20"/>
                <w:color w:val="auto"/>
              </w:rPr>
            </w:pPr>
            <w:r>
              <w:rPr>
                <w:rFonts w:ascii="Arial" w:cs="Arial" w:eastAsia="Arial" w:hAnsi="Arial"/>
                <w:sz w:val="18"/>
                <w:szCs w:val="18"/>
                <w:color w:val="auto"/>
              </w:rPr>
              <w:t>401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ind w:right="72"/>
              <w:spacing w:after="0"/>
              <w:rPr>
                <w:sz w:val="20"/>
                <w:szCs w:val="20"/>
                <w:color w:val="auto"/>
              </w:rPr>
            </w:pPr>
            <w:r>
              <w:rPr>
                <w:rFonts w:ascii="Arial" w:cs="Arial" w:eastAsia="Arial" w:hAnsi="Arial"/>
                <w:sz w:val="18"/>
                <w:szCs w:val="18"/>
                <w:color w:val="auto"/>
              </w:rPr>
              <w:t>441</w:t>
            </w:r>
          </w:p>
        </w:tc>
      </w:tr>
      <w:tr>
        <w:trPr>
          <w:trHeight w:val="27"/>
        </w:trPr>
        <w:tc>
          <w:tcPr>
            <w:tcW w:w="7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GM Financial receivables, net of fees – current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15,457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19,081</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GM Financial receivables, net of fees – non-current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52"/>
              <w:spacing w:after="0"/>
              <w:rPr>
                <w:sz w:val="20"/>
                <w:szCs w:val="20"/>
                <w:color w:val="auto"/>
              </w:rPr>
            </w:pPr>
            <w:r>
              <w:rPr>
                <w:rFonts w:ascii="Arial" w:cs="Arial" w:eastAsia="Arial" w:hAnsi="Arial"/>
                <w:sz w:val="18"/>
                <w:szCs w:val="18"/>
                <w:color w:val="auto"/>
              </w:rPr>
              <w:t>14,009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ind w:right="72"/>
              <w:spacing w:after="0"/>
              <w:rPr>
                <w:sz w:val="20"/>
                <w:szCs w:val="20"/>
                <w:color w:val="auto"/>
              </w:rPr>
            </w:pPr>
            <w:r>
              <w:rPr>
                <w:rFonts w:ascii="Arial" w:cs="Arial" w:eastAsia="Arial" w:hAnsi="Arial"/>
                <w:sz w:val="18"/>
                <w:szCs w:val="18"/>
                <w:color w:val="auto"/>
              </w:rPr>
              <w:t>15,921</w:t>
            </w:r>
          </w:p>
        </w:tc>
      </w:tr>
      <w:tr>
        <w:trPr>
          <w:trHeight w:val="27"/>
        </w:trPr>
        <w:tc>
          <w:tcPr>
            <w:tcW w:w="7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GM Financial equipment on operating leases, net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19,172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14,464</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GM Financial short-term debt and current portion of long-term debt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52"/>
              <w:spacing w:after="0"/>
              <w:rPr>
                <w:sz w:val="20"/>
                <w:szCs w:val="20"/>
                <w:color w:val="auto"/>
              </w:rPr>
            </w:pPr>
            <w:r>
              <w:rPr>
                <w:rFonts w:ascii="Arial" w:cs="Arial" w:eastAsia="Arial" w:hAnsi="Arial"/>
                <w:sz w:val="18"/>
                <w:szCs w:val="18"/>
                <w:color w:val="auto"/>
              </w:rPr>
              <w:t>24,245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ind w:right="72"/>
              <w:spacing w:after="0"/>
              <w:rPr>
                <w:sz w:val="20"/>
                <w:szCs w:val="20"/>
                <w:color w:val="auto"/>
              </w:rPr>
            </w:pPr>
            <w:r>
              <w:rPr>
                <w:rFonts w:ascii="Arial" w:cs="Arial" w:eastAsia="Arial" w:hAnsi="Arial"/>
                <w:sz w:val="18"/>
                <w:szCs w:val="18"/>
                <w:color w:val="auto"/>
              </w:rPr>
              <w:t>23,952</w:t>
            </w:r>
          </w:p>
        </w:tc>
      </w:tr>
      <w:tr>
        <w:trPr>
          <w:trHeight w:val="27"/>
        </w:trPr>
        <w:tc>
          <w:tcPr>
            <w:tcW w:w="7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GM Financial long-term debt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15,961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15,819</w:t>
            </w:r>
          </w:p>
        </w:tc>
      </w:tr>
      <w:tr>
        <w:trPr>
          <w:trHeight w:val="27"/>
        </w:trPr>
        <w:tc>
          <w:tcPr>
            <w:tcW w:w="78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323"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GM Financial recognizes finance charge, leased vehicle and fee income on the Securitized Assets and interest expense on the secured debt issued in a securitization transaction and records a provision for loan losses to recognize probable loan losses inherent in the finance receivables.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Debt</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 xml:space="preserve">Automotive </w:t>
      </w:r>
      <w:r>
        <w:rPr>
          <w:rFonts w:ascii="Arial" w:cs="Arial" w:eastAsia="Arial" w:hAnsi="Arial"/>
          <w:sz w:val="18"/>
          <w:szCs w:val="18"/>
          <w:color w:val="auto"/>
        </w:rPr>
        <w:t>The following table presents debt in our automotive operations: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2020</w:t>
            </w:r>
          </w:p>
        </w:tc>
        <w:tc>
          <w:tcPr>
            <w:tcW w:w="10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812"/>
              <w:spacing w:after="0"/>
              <w:rPr>
                <w:sz w:val="20"/>
                <w:szCs w:val="20"/>
                <w:color w:val="auto"/>
              </w:rPr>
            </w:pPr>
            <w:r>
              <w:rPr>
                <w:rFonts w:ascii="Arial" w:cs="Arial" w:eastAsia="Arial" w:hAnsi="Arial"/>
                <w:sz w:val="14"/>
                <w:szCs w:val="14"/>
                <w:b w:val="1"/>
                <w:bCs w:val="1"/>
                <w:color w:val="auto"/>
              </w:rPr>
              <w:t>December 31, 2019</w:t>
            </w:r>
          </w:p>
        </w:tc>
      </w:tr>
      <w:tr>
        <w:trPr>
          <w:trHeight w:val="196"/>
        </w:trPr>
        <w:tc>
          <w:tcPr>
            <w:tcW w:w="5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ind w:left="20"/>
              <w:spacing w:after="0"/>
              <w:rPr>
                <w:sz w:val="20"/>
                <w:szCs w:val="20"/>
                <w:color w:val="auto"/>
              </w:rPr>
            </w:pPr>
            <w:r>
              <w:rPr>
                <w:rFonts w:ascii="Arial" w:cs="Arial" w:eastAsia="Arial" w:hAnsi="Arial"/>
                <w:sz w:val="14"/>
                <w:szCs w:val="14"/>
                <w:b w:val="1"/>
                <w:bCs w:val="1"/>
                <w:color w:val="auto"/>
              </w:rPr>
              <w:t>Carrying Amount</w:t>
            </w:r>
          </w:p>
        </w:tc>
        <w:tc>
          <w:tcPr>
            <w:tcW w:w="400" w:type="dxa"/>
            <w:vAlign w:val="bottom"/>
          </w:tcPr>
          <w:p>
            <w:pPr>
              <w:spacing w:after="0"/>
              <w:rPr>
                <w:sz w:val="17"/>
                <w:szCs w:val="17"/>
                <w:color w:val="auto"/>
              </w:rPr>
            </w:pP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7"/>
                <w:szCs w:val="17"/>
                <w:color w:val="auto"/>
              </w:rPr>
            </w:pPr>
          </w:p>
        </w:tc>
        <w:tc>
          <w:tcPr>
            <w:tcW w:w="1360" w:type="dxa"/>
            <w:vAlign w:val="bottom"/>
            <w:gridSpan w:val="2"/>
          </w:tcPr>
          <w:p>
            <w:pPr>
              <w:ind w:left="20"/>
              <w:spacing w:after="0"/>
              <w:rPr>
                <w:sz w:val="20"/>
                <w:szCs w:val="20"/>
                <w:color w:val="auto"/>
              </w:rPr>
            </w:pPr>
            <w:r>
              <w:rPr>
                <w:rFonts w:ascii="Arial" w:cs="Arial" w:eastAsia="Arial" w:hAnsi="Arial"/>
                <w:sz w:val="14"/>
                <w:szCs w:val="14"/>
                <w:b w:val="1"/>
                <w:bCs w:val="1"/>
                <w:color w:val="auto"/>
              </w:rPr>
              <w:t>Carrying Amount</w:t>
            </w:r>
          </w:p>
        </w:tc>
        <w:tc>
          <w:tcPr>
            <w:tcW w:w="260" w:type="dxa"/>
            <w:vAlign w:val="bottom"/>
          </w:tcPr>
          <w:p>
            <w:pPr>
              <w:spacing w:after="0"/>
              <w:rPr>
                <w:sz w:val="17"/>
                <w:szCs w:val="17"/>
                <w:color w:val="auto"/>
              </w:rPr>
            </w:pPr>
          </w:p>
        </w:tc>
        <w:tc>
          <w:tcPr>
            <w:tcW w:w="1200" w:type="dxa"/>
            <w:vAlign w:val="bottom"/>
          </w:tcPr>
          <w:p>
            <w:pPr>
              <w:jc w:val="right"/>
              <w:ind w:right="312"/>
              <w:spacing w:after="0"/>
              <w:rPr>
                <w:sz w:val="20"/>
                <w:szCs w:val="20"/>
                <w:color w:val="auto"/>
              </w:rPr>
            </w:pPr>
            <w:r>
              <w:rPr>
                <w:rFonts w:ascii="Arial" w:cs="Arial" w:eastAsia="Arial" w:hAnsi="Arial"/>
                <w:sz w:val="14"/>
                <w:szCs w:val="14"/>
                <w:b w:val="1"/>
                <w:bCs w:val="1"/>
                <w:color w:val="auto"/>
              </w:rPr>
              <w:t>Fair Value</w:t>
            </w:r>
          </w:p>
        </w:tc>
      </w:tr>
      <w:tr>
        <w:trPr>
          <w:trHeight w:val="250"/>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Secured debt</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274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272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165</w:t>
            </w: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Unsecured debt</w:t>
            </w:r>
          </w:p>
        </w:tc>
        <w:tc>
          <w:tcPr>
            <w:tcW w:w="120" w:type="dxa"/>
            <w:vAlign w:val="bottom"/>
          </w:tcPr>
          <w:p>
            <w:pPr>
              <w:spacing w:after="0"/>
              <w:rPr>
                <w:sz w:val="21"/>
                <w:szCs w:val="21"/>
                <w:color w:val="auto"/>
              </w:rPr>
            </w:pPr>
          </w:p>
        </w:tc>
        <w:tc>
          <w:tcPr>
            <w:tcW w:w="1260" w:type="dxa"/>
            <w:vAlign w:val="bottom"/>
          </w:tcPr>
          <w:p>
            <w:pPr>
              <w:jc w:val="right"/>
              <w:ind w:right="76"/>
              <w:spacing w:after="0"/>
              <w:rPr>
                <w:sz w:val="20"/>
                <w:szCs w:val="20"/>
                <w:color w:val="auto"/>
              </w:rPr>
            </w:pPr>
            <w:r>
              <w:rPr>
                <w:rFonts w:ascii="Arial" w:cs="Arial" w:eastAsia="Arial" w:hAnsi="Arial"/>
                <w:sz w:val="18"/>
                <w:szCs w:val="18"/>
                <w:color w:val="auto"/>
              </w:rPr>
              <w:t>34,308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36,093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ind w:right="76"/>
              <w:spacing w:after="0"/>
              <w:rPr>
                <w:sz w:val="20"/>
                <w:szCs w:val="20"/>
                <w:color w:val="auto"/>
              </w:rPr>
            </w:pPr>
            <w:r>
              <w:rPr>
                <w:rFonts w:ascii="Arial" w:cs="Arial" w:eastAsia="Arial" w:hAnsi="Arial"/>
                <w:sz w:val="18"/>
                <w:szCs w:val="18"/>
                <w:color w:val="auto"/>
              </w:rPr>
              <w:t>13,909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15,247</w:t>
            </w:r>
          </w:p>
        </w:tc>
      </w:tr>
      <w:tr>
        <w:trPr>
          <w:trHeight w:val="27"/>
        </w:trPr>
        <w:tc>
          <w:tcPr>
            <w:tcW w:w="5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Finance lease liabilities</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339</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605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310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516</w:t>
            </w:r>
          </w:p>
        </w:tc>
      </w:tr>
      <w:tr>
        <w:trPr>
          <w:trHeight w:val="263"/>
        </w:trPr>
        <w:tc>
          <w:tcPr>
            <w:tcW w:w="5200" w:type="dxa"/>
            <w:vAlign w:val="bottom"/>
          </w:tcPr>
          <w:p>
            <w:pPr>
              <w:ind w:left="20"/>
              <w:spacing w:after="0"/>
              <w:rPr>
                <w:sz w:val="20"/>
                <w:szCs w:val="20"/>
                <w:color w:val="auto"/>
              </w:rPr>
            </w:pPr>
            <w:r>
              <w:rPr>
                <w:rFonts w:ascii="Arial" w:cs="Arial" w:eastAsia="Arial" w:hAnsi="Arial"/>
                <w:sz w:val="18"/>
                <w:szCs w:val="18"/>
                <w:color w:val="auto"/>
              </w:rPr>
              <w:t>Total automotive debt(a)</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color w:val="auto"/>
              </w:rPr>
              <w:t>34,921</w:t>
            </w: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color w:val="auto"/>
              </w:rPr>
              <w:t>36,970</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color w:val="auto"/>
              </w:rPr>
              <w:t>14,386</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rPr>
              <w:t>15,928</w:t>
            </w:r>
          </w:p>
        </w:tc>
      </w:tr>
      <w:tr>
        <w:trPr>
          <w:trHeight w:val="46"/>
        </w:trPr>
        <w:tc>
          <w:tcPr>
            <w:tcW w:w="52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43"/>
        </w:trPr>
        <w:tc>
          <w:tcPr>
            <w:tcW w:w="520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Fair value utilizing Level 1 inputs</w:t>
            </w:r>
          </w:p>
        </w:tc>
        <w:tc>
          <w:tcPr>
            <w:tcW w:w="120" w:type="dxa"/>
            <w:vAlign w:val="bottom"/>
            <w:tcBorders>
              <w:top w:val="single" w:sz="8" w:color="CCEEFF"/>
            </w:tcBorders>
          </w:tcPr>
          <w:p>
            <w:pPr>
              <w:spacing w:after="0"/>
              <w:rPr>
                <w:sz w:val="21"/>
                <w:szCs w:val="21"/>
                <w:color w:val="auto"/>
              </w:rPr>
            </w:pPr>
          </w:p>
        </w:tc>
        <w:tc>
          <w:tcPr>
            <w:tcW w:w="126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400" w:type="dxa"/>
            <w:vAlign w:val="bottom"/>
            <w:tcBorders>
              <w:top w:val="single" w:sz="8" w:color="CCEEFF"/>
            </w:tcBorders>
          </w:tcPr>
          <w:p>
            <w:pPr>
              <w:jc w:val="right"/>
              <w:ind w:right="2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CCEEFF"/>
            </w:tcBorders>
          </w:tcPr>
          <w:p>
            <w:pPr>
              <w:jc w:val="right"/>
              <w:ind w:right="132"/>
              <w:spacing w:after="0"/>
              <w:rPr>
                <w:sz w:val="20"/>
                <w:szCs w:val="20"/>
                <w:color w:val="auto"/>
              </w:rPr>
            </w:pPr>
            <w:r>
              <w:rPr>
                <w:rFonts w:ascii="Arial" w:cs="Arial" w:eastAsia="Arial" w:hAnsi="Arial"/>
                <w:sz w:val="18"/>
                <w:szCs w:val="18"/>
                <w:color w:val="auto"/>
              </w:rPr>
              <w:t>17,660</w:t>
            </w:r>
          </w:p>
        </w:tc>
        <w:tc>
          <w:tcPr>
            <w:tcW w:w="12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26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CCEEFF"/>
            </w:tcBorders>
          </w:tcPr>
          <w:p>
            <w:pPr>
              <w:jc w:val="right"/>
              <w:ind w:right="152"/>
              <w:spacing w:after="0"/>
              <w:rPr>
                <w:sz w:val="20"/>
                <w:szCs w:val="20"/>
                <w:color w:val="auto"/>
              </w:rPr>
            </w:pPr>
            <w:r>
              <w:rPr>
                <w:rFonts w:ascii="Arial" w:cs="Arial" w:eastAsia="Arial" w:hAnsi="Arial"/>
                <w:sz w:val="18"/>
                <w:szCs w:val="18"/>
                <w:color w:val="auto"/>
              </w:rPr>
              <w:t>13,628</w:t>
            </w:r>
          </w:p>
        </w:tc>
      </w:tr>
      <w:tr>
        <w:trPr>
          <w:trHeight w:val="27"/>
        </w:trPr>
        <w:tc>
          <w:tcPr>
            <w:tcW w:w="5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utilizing Level 2 inputs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19,310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2,300</w:t>
            </w:r>
          </w:p>
        </w:tc>
      </w:tr>
      <w:tr>
        <w:trPr>
          <w:trHeight w:val="54"/>
        </w:trPr>
        <w:tc>
          <w:tcPr>
            <w:tcW w:w="5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0" w:type="dxa"/>
            <w:vAlign w:val="bottom"/>
          </w:tcPr>
          <w:p>
            <w:pPr>
              <w:spacing w:after="0"/>
              <w:rPr>
                <w:sz w:val="4"/>
                <w:szCs w:val="4"/>
                <w:color w:val="auto"/>
              </w:rPr>
            </w:pPr>
          </w:p>
        </w:tc>
      </w:tr>
      <w:tr>
        <w:trPr>
          <w:trHeight w:val="24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Available under credit facility agreements(b)</w:t>
            </w: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2,335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17,285</w:t>
            </w:r>
          </w:p>
        </w:tc>
      </w:tr>
      <w:tr>
        <w:trPr>
          <w:trHeight w:val="27"/>
        </w:trPr>
        <w:tc>
          <w:tcPr>
            <w:tcW w:w="5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180" w:type="dxa"/>
            <w:vAlign w:val="bottom"/>
          </w:tcPr>
          <w:p>
            <w:pPr>
              <w:ind w:left="20"/>
              <w:spacing w:after="0"/>
              <w:rPr>
                <w:sz w:val="20"/>
                <w:szCs w:val="20"/>
                <w:color w:val="auto"/>
              </w:rPr>
            </w:pPr>
            <w:r>
              <w:rPr>
                <w:rFonts w:ascii="Arial" w:cs="Arial" w:eastAsia="Arial" w:hAnsi="Arial"/>
                <w:sz w:val="18"/>
                <w:szCs w:val="18"/>
                <w:color w:val="auto"/>
              </w:rPr>
              <w:t>Weighted-average interest rate on outstanding short-term debt(c)</w:t>
            </w:r>
          </w:p>
        </w:tc>
        <w:tc>
          <w:tcPr>
            <w:tcW w:w="1760" w:type="dxa"/>
            <w:vAlign w:val="bottom"/>
          </w:tcPr>
          <w:p>
            <w:pPr>
              <w:jc w:val="right"/>
              <w:spacing w:after="0"/>
              <w:rPr>
                <w:sz w:val="20"/>
                <w:szCs w:val="20"/>
                <w:color w:val="auto"/>
              </w:rPr>
            </w:pPr>
            <w:r>
              <w:rPr>
                <w:rFonts w:ascii="Arial" w:cs="Arial" w:eastAsia="Arial" w:hAnsi="Arial"/>
                <w:sz w:val="18"/>
                <w:szCs w:val="18"/>
                <w:color w:val="auto"/>
              </w:rPr>
              <w:t>3.9</w:t>
            </w:r>
          </w:p>
        </w:tc>
        <w:tc>
          <w:tcPr>
            <w:tcW w:w="1500" w:type="dxa"/>
            <w:vAlign w:val="bottom"/>
          </w:tcPr>
          <w:p>
            <w:pPr>
              <w:jc w:val="right"/>
              <w:ind w:right="121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4.9</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0"/>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interest rate on outstanding long-term debt(c)</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500" w:type="dxa"/>
            <w:vAlign w:val="bottom"/>
            <w:shd w:val="clear" w:color="auto" w:fill="CCEEFF"/>
          </w:tcPr>
          <w:p>
            <w:pPr>
              <w:jc w:val="right"/>
              <w:ind w:right="121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97"/>
        </w:trPr>
        <w:tc>
          <w:tcPr>
            <w:tcW w:w="6180" w:type="dxa"/>
            <w:vAlign w:val="bottom"/>
          </w:tcPr>
          <w:p>
            <w:pPr>
              <w:spacing w:after="0"/>
              <w:rPr>
                <w:sz w:val="20"/>
                <w:szCs w:val="20"/>
                <w:color w:val="auto"/>
              </w:rPr>
            </w:pPr>
            <w:r>
              <w:rPr>
                <w:rFonts w:ascii="Arial" w:cs="Arial" w:eastAsia="Arial" w:hAnsi="Arial"/>
                <w:sz w:val="18"/>
                <w:szCs w:val="18"/>
                <w:color w:val="auto"/>
              </w:rPr>
              <w:t>__________</w:t>
            </w:r>
          </w:p>
        </w:tc>
        <w:tc>
          <w:tcPr>
            <w:tcW w:w="17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ind w:left="320" w:hanging="312"/>
        <w:spacing w:after="0"/>
        <w:tabs>
          <w:tab w:leader="none" w:pos="32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Includes net discount and debt issuance costs of $514 million and $540 million at June 30, 2020 and December 31, 2019.</w:t>
      </w:r>
    </w:p>
    <w:p>
      <w:pPr>
        <w:spacing w:after="0" w:line="9" w:lineRule="exact"/>
        <w:rPr>
          <w:rFonts w:ascii="Arial" w:cs="Arial" w:eastAsia="Arial" w:hAnsi="Arial"/>
          <w:sz w:val="16"/>
          <w:szCs w:val="16"/>
          <w:color w:val="auto"/>
        </w:rPr>
      </w:pPr>
    </w:p>
    <w:p>
      <w:pPr>
        <w:ind w:left="340" w:hanging="332"/>
        <w:spacing w:after="0"/>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Excludes our 364-day, $2.0 billion facility designated for exclusive use by GM Financial.</w:t>
      </w:r>
    </w:p>
    <w:p>
      <w:pPr>
        <w:spacing w:after="0" w:line="5" w:lineRule="exact"/>
        <w:rPr>
          <w:rFonts w:ascii="Arial" w:cs="Arial" w:eastAsia="Arial" w:hAnsi="Arial"/>
          <w:sz w:val="16"/>
          <w:szCs w:val="16"/>
          <w:color w:val="auto"/>
        </w:rPr>
      </w:pPr>
    </w:p>
    <w:p>
      <w:pPr>
        <w:ind w:left="320" w:hanging="312"/>
        <w:spacing w:after="0"/>
        <w:tabs>
          <w:tab w:leader="none" w:pos="32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Includes coupon rates on debt denominated in various foreign currencies and interest free loans.</w:t>
      </w:r>
    </w:p>
    <w:p>
      <w:pPr>
        <w:spacing w:after="0" w:line="230" w:lineRule="exact"/>
        <w:rPr>
          <w:sz w:val="20"/>
          <w:szCs w:val="20"/>
          <w:color w:val="auto"/>
        </w:rPr>
      </w:pPr>
    </w:p>
    <w:p>
      <w:pPr>
        <w:jc w:val="both"/>
        <w:ind w:right="20" w:firstLine="162"/>
        <w:spacing w:after="0" w:line="311" w:lineRule="auto"/>
        <w:rPr>
          <w:sz w:val="20"/>
          <w:szCs w:val="20"/>
          <w:color w:val="auto"/>
        </w:rPr>
      </w:pPr>
      <w:r>
        <w:rPr>
          <w:rFonts w:ascii="Arial" w:cs="Arial" w:eastAsia="Arial" w:hAnsi="Arial"/>
          <w:sz w:val="16"/>
          <w:szCs w:val="16"/>
          <w:color w:val="auto"/>
        </w:rPr>
        <w:t>Unsecured debt primarily consists of revolving credit facilities and senior notes. In the six months ended June 30, 2020, we borrowed: (1) $3.4 billion against our three-year, $4.0 billion facility; (2) $2.0 billion against our three-year, $3.0 billion facility, which reduced to $2.0 billion in May 2020 (three-year, $2.0 billion transformation facility); and (3) $10.5 billion against our five-year, $10.5 billion facility, with maturity dates ranging from 2021 to 2023.</w:t>
      </w:r>
    </w:p>
    <w:p>
      <w:pPr>
        <w:spacing w:after="0" w:line="176"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In April 2020, we renewed our 364-day, $2.0 billion facility designated for exclusive use by GM Financial for an additional 364-day term and extended $3.6 billion of the three-year, $4.0 billion facility for an additional year expiring in April 2022. The remaining portion will expire in April 2021, unless extended. As part of the extension of the three-year, $4.0 billion facility, we have agreed not to execute any share repurchases until we no longer have outstanding borrowings under the revolving credit facilities, except for the three-year, $2.0 billion transformation facility. In addition, we are restricted from paying dividends on our common shares if outstanding borrowings under the revolving credit facilities exceed $5.0 billion, with the exception of the three-year, $2.0 billion transformation facility.</w:t>
      </w:r>
    </w:p>
    <w:p>
      <w:pPr>
        <w:spacing w:after="0" w:line="219" w:lineRule="exact"/>
        <w:rPr>
          <w:sz w:val="20"/>
          <w:szCs w:val="20"/>
          <w:color w:val="auto"/>
        </w:rPr>
      </w:pPr>
    </w:p>
    <w:p>
      <w:pPr>
        <w:jc w:val="both"/>
        <w:ind w:firstLine="162"/>
        <w:spacing w:after="0" w:line="296" w:lineRule="auto"/>
        <w:rPr>
          <w:sz w:val="20"/>
          <w:szCs w:val="20"/>
          <w:color w:val="auto"/>
        </w:rPr>
      </w:pPr>
      <w:r>
        <w:rPr>
          <w:rFonts w:ascii="Arial" w:cs="Arial" w:eastAsia="Arial" w:hAnsi="Arial"/>
          <w:sz w:val="16"/>
          <w:szCs w:val="16"/>
          <w:color w:val="auto"/>
        </w:rPr>
        <w:t>In May 2020, we issued $4.0 billion in aggregate principal amount of senior unsecured notes with a weighted average interest rate of 6.11% and maturity dates ranging from 2023 to 2027. The notes are governed by a sixth supplemental indenture and the same base indenture that governs our existing notes, which contains terms and covenants customary for these types of securities, including a limitation on the amount of certain secured debt we may incur. The net proceeds from the issuance of these senior unsecured notes provide additional financial flexibility and will be used for general corporate purposes. In May 2020, we also entered into a new unsecured 364-day, $2.0 billion revolving credit facility as an additional source of available liquidity.</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 xml:space="preserve">GM Financial </w:t>
      </w:r>
      <w:r>
        <w:rPr>
          <w:rFonts w:ascii="Arial" w:cs="Arial" w:eastAsia="Arial" w:hAnsi="Arial"/>
          <w:sz w:val="18"/>
          <w:szCs w:val="18"/>
          <w:color w:val="auto"/>
        </w:rPr>
        <w:t>The following table presents debt of GM Financial:</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2020</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813"/>
              <w:spacing w:after="0"/>
              <w:rPr>
                <w:sz w:val="20"/>
                <w:szCs w:val="20"/>
                <w:color w:val="auto"/>
              </w:rPr>
            </w:pPr>
            <w:r>
              <w:rPr>
                <w:rFonts w:ascii="Arial" w:cs="Arial" w:eastAsia="Arial" w:hAnsi="Arial"/>
                <w:sz w:val="14"/>
                <w:szCs w:val="14"/>
                <w:b w:val="1"/>
                <w:bCs w:val="1"/>
                <w:color w:val="auto"/>
              </w:rPr>
              <w:t>December 31, 2019</w:t>
            </w:r>
          </w:p>
        </w:tc>
      </w:tr>
      <w:tr>
        <w:trPr>
          <w:trHeight w:val="196"/>
        </w:trPr>
        <w:tc>
          <w:tcPr>
            <w:tcW w:w="5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2"/>
          </w:tcPr>
          <w:p>
            <w:pPr>
              <w:ind w:left="40"/>
              <w:spacing w:after="0"/>
              <w:rPr>
                <w:sz w:val="20"/>
                <w:szCs w:val="20"/>
                <w:color w:val="auto"/>
              </w:rPr>
            </w:pPr>
            <w:r>
              <w:rPr>
                <w:rFonts w:ascii="Arial" w:cs="Arial" w:eastAsia="Arial" w:hAnsi="Arial"/>
                <w:sz w:val="14"/>
                <w:szCs w:val="14"/>
                <w:b w:val="1"/>
                <w:bCs w:val="1"/>
                <w:color w:val="auto"/>
              </w:rPr>
              <w:t>Carrying Amount</w:t>
            </w:r>
          </w:p>
        </w:tc>
        <w:tc>
          <w:tcPr>
            <w:tcW w:w="360" w:type="dxa"/>
            <w:vAlign w:val="bottom"/>
          </w:tcPr>
          <w:p>
            <w:pPr>
              <w:spacing w:after="0"/>
              <w:rPr>
                <w:sz w:val="17"/>
                <w:szCs w:val="17"/>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7"/>
                <w:szCs w:val="17"/>
                <w:color w:val="auto"/>
              </w:rPr>
            </w:pPr>
          </w:p>
        </w:tc>
        <w:tc>
          <w:tcPr>
            <w:tcW w:w="1400" w:type="dxa"/>
            <w:vAlign w:val="bottom"/>
            <w:gridSpan w:val="2"/>
          </w:tcPr>
          <w:p>
            <w:pPr>
              <w:ind w:left="40"/>
              <w:spacing w:after="0"/>
              <w:rPr>
                <w:sz w:val="20"/>
                <w:szCs w:val="20"/>
                <w:color w:val="auto"/>
              </w:rPr>
            </w:pPr>
            <w:r>
              <w:rPr>
                <w:rFonts w:ascii="Arial" w:cs="Arial" w:eastAsia="Arial" w:hAnsi="Arial"/>
                <w:sz w:val="14"/>
                <w:szCs w:val="14"/>
                <w:b w:val="1"/>
                <w:bCs w:val="1"/>
                <w:color w:val="auto"/>
              </w:rPr>
              <w:t>Carrying Amount</w:t>
            </w:r>
          </w:p>
        </w:tc>
        <w:tc>
          <w:tcPr>
            <w:tcW w:w="260" w:type="dxa"/>
            <w:vAlign w:val="bottom"/>
          </w:tcPr>
          <w:p>
            <w:pPr>
              <w:spacing w:after="0"/>
              <w:rPr>
                <w:sz w:val="17"/>
                <w:szCs w:val="17"/>
                <w:color w:val="auto"/>
              </w:rPr>
            </w:pPr>
          </w:p>
        </w:tc>
        <w:tc>
          <w:tcPr>
            <w:tcW w:w="1180" w:type="dxa"/>
            <w:vAlign w:val="bottom"/>
          </w:tcPr>
          <w:p>
            <w:pPr>
              <w:jc w:val="right"/>
              <w:ind w:right="313"/>
              <w:spacing w:after="0"/>
              <w:rPr>
                <w:sz w:val="20"/>
                <w:szCs w:val="20"/>
                <w:color w:val="auto"/>
              </w:rPr>
            </w:pPr>
            <w:r>
              <w:rPr>
                <w:rFonts w:ascii="Arial" w:cs="Arial" w:eastAsia="Arial" w:hAnsi="Arial"/>
                <w:sz w:val="14"/>
                <w:szCs w:val="14"/>
                <w:b w:val="1"/>
                <w:bCs w:val="1"/>
                <w:color w:val="auto"/>
              </w:rPr>
              <w:t>Fair Value</w:t>
            </w:r>
          </w:p>
        </w:tc>
      </w:tr>
      <w:tr>
        <w:trPr>
          <w:trHeight w:val="249"/>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Secured debt</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40,308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40,673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39,959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40,160</w:t>
            </w: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Unsecured debt</w:t>
            </w:r>
          </w:p>
        </w:tc>
        <w:tc>
          <w:tcPr>
            <w:tcW w:w="120" w:type="dxa"/>
            <w:vAlign w:val="bottom"/>
          </w:tcPr>
          <w:p>
            <w:pPr>
              <w:spacing w:after="0"/>
              <w:rPr>
                <w:sz w:val="21"/>
                <w:szCs w:val="21"/>
                <w:color w:val="auto"/>
              </w:rPr>
            </w:pPr>
          </w:p>
        </w:tc>
        <w:tc>
          <w:tcPr>
            <w:tcW w:w="1300" w:type="dxa"/>
            <w:vAlign w:val="bottom"/>
          </w:tcPr>
          <w:p>
            <w:pPr>
              <w:jc w:val="right"/>
              <w:ind w:right="56"/>
              <w:spacing w:after="0"/>
              <w:rPr>
                <w:sz w:val="20"/>
                <w:szCs w:val="20"/>
                <w:color w:val="auto"/>
              </w:rPr>
            </w:pPr>
            <w:r>
              <w:rPr>
                <w:rFonts w:ascii="Arial" w:cs="Arial" w:eastAsia="Arial" w:hAnsi="Arial"/>
                <w:sz w:val="18"/>
                <w:szCs w:val="18"/>
                <w:color w:val="auto"/>
              </w:rPr>
              <w:t>51,944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52,017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ind w:right="77"/>
              <w:spacing w:after="0"/>
              <w:rPr>
                <w:sz w:val="20"/>
                <w:szCs w:val="20"/>
                <w:color w:val="auto"/>
              </w:rPr>
            </w:pPr>
            <w:r>
              <w:rPr>
                <w:rFonts w:ascii="Arial" w:cs="Arial" w:eastAsia="Arial" w:hAnsi="Arial"/>
                <w:sz w:val="18"/>
                <w:szCs w:val="18"/>
                <w:color w:val="auto"/>
              </w:rPr>
              <w:t>48,979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ind w:right="73"/>
              <w:spacing w:after="0"/>
              <w:rPr>
                <w:sz w:val="20"/>
                <w:szCs w:val="20"/>
                <w:color w:val="auto"/>
              </w:rPr>
            </w:pPr>
            <w:r>
              <w:rPr>
                <w:rFonts w:ascii="Arial" w:cs="Arial" w:eastAsia="Arial" w:hAnsi="Arial"/>
                <w:sz w:val="18"/>
                <w:szCs w:val="18"/>
                <w:color w:val="auto"/>
              </w:rPr>
              <w:t>50,239</w:t>
            </w:r>
          </w:p>
        </w:tc>
      </w:tr>
      <w:tr>
        <w:trPr>
          <w:trHeight w:val="27"/>
        </w:trPr>
        <w:tc>
          <w:tcPr>
            <w:tcW w:w="5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89"/>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GM Financial debt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92,252</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92,690</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color w:val="auto"/>
              </w:rPr>
              <w:t>88,938</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90,399</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utilizing Level 2 inputs</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91,237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88,481</w:t>
            </w: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Fair value utilizing Level 3 inputs</w:t>
            </w: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1,453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73"/>
              <w:spacing w:after="0"/>
              <w:rPr>
                <w:sz w:val="20"/>
                <w:szCs w:val="20"/>
                <w:color w:val="auto"/>
              </w:rPr>
            </w:pPr>
            <w:r>
              <w:rPr>
                <w:rFonts w:ascii="Arial" w:cs="Arial" w:eastAsia="Arial" w:hAnsi="Arial"/>
                <w:sz w:val="18"/>
                <w:szCs w:val="18"/>
                <w:color w:val="auto"/>
              </w:rPr>
              <w:t>1,918</w:t>
            </w:r>
          </w:p>
        </w:tc>
      </w:tr>
      <w:tr>
        <w:trPr>
          <w:trHeight w:val="688"/>
        </w:trPr>
        <w:tc>
          <w:tcPr>
            <w:tcW w:w="5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jc w:val="right"/>
              <w:ind w:right="816"/>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58"/>
        </w:trPr>
        <w:tc>
          <w:tcPr>
            <w:tcW w:w="5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7" w:lineRule="exact"/>
        <w:rPr>
          <w:sz w:val="20"/>
          <w:szCs w:val="20"/>
          <w:color w:val="auto"/>
        </w:rPr>
      </w:pPr>
    </w:p>
    <w:p>
      <w:pPr>
        <w:jc w:val="both"/>
        <w:ind w:firstLine="162"/>
        <w:spacing w:after="0" w:line="271" w:lineRule="auto"/>
        <w:rPr>
          <w:sz w:val="20"/>
          <w:szCs w:val="20"/>
          <w:color w:val="auto"/>
        </w:rPr>
      </w:pPr>
      <w:r>
        <w:rPr>
          <w:rFonts w:ascii="Arial" w:cs="Arial" w:eastAsia="Arial" w:hAnsi="Arial"/>
          <w:sz w:val="17"/>
          <w:szCs w:val="17"/>
          <w:color w:val="auto"/>
        </w:rPr>
        <w:t>Secured debt consists of revolving credit facilities and securitization notes payable. Most of the secured debt was issued by VIEs and is repayable only from proceeds related to the underlying pledged assets. Refer to Note 10 for additional information on GM Financial's involvement with VIEs. GM Financial is required to hold certain funds in restricted cash accounts to provide additional collateral for borrowings under certain secured credit facilities. The weighted-average interest rate on secured debt was 2.42% at June 30, 2020. The revolving credit facilities have maturity dates ranging from 2020 to 2026 and securitization notes payable have maturity dates ranging from 2020 to 2027. At the end of the revolving period, if not renewed, the debt of revolving credit facilities will amortize over a defined period. In the six months ended June 30, 2020, GM Financial renewed revolving credit facilities with total borrowing capacity of $14.5 billion and issued $9.0 billion in aggregate principal amount of securitization notes payable with an initial weighted average interest rate of 1.71% and maturity dates ranging from 2021 to 2027.</w:t>
      </w:r>
    </w:p>
    <w:p>
      <w:pPr>
        <w:spacing w:after="0" w:line="205" w:lineRule="exact"/>
        <w:rPr>
          <w:sz w:val="20"/>
          <w:szCs w:val="20"/>
          <w:color w:val="auto"/>
        </w:rPr>
      </w:pPr>
    </w:p>
    <w:p>
      <w:pPr>
        <w:jc w:val="both"/>
        <w:ind w:firstLine="162"/>
        <w:spacing w:after="0" w:line="311" w:lineRule="auto"/>
        <w:rPr>
          <w:sz w:val="20"/>
          <w:szCs w:val="20"/>
          <w:color w:val="auto"/>
        </w:rPr>
      </w:pPr>
      <w:r>
        <w:rPr>
          <w:rFonts w:ascii="Arial" w:cs="Arial" w:eastAsia="Arial" w:hAnsi="Arial"/>
          <w:sz w:val="16"/>
          <w:szCs w:val="16"/>
          <w:color w:val="auto"/>
        </w:rPr>
        <w:t>Unsecured debt consists of senior notes, credit facilities and other unsecured debt. Senior notes outstanding at June 30, 2020 have maturity dates ranging from 2020 through 2030 and have a weighted-average interest rate of 3.38%. In the six months ended June 30, 2020, GM Financial issued $5.9 billion in aggregate principal amount of senior notes with an initial weighted average interest rate of 3.41% and maturity dates ranging from 2023 to 2030.</w:t>
      </w:r>
    </w:p>
    <w:p>
      <w:pPr>
        <w:spacing w:after="0" w:line="176"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Unsecured credit facilities and other unsecured debt have original maturities of up to four years. The weighted-average interest rate on these credit facilities and other unsecured debt was 3.15% at June 30, 2020.</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 xml:space="preserve">Contractual Maturities </w:t>
      </w:r>
      <w:r>
        <w:rPr>
          <w:rFonts w:ascii="Arial" w:cs="Arial" w:eastAsia="Arial" w:hAnsi="Arial"/>
          <w:sz w:val="18"/>
          <w:szCs w:val="18"/>
          <w:color w:val="auto"/>
        </w:rPr>
        <w:t>The following table summarizes contractual maturities including finance leases at June 30, 2020:</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0" w:type="dxa"/>
            <w:vAlign w:val="bottom"/>
            <w:tcBorders>
              <w:bottom w:val="single" w:sz="8" w:color="CCEEFF"/>
            </w:tcBorders>
          </w:tcPr>
          <w:p>
            <w:pPr>
              <w:spacing w:after="0"/>
              <w:rPr>
                <w:sz w:val="17"/>
                <w:szCs w:val="17"/>
                <w:color w:val="auto"/>
              </w:rPr>
            </w:pPr>
          </w:p>
        </w:tc>
        <w:tc>
          <w:tcPr>
            <w:tcW w:w="67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4"/>
                <w:szCs w:val="14"/>
                <w:b w:val="1"/>
                <w:bCs w:val="1"/>
                <w:color w:val="auto"/>
              </w:rPr>
              <w:t>Automotive</w:t>
            </w:r>
          </w:p>
        </w:tc>
        <w:tc>
          <w:tcPr>
            <w:tcW w:w="10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3"/>
              </w:rPr>
              <w:t>Automotive Financing</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2020 (July 1, 2020 to December 31, 2020)</w:t>
            </w:r>
          </w:p>
        </w:tc>
        <w:tc>
          <w:tcPr>
            <w:tcW w:w="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1,489</w:t>
            </w: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21,693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23,182</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gridSpan w:val="2"/>
          </w:tcPr>
          <w:p>
            <w:pPr>
              <w:ind w:left="2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80" w:type="dxa"/>
            <w:vAlign w:val="bottom"/>
            <w:gridSpan w:val="3"/>
          </w:tcPr>
          <w:p>
            <w:pPr>
              <w:jc w:val="right"/>
              <w:ind w:right="70"/>
              <w:spacing w:after="0"/>
              <w:rPr>
                <w:sz w:val="20"/>
                <w:szCs w:val="20"/>
                <w:color w:val="auto"/>
              </w:rPr>
            </w:pPr>
            <w:r>
              <w:rPr>
                <w:rFonts w:ascii="Arial" w:cs="Arial" w:eastAsia="Arial" w:hAnsi="Arial"/>
                <w:sz w:val="18"/>
                <w:szCs w:val="18"/>
                <w:color w:val="auto"/>
              </w:rPr>
              <w:t>1,908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27,507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29,415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5,160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14,878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20,038</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gridSpan w:val="2"/>
          </w:tcPr>
          <w:p>
            <w:pPr>
              <w:ind w:left="2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80" w:type="dxa"/>
            <w:vAlign w:val="bottom"/>
            <w:gridSpan w:val="3"/>
          </w:tcPr>
          <w:p>
            <w:pPr>
              <w:jc w:val="right"/>
              <w:ind w:right="70"/>
              <w:spacing w:after="0"/>
              <w:rPr>
                <w:sz w:val="20"/>
                <w:szCs w:val="20"/>
                <w:color w:val="auto"/>
              </w:rPr>
            </w:pPr>
            <w:r>
              <w:rPr>
                <w:rFonts w:ascii="Arial" w:cs="Arial" w:eastAsia="Arial" w:hAnsi="Arial"/>
                <w:sz w:val="18"/>
                <w:szCs w:val="18"/>
                <w:color w:val="auto"/>
                <w:w w:val="90"/>
              </w:rPr>
              <w:t>13,010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9,329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22,339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6,170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6,245</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gridSpan w:val="2"/>
          </w:tcPr>
          <w:p>
            <w:pPr>
              <w:ind w:left="20"/>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80" w:type="dxa"/>
            <w:vAlign w:val="bottom"/>
            <w:gridSpan w:val="3"/>
          </w:tcPr>
          <w:p>
            <w:pPr>
              <w:jc w:val="right"/>
              <w:ind w:right="70"/>
              <w:spacing w:after="0"/>
              <w:rPr>
                <w:sz w:val="20"/>
                <w:szCs w:val="20"/>
                <w:color w:val="auto"/>
              </w:rPr>
            </w:pPr>
            <w:r>
              <w:rPr>
                <w:rFonts w:ascii="Arial" w:cs="Arial" w:eastAsia="Arial" w:hAnsi="Arial"/>
                <w:sz w:val="18"/>
                <w:szCs w:val="18"/>
                <w:color w:val="auto"/>
              </w:rPr>
              <w:t>2,540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6,265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8,805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Thereafter</w:t>
            </w:r>
          </w:p>
        </w:tc>
        <w:tc>
          <w:tcPr>
            <w:tcW w:w="10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w w:val="90"/>
              </w:rPr>
              <w:t>11,253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5,941</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17,194</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16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gridSpan w:val="3"/>
          </w:tcPr>
          <w:p>
            <w:pPr>
              <w:jc w:val="right"/>
              <w:ind w:right="70"/>
              <w:spacing w:after="0"/>
              <w:rPr>
                <w:sz w:val="20"/>
                <w:szCs w:val="20"/>
                <w:color w:val="auto"/>
              </w:rPr>
            </w:pPr>
            <w:r>
              <w:rPr>
                <w:rFonts w:ascii="Arial" w:cs="Arial" w:eastAsia="Arial" w:hAnsi="Arial"/>
                <w:sz w:val="18"/>
                <w:szCs w:val="18"/>
                <w:color w:val="auto"/>
                <w:w w:val="90"/>
              </w:rPr>
              <w:t>35,435</w:t>
            </w:r>
          </w:p>
        </w:tc>
        <w:tc>
          <w:tcPr>
            <w:tcW w:w="100" w:type="dxa"/>
            <w:vAlign w:val="bottom"/>
          </w:tcPr>
          <w:p>
            <w:pPr>
              <w:spacing w:after="0"/>
              <w:rPr>
                <w:sz w:val="20"/>
                <w:szCs w:val="20"/>
                <w:color w:val="auto"/>
              </w:rPr>
            </w:pPr>
          </w:p>
        </w:tc>
        <w:tc>
          <w:tcPr>
            <w:tcW w:w="4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91,783</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127,218</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12. Derivative Financial Instruments</w:t>
            </w: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6740" w:type="dxa"/>
            <w:vAlign w:val="bottom"/>
            <w:gridSpan w:val="2"/>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76"/>
        </w:trPr>
        <w:tc>
          <w:tcPr>
            <w:tcW w:w="67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9580" w:type="dxa"/>
            <w:vAlign w:val="bottom"/>
            <w:gridSpan w:val="11"/>
          </w:tcPr>
          <w:p>
            <w:pPr>
              <w:jc w:val="right"/>
              <w:ind w:right="240"/>
              <w:spacing w:after="0"/>
              <w:rPr>
                <w:sz w:val="20"/>
                <w:szCs w:val="20"/>
                <w:color w:val="auto"/>
              </w:rPr>
            </w:pPr>
            <w:r>
              <w:rPr>
                <w:rFonts w:ascii="Arial" w:cs="Arial" w:eastAsia="Arial" w:hAnsi="Arial"/>
                <w:sz w:val="18"/>
                <w:szCs w:val="18"/>
                <w:b w:val="1"/>
                <w:bCs w:val="1"/>
                <w:i w:val="1"/>
                <w:iCs w:val="1"/>
                <w:color w:val="auto"/>
                <w:w w:val="92"/>
              </w:rPr>
              <w:t xml:space="preserve">Automotive </w:t>
            </w:r>
            <w:r>
              <w:rPr>
                <w:rFonts w:ascii="Arial" w:cs="Arial" w:eastAsia="Arial" w:hAnsi="Arial"/>
                <w:sz w:val="18"/>
                <w:szCs w:val="18"/>
                <w:color w:val="auto"/>
                <w:w w:val="92"/>
              </w:rPr>
              <w:t>The following table presents the notional amounts of derivative financial instruments in our automotive operations: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6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60" w:type="dxa"/>
            <w:vAlign w:val="bottom"/>
            <w:gridSpan w:val="4"/>
          </w:tcPr>
          <w:p>
            <w:pPr>
              <w:jc w:val="center"/>
              <w:ind w:right="390"/>
              <w:spacing w:after="0"/>
              <w:rPr>
                <w:sz w:val="20"/>
                <w:szCs w:val="20"/>
                <w:color w:val="auto"/>
              </w:rPr>
            </w:pPr>
            <w:r>
              <w:rPr>
                <w:rFonts w:ascii="Arial" w:cs="Arial" w:eastAsia="Arial" w:hAnsi="Arial"/>
                <w:sz w:val="14"/>
                <w:szCs w:val="14"/>
                <w:b w:val="1"/>
                <w:bCs w:val="1"/>
                <w:color w:val="auto"/>
                <w:w w:val="98"/>
              </w:rPr>
              <w:t>Fair Value</w:t>
            </w:r>
          </w:p>
        </w:tc>
        <w:tc>
          <w:tcPr>
            <w:tcW w:w="1440" w:type="dxa"/>
            <w:vAlign w:val="bottom"/>
            <w:gridSpan w:val="4"/>
            <w:vMerge w:val="restart"/>
          </w:tcPr>
          <w:p>
            <w:pPr>
              <w:jc w:val="right"/>
              <w:ind w:right="520"/>
              <w:spacing w:after="0"/>
              <w:rPr>
                <w:sz w:val="20"/>
                <w:szCs w:val="20"/>
                <w:color w:val="auto"/>
              </w:rPr>
            </w:pPr>
            <w:r>
              <w:rPr>
                <w:rFonts w:ascii="Arial" w:cs="Arial" w:eastAsia="Arial" w:hAnsi="Arial"/>
                <w:sz w:val="14"/>
                <w:szCs w:val="14"/>
                <w:b w:val="1"/>
                <w:bCs w:val="1"/>
                <w:color w:val="auto"/>
                <w:w w:val="98"/>
              </w:rPr>
              <w:t>June 30, 2020</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jc w:val="center"/>
              <w:ind w:left="119"/>
              <w:spacing w:after="0"/>
              <w:rPr>
                <w:sz w:val="20"/>
                <w:szCs w:val="20"/>
                <w:color w:val="auto"/>
              </w:rPr>
            </w:pPr>
            <w:r>
              <w:rPr>
                <w:rFonts w:ascii="Arial" w:cs="Arial" w:eastAsia="Arial" w:hAnsi="Arial"/>
                <w:sz w:val="14"/>
                <w:szCs w:val="14"/>
                <w:b w:val="1"/>
                <w:bCs w:val="1"/>
                <w:color w:val="auto"/>
                <w:w w:val="94"/>
              </w:rPr>
              <w:t>Level</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40" w:type="dxa"/>
            <w:vAlign w:val="bottom"/>
            <w:gridSpan w:val="4"/>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20" w:type="dxa"/>
            <w:vAlign w:val="bottom"/>
          </w:tcPr>
          <w:p>
            <w:pPr>
              <w:ind w:left="20"/>
              <w:spacing w:after="0"/>
              <w:rPr>
                <w:sz w:val="20"/>
                <w:szCs w:val="20"/>
                <w:color w:val="auto"/>
              </w:rPr>
            </w:pPr>
            <w:r>
              <w:rPr>
                <w:rFonts w:ascii="Arial" w:cs="Arial" w:eastAsia="Arial" w:hAnsi="Arial"/>
                <w:sz w:val="18"/>
                <w:szCs w:val="18"/>
                <w:b w:val="1"/>
                <w:bCs w:val="1"/>
                <w:color w:val="auto"/>
              </w:rPr>
              <w:t>Derivatives not designated as hedges(a)</w:t>
            </w:r>
          </w:p>
        </w:tc>
        <w:tc>
          <w:tcPr>
            <w:tcW w:w="10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w:t>
            </w:r>
          </w:p>
        </w:tc>
        <w:tc>
          <w:tcPr>
            <w:tcW w:w="1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580" w:type="dxa"/>
            <w:vAlign w:val="bottom"/>
            <w:shd w:val="clear" w:color="auto" w:fill="CCEEFF"/>
          </w:tcPr>
          <w:p>
            <w:pPr>
              <w:jc w:val="center"/>
              <w:ind w:left="119"/>
              <w:spacing w:after="0"/>
              <w:rPr>
                <w:sz w:val="20"/>
                <w:szCs w:val="20"/>
                <w:color w:val="auto"/>
              </w:rPr>
            </w:pPr>
            <w:r>
              <w:rPr>
                <w:rFonts w:ascii="Arial" w:cs="Arial" w:eastAsia="Arial" w:hAnsi="Arial"/>
                <w:sz w:val="18"/>
                <w:szCs w:val="18"/>
                <w:color w:val="auto"/>
                <w:w w:val="99"/>
              </w:rPr>
              <w:t>2</w:t>
            </w:r>
          </w:p>
        </w:tc>
        <w:tc>
          <w:tcPr>
            <w:tcW w:w="68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4,236</w:t>
            </w:r>
          </w:p>
        </w:tc>
        <w:tc>
          <w:tcPr>
            <w:tcW w:w="120" w:type="dxa"/>
            <w:vAlign w:val="bottom"/>
            <w:shd w:val="clear" w:color="auto" w:fill="CCEEFF"/>
          </w:tcPr>
          <w:p>
            <w:pPr>
              <w:spacing w:after="0"/>
              <w:rPr>
                <w:sz w:val="23"/>
                <w:szCs w:val="23"/>
                <w:color w:val="auto"/>
              </w:rPr>
            </w:pP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5,075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720" w:type="dxa"/>
            <w:vAlign w:val="bottom"/>
          </w:tcPr>
          <w:p>
            <w:pPr>
              <w:ind w:left="20"/>
              <w:spacing w:after="0"/>
              <w:rPr>
                <w:sz w:val="20"/>
                <w:szCs w:val="20"/>
                <w:color w:val="auto"/>
              </w:rPr>
            </w:pPr>
            <w:r>
              <w:rPr>
                <w:rFonts w:ascii="Arial" w:cs="Arial" w:eastAsia="Arial" w:hAnsi="Arial"/>
                <w:sz w:val="18"/>
                <w:szCs w:val="18"/>
                <w:color w:val="auto"/>
              </w:rPr>
              <w:t>Commodity</w:t>
            </w: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80" w:type="dxa"/>
            <w:vAlign w:val="bottom"/>
          </w:tcPr>
          <w:p>
            <w:pPr>
              <w:jc w:val="center"/>
              <w:ind w:left="119"/>
              <w:spacing w:after="0"/>
              <w:rPr>
                <w:sz w:val="20"/>
                <w:szCs w:val="20"/>
                <w:color w:val="auto"/>
              </w:rPr>
            </w:pPr>
            <w:r>
              <w:rPr>
                <w:rFonts w:ascii="Arial" w:cs="Arial" w:eastAsia="Arial" w:hAnsi="Arial"/>
                <w:sz w:val="18"/>
                <w:szCs w:val="18"/>
                <w:color w:val="auto"/>
                <w:w w:val="99"/>
              </w:rPr>
              <w:t>2</w:t>
            </w: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451</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806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PSA warrants(b)</w:t>
            </w:r>
          </w:p>
        </w:tc>
        <w:tc>
          <w:tcPr>
            <w:tcW w:w="10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center"/>
              <w:ind w:left="119"/>
              <w:spacing w:after="0"/>
              <w:rPr>
                <w:sz w:val="20"/>
                <w:szCs w:val="20"/>
                <w:color w:val="auto"/>
              </w:rPr>
            </w:pPr>
            <w:r>
              <w:rPr>
                <w:rFonts w:ascii="Arial" w:cs="Arial" w:eastAsia="Arial" w:hAnsi="Arial"/>
                <w:sz w:val="18"/>
                <w:szCs w:val="18"/>
                <w:color w:val="auto"/>
                <w:w w:val="99"/>
              </w:rPr>
              <w:t>2</w:t>
            </w:r>
          </w:p>
        </w:tc>
        <w:tc>
          <w:tcPr>
            <w:tcW w:w="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6720" w:type="dxa"/>
            <w:vAlign w:val="bottom"/>
          </w:tcPr>
          <w:p>
            <w:pPr>
              <w:ind w:left="20"/>
              <w:spacing w:after="0"/>
              <w:rPr>
                <w:sz w:val="20"/>
                <w:szCs w:val="20"/>
                <w:color w:val="auto"/>
              </w:rPr>
            </w:pPr>
            <w:r>
              <w:rPr>
                <w:rFonts w:ascii="Arial" w:cs="Arial" w:eastAsia="Arial" w:hAnsi="Arial"/>
                <w:sz w:val="18"/>
                <w:szCs w:val="18"/>
                <w:color w:val="auto"/>
              </w:rPr>
              <w:t>Total derivative financial instruments</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80" w:type="dxa"/>
            <w:vAlign w:val="bottom"/>
            <w:gridSpan w:val="2"/>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4,732</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5,926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9" w:lineRule="exact"/>
        <w:rPr>
          <w:sz w:val="20"/>
          <w:szCs w:val="20"/>
          <w:color w:val="auto"/>
        </w:rPr>
      </w:pPr>
    </w:p>
    <w:p>
      <w:pPr>
        <w:ind w:left="340" w:hanging="332"/>
        <w:spacing w:after="0" w:line="246" w:lineRule="auto"/>
        <w:tabs>
          <w:tab w:leader="none" w:pos="331"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fair value of these derivative instruments at June 30, 2020 and December 31, 2019 and the gains/losses included in our condensed consolidated income statements for the three and six months ended June 30, 2020 and 2019 were insignificant, unless otherwise noted.</w:t>
      </w:r>
    </w:p>
    <w:p>
      <w:pPr>
        <w:jc w:val="both"/>
        <w:ind w:left="340" w:hanging="332"/>
        <w:spacing w:after="0" w:line="251" w:lineRule="auto"/>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fair value of the warrants issued by Peugeot, S.A. (PSA Group) included in Other assets was $659 million and $964 million at June 30, 2020 and December 31, 2019. We recorded gains in Interest income and other non-operating income, net of $114 million and $32 million in the three months ended June 30, 2020 and 2019 and losses of $303 million and gains of $171 million in the six months ended June 30, 2020 and 2019.</w:t>
      </w:r>
    </w:p>
    <w:p>
      <w:pPr>
        <w:spacing w:after="0" w:line="214"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color w:val="auto"/>
        </w:rPr>
        <w:t>We estimate the fair value of the PSA warrants using a Black-Scholes formula. The significant inputs to the model include the PSA Group stock price and the estimated dividend yield. We are entitled to receive any dividends declared by PSA Group through the conversion date upon exercise of the warrants.</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7" w:lineRule="exact"/>
        <w:rPr>
          <w:sz w:val="20"/>
          <w:szCs w:val="20"/>
          <w:color w:val="auto"/>
        </w:rPr>
      </w:pPr>
    </w:p>
    <w:p>
      <w:pPr>
        <w:ind w:right="20" w:firstLine="162"/>
        <w:spacing w:after="0" w:line="277" w:lineRule="auto"/>
        <w:rPr>
          <w:sz w:val="20"/>
          <w:szCs w:val="20"/>
          <w:color w:val="auto"/>
        </w:rPr>
      </w:pPr>
      <w:r>
        <w:rPr>
          <w:rFonts w:ascii="Arial" w:cs="Arial" w:eastAsia="Arial" w:hAnsi="Arial"/>
          <w:sz w:val="18"/>
          <w:szCs w:val="18"/>
          <w:b w:val="1"/>
          <w:bCs w:val="1"/>
          <w:i w:val="1"/>
          <w:iCs w:val="1"/>
          <w:color w:val="auto"/>
        </w:rPr>
        <w:t xml:space="preserve">GM Financial </w:t>
      </w:r>
      <w:r>
        <w:rPr>
          <w:rFonts w:ascii="Arial" w:cs="Arial" w:eastAsia="Arial" w:hAnsi="Arial"/>
          <w:sz w:val="18"/>
          <w:szCs w:val="18"/>
          <w:color w:val="auto"/>
        </w:rPr>
        <w:t>The following table presents the gross fair value amounts of GM Financial's derivative financial instruments and the associated notional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amounts: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Fair Value</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June 30, 2020</w:t>
            </w: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60" w:type="dxa"/>
            <w:vAlign w:val="bottom"/>
            <w:gridSpan w:val="5"/>
            <w:vMerge w:val="restart"/>
          </w:tcPr>
          <w:p>
            <w:pPr>
              <w:jc w:val="right"/>
              <w:spacing w:after="0"/>
              <w:rPr>
                <w:sz w:val="20"/>
                <w:szCs w:val="20"/>
                <w:color w:val="auto"/>
              </w:rPr>
            </w:pPr>
            <w:r>
              <w:rPr>
                <w:rFonts w:ascii="Arial" w:cs="Arial" w:eastAsia="Arial" w:hAnsi="Arial"/>
                <w:sz w:val="14"/>
                <w:szCs w:val="14"/>
                <w:b w:val="1"/>
                <w:bCs w:val="1"/>
                <w:color w:val="auto"/>
                <w:w w:val="93"/>
              </w:rPr>
              <w:t>December 31, 2019</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74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Level</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5"/>
            <w:vMerge w:val="continue"/>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7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Notional</w:t>
            </w:r>
          </w:p>
        </w:tc>
        <w:tc>
          <w:tcPr>
            <w:tcW w:w="104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5"/>
              </w:rPr>
              <w:t>Fair Value of</w:t>
            </w:r>
          </w:p>
        </w:tc>
        <w:tc>
          <w:tcPr>
            <w:tcW w:w="120" w:type="dxa"/>
            <w:vAlign w:val="bottom"/>
          </w:tcPr>
          <w:p>
            <w:pPr>
              <w:spacing w:after="0"/>
              <w:rPr>
                <w:sz w:val="13"/>
                <w:szCs w:val="13"/>
                <w:color w:val="auto"/>
              </w:rPr>
            </w:pPr>
          </w:p>
        </w:tc>
        <w:tc>
          <w:tcPr>
            <w:tcW w:w="104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5"/>
              </w:rPr>
              <w:t>Fair Value of</w:t>
            </w:r>
          </w:p>
        </w:tc>
        <w:tc>
          <w:tcPr>
            <w:tcW w:w="180" w:type="dxa"/>
            <w:vAlign w:val="bottom"/>
          </w:tcPr>
          <w:p>
            <w:pPr>
              <w:spacing w:after="0"/>
              <w:rPr>
                <w:sz w:val="13"/>
                <w:szCs w:val="13"/>
                <w:color w:val="auto"/>
              </w:rPr>
            </w:pPr>
          </w:p>
        </w:tc>
        <w:tc>
          <w:tcPr>
            <w:tcW w:w="80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w w:val="99"/>
              </w:rPr>
              <w:t>Notional</w:t>
            </w:r>
          </w:p>
        </w:tc>
        <w:tc>
          <w:tcPr>
            <w:tcW w:w="100" w:type="dxa"/>
            <w:vAlign w:val="bottom"/>
          </w:tcPr>
          <w:p>
            <w:pPr>
              <w:spacing w:after="0"/>
              <w:rPr>
                <w:sz w:val="13"/>
                <w:szCs w:val="13"/>
                <w:color w:val="auto"/>
              </w:rPr>
            </w:pPr>
          </w:p>
        </w:tc>
        <w:tc>
          <w:tcPr>
            <w:tcW w:w="104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5"/>
              </w:rPr>
              <w:t>Fair Value of</w:t>
            </w:r>
          </w:p>
        </w:tc>
        <w:tc>
          <w:tcPr>
            <w:tcW w:w="120" w:type="dxa"/>
            <w:vAlign w:val="bottom"/>
          </w:tcPr>
          <w:p>
            <w:pPr>
              <w:spacing w:after="0"/>
              <w:rPr>
                <w:sz w:val="13"/>
                <w:szCs w:val="13"/>
                <w:color w:val="auto"/>
              </w:rPr>
            </w:pPr>
          </w:p>
        </w:tc>
        <w:tc>
          <w:tcPr>
            <w:tcW w:w="940" w:type="dxa"/>
            <w:vAlign w:val="bottom"/>
          </w:tcPr>
          <w:p>
            <w:pPr>
              <w:jc w:val="right"/>
              <w:ind w:right="55"/>
              <w:spacing w:after="0" w:line="153" w:lineRule="exact"/>
              <w:rPr>
                <w:sz w:val="20"/>
                <w:szCs w:val="20"/>
                <w:color w:val="auto"/>
              </w:rPr>
            </w:pPr>
            <w:r>
              <w:rPr>
                <w:rFonts w:ascii="Arial" w:cs="Arial" w:eastAsia="Arial" w:hAnsi="Arial"/>
                <w:sz w:val="14"/>
                <w:szCs w:val="14"/>
                <w:b w:val="1"/>
                <w:bCs w:val="1"/>
                <w:color w:val="auto"/>
                <w:w w:val="92"/>
              </w:rPr>
              <w:t>Fair Value of</w:t>
            </w:r>
          </w:p>
        </w:tc>
        <w:tc>
          <w:tcPr>
            <w:tcW w:w="0" w:type="dxa"/>
            <w:vAlign w:val="bottom"/>
          </w:tcPr>
          <w:p>
            <w:pPr>
              <w:spacing w:after="0"/>
              <w:rPr>
                <w:sz w:val="1"/>
                <w:szCs w:val="1"/>
                <w:color w:val="auto"/>
              </w:rPr>
            </w:pPr>
          </w:p>
        </w:tc>
      </w:tr>
      <w:tr>
        <w:trPr>
          <w:trHeight w:val="192"/>
        </w:trPr>
        <w:tc>
          <w:tcPr>
            <w:tcW w:w="37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2"/>
              </w:rPr>
              <w:t>Assets</w:t>
            </w:r>
          </w:p>
        </w:tc>
        <w:tc>
          <w:tcPr>
            <w:tcW w:w="120" w:type="dxa"/>
            <w:vAlign w:val="bottom"/>
          </w:tcPr>
          <w:p>
            <w:pPr>
              <w:spacing w:after="0"/>
              <w:rPr>
                <w:sz w:val="16"/>
                <w:szCs w:val="16"/>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Liabilities</w:t>
            </w:r>
          </w:p>
        </w:tc>
        <w:tc>
          <w:tcPr>
            <w:tcW w:w="1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2"/>
              </w:rPr>
              <w:t>Assets</w:t>
            </w:r>
          </w:p>
        </w:tc>
        <w:tc>
          <w:tcPr>
            <w:tcW w:w="120" w:type="dxa"/>
            <w:vAlign w:val="bottom"/>
          </w:tcPr>
          <w:p>
            <w:pPr>
              <w:spacing w:after="0"/>
              <w:rPr>
                <w:sz w:val="16"/>
                <w:szCs w:val="16"/>
                <w:color w:val="auto"/>
              </w:rPr>
            </w:pPr>
          </w:p>
        </w:tc>
        <w:tc>
          <w:tcPr>
            <w:tcW w:w="940" w:type="dxa"/>
            <w:vAlign w:val="bottom"/>
          </w:tcPr>
          <w:p>
            <w:pPr>
              <w:jc w:val="right"/>
              <w:ind w:right="135"/>
              <w:spacing w:after="0"/>
              <w:rPr>
                <w:sz w:val="20"/>
                <w:szCs w:val="20"/>
                <w:color w:val="auto"/>
              </w:rPr>
            </w:pPr>
            <w:r>
              <w:rPr>
                <w:rFonts w:ascii="Arial" w:cs="Arial" w:eastAsia="Arial" w:hAnsi="Arial"/>
                <w:sz w:val="14"/>
                <w:szCs w:val="14"/>
                <w:b w:val="1"/>
                <w:bCs w:val="1"/>
                <w:color w:val="auto"/>
              </w:rPr>
              <w:t>Liabilities</w:t>
            </w:r>
          </w:p>
        </w:tc>
        <w:tc>
          <w:tcPr>
            <w:tcW w:w="0" w:type="dxa"/>
            <w:vAlign w:val="bottom"/>
          </w:tcPr>
          <w:p>
            <w:pPr>
              <w:spacing w:after="0"/>
              <w:rPr>
                <w:sz w:val="1"/>
                <w:szCs w:val="1"/>
                <w:color w:val="auto"/>
              </w:rPr>
            </w:pPr>
          </w:p>
        </w:tc>
      </w:tr>
      <w:tr>
        <w:trPr>
          <w:trHeight w:val="230"/>
        </w:trPr>
        <w:tc>
          <w:tcPr>
            <w:tcW w:w="3740" w:type="dxa"/>
            <w:vAlign w:val="bottom"/>
          </w:tcPr>
          <w:p>
            <w:pPr>
              <w:ind w:left="20"/>
              <w:spacing w:after="0"/>
              <w:rPr>
                <w:sz w:val="20"/>
                <w:szCs w:val="20"/>
                <w:color w:val="auto"/>
              </w:rPr>
            </w:pPr>
            <w:r>
              <w:rPr>
                <w:rFonts w:ascii="Arial" w:cs="Arial" w:eastAsia="Arial" w:hAnsi="Arial"/>
                <w:sz w:val="18"/>
                <w:szCs w:val="18"/>
                <w:b w:val="1"/>
                <w:bCs w:val="1"/>
                <w:color w:val="auto"/>
              </w:rPr>
              <w:t>Derivatives designated as hedges(a)</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740" w:type="dxa"/>
            <w:vAlign w:val="bottom"/>
          </w:tcPr>
          <w:p>
            <w:pPr>
              <w:ind w:left="20"/>
              <w:spacing w:after="0"/>
              <w:rPr>
                <w:sz w:val="20"/>
                <w:szCs w:val="20"/>
                <w:color w:val="auto"/>
              </w:rPr>
            </w:pPr>
            <w:r>
              <w:rPr>
                <w:rFonts w:ascii="Arial" w:cs="Arial" w:eastAsia="Arial" w:hAnsi="Arial"/>
                <w:sz w:val="18"/>
                <w:szCs w:val="18"/>
                <w:color w:val="auto"/>
              </w:rPr>
              <w:t>Fair value hedges</w:t>
            </w: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Interest rate swaps</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10,894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609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9,458</w:t>
            </w:r>
          </w:p>
        </w:tc>
        <w:tc>
          <w:tcPr>
            <w:tcW w:w="30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234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3740" w:type="dxa"/>
            <w:vAlign w:val="bottom"/>
          </w:tcPr>
          <w:p>
            <w:pPr>
              <w:ind w:left="120"/>
              <w:spacing w:after="0"/>
              <w:rPr>
                <w:sz w:val="20"/>
                <w:szCs w:val="20"/>
                <w:color w:val="auto"/>
              </w:rPr>
            </w:pPr>
            <w:r>
              <w:rPr>
                <w:rFonts w:ascii="Arial" w:cs="Arial" w:eastAsia="Arial" w:hAnsi="Arial"/>
                <w:sz w:val="18"/>
                <w:szCs w:val="18"/>
                <w:color w:val="auto"/>
              </w:rPr>
              <w:t>Foreign currency swaps</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ind w:right="73"/>
              <w:spacing w:after="0"/>
              <w:rPr>
                <w:sz w:val="20"/>
                <w:szCs w:val="20"/>
                <w:color w:val="auto"/>
              </w:rPr>
            </w:pPr>
            <w:r>
              <w:rPr>
                <w:rFonts w:ascii="Arial" w:cs="Arial" w:eastAsia="Arial" w:hAnsi="Arial"/>
                <w:sz w:val="18"/>
                <w:szCs w:val="18"/>
                <w:color w:val="auto"/>
              </w:rPr>
              <w:t>1,797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ind w:right="75"/>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ind w:right="73"/>
              <w:spacing w:after="0"/>
              <w:rPr>
                <w:sz w:val="20"/>
                <w:szCs w:val="20"/>
                <w:color w:val="auto"/>
              </w:rPr>
            </w:pPr>
            <w:r>
              <w:rPr>
                <w:rFonts w:ascii="Arial" w:cs="Arial" w:eastAsia="Arial" w:hAnsi="Arial"/>
                <w:sz w:val="18"/>
                <w:szCs w:val="18"/>
                <w:color w:val="auto"/>
              </w:rPr>
              <w:t>1,796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ind w:right="75"/>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 hedges</w:t>
            </w: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40" w:type="dxa"/>
            <w:vAlign w:val="bottom"/>
          </w:tcPr>
          <w:p>
            <w:pPr>
              <w:ind w:left="120"/>
              <w:spacing w:after="0"/>
              <w:rPr>
                <w:sz w:val="20"/>
                <w:szCs w:val="20"/>
                <w:color w:val="auto"/>
              </w:rPr>
            </w:pPr>
            <w:r>
              <w:rPr>
                <w:rFonts w:ascii="Arial" w:cs="Arial" w:eastAsia="Arial" w:hAnsi="Arial"/>
                <w:sz w:val="18"/>
                <w:szCs w:val="18"/>
                <w:color w:val="auto"/>
              </w:rPr>
              <w:t>Interest rate swaps</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ind w:right="73"/>
              <w:spacing w:after="0"/>
              <w:rPr>
                <w:sz w:val="20"/>
                <w:szCs w:val="20"/>
                <w:color w:val="auto"/>
              </w:rPr>
            </w:pPr>
            <w:r>
              <w:rPr>
                <w:rFonts w:ascii="Arial" w:cs="Arial" w:eastAsia="Arial" w:hAnsi="Arial"/>
                <w:sz w:val="18"/>
                <w:szCs w:val="18"/>
                <w:color w:val="auto"/>
              </w:rPr>
              <w:t>964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40" w:type="dxa"/>
            <w:vAlign w:val="bottom"/>
          </w:tcPr>
          <w:p>
            <w:pPr>
              <w:jc w:val="right"/>
              <w:ind w:right="75"/>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ind w:right="73"/>
              <w:spacing w:after="0"/>
              <w:rPr>
                <w:sz w:val="20"/>
                <w:szCs w:val="20"/>
                <w:color w:val="auto"/>
              </w:rPr>
            </w:pPr>
            <w:r>
              <w:rPr>
                <w:rFonts w:ascii="Arial" w:cs="Arial" w:eastAsia="Arial" w:hAnsi="Arial"/>
                <w:sz w:val="18"/>
                <w:szCs w:val="18"/>
                <w:color w:val="auto"/>
              </w:rPr>
              <w:t>590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40" w:type="dxa"/>
            <w:vAlign w:val="bottom"/>
          </w:tcPr>
          <w:p>
            <w:pPr>
              <w:jc w:val="right"/>
              <w:ind w:right="75"/>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Foreign currency swaps</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5,143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302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4,429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29"/>
        </w:trPr>
        <w:tc>
          <w:tcPr>
            <w:tcW w:w="3740" w:type="dxa"/>
            <w:vAlign w:val="bottom"/>
          </w:tcPr>
          <w:p>
            <w:pPr>
              <w:ind w:left="20"/>
              <w:spacing w:after="0"/>
              <w:rPr>
                <w:sz w:val="20"/>
                <w:szCs w:val="20"/>
                <w:color w:val="auto"/>
              </w:rPr>
            </w:pPr>
            <w:r>
              <w:rPr>
                <w:rFonts w:ascii="Arial" w:cs="Arial" w:eastAsia="Arial" w:hAnsi="Arial"/>
                <w:sz w:val="18"/>
                <w:szCs w:val="18"/>
                <w:b w:val="1"/>
                <w:bCs w:val="1"/>
                <w:color w:val="auto"/>
              </w:rPr>
              <w:t>Derivatives not designated as hedges(a)</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contracts</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w w:val="95"/>
              </w:rPr>
              <w:t>112,403</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1,045</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807</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92,400</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340</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63"/>
        </w:trPr>
        <w:tc>
          <w:tcPr>
            <w:tcW w:w="3740" w:type="dxa"/>
            <w:vAlign w:val="bottom"/>
          </w:tcPr>
          <w:p>
            <w:pPr>
              <w:ind w:left="20"/>
              <w:spacing w:after="0"/>
              <w:rPr>
                <w:sz w:val="20"/>
                <w:szCs w:val="20"/>
                <w:color w:val="auto"/>
              </w:rPr>
            </w:pPr>
            <w:r>
              <w:rPr>
                <w:rFonts w:ascii="Arial" w:cs="Arial" w:eastAsia="Arial" w:hAnsi="Arial"/>
                <w:sz w:val="18"/>
                <w:szCs w:val="18"/>
                <w:color w:val="auto"/>
              </w:rPr>
              <w:t>Total derivative financial instruments(b)</w:t>
            </w: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73"/>
              <w:spacing w:after="0"/>
              <w:rPr>
                <w:sz w:val="20"/>
                <w:szCs w:val="20"/>
                <w:color w:val="auto"/>
              </w:rPr>
            </w:pPr>
            <w:r>
              <w:rPr>
                <w:rFonts w:ascii="Arial" w:cs="Arial" w:eastAsia="Arial" w:hAnsi="Arial"/>
                <w:sz w:val="18"/>
                <w:szCs w:val="18"/>
                <w:color w:val="auto"/>
                <w:w w:val="95"/>
              </w:rPr>
              <w:t>131,201</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1,706</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75"/>
              <w:spacing w:after="0"/>
              <w:rPr>
                <w:sz w:val="20"/>
                <w:szCs w:val="20"/>
                <w:color w:val="auto"/>
              </w:rPr>
            </w:pPr>
            <w:r>
              <w:rPr>
                <w:rFonts w:ascii="Arial" w:cs="Arial" w:eastAsia="Arial" w:hAnsi="Arial"/>
                <w:sz w:val="18"/>
                <w:szCs w:val="18"/>
                <w:color w:val="auto"/>
              </w:rPr>
              <w:t>1,209</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73"/>
              <w:spacing w:after="0"/>
              <w:rPr>
                <w:sz w:val="20"/>
                <w:szCs w:val="20"/>
                <w:color w:val="auto"/>
              </w:rPr>
            </w:pPr>
            <w:r>
              <w:rPr>
                <w:rFonts w:ascii="Arial" w:cs="Arial" w:eastAsia="Arial" w:hAnsi="Arial"/>
                <w:sz w:val="18"/>
                <w:szCs w:val="18"/>
                <w:color w:val="auto"/>
                <w:w w:val="95"/>
              </w:rPr>
              <w:t>108,673</w:t>
            </w:r>
          </w:p>
        </w:tc>
        <w:tc>
          <w:tcPr>
            <w:tcW w:w="30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636</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75"/>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1"/>
        </w:trPr>
        <w:tc>
          <w:tcPr>
            <w:tcW w:w="37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9" w:lineRule="exact"/>
        <w:rPr>
          <w:sz w:val="20"/>
          <w:szCs w:val="20"/>
          <w:color w:val="auto"/>
        </w:rPr>
      </w:pPr>
    </w:p>
    <w:p>
      <w:pPr>
        <w:jc w:val="both"/>
        <w:ind w:left="340" w:hanging="332"/>
        <w:spacing w:after="0" w:line="246" w:lineRule="auto"/>
        <w:tabs>
          <w:tab w:leader="none" w:pos="331"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gains/losses included in our condensed consolidated income statements and statements of comprehensive income for the three and six months ended June 30, 2020 and 2019 were insignificant, unless otherwise noted. Amounts accrued for interest payments in a net receivable position are included in Other assets. Amounts accrued for interest payments in a net payable position are included in Other liabilities.</w:t>
      </w:r>
    </w:p>
    <w:p>
      <w:pPr>
        <w:spacing w:after="0" w:line="1" w:lineRule="exact"/>
        <w:rPr>
          <w:rFonts w:ascii="Arial" w:cs="Arial" w:eastAsia="Arial" w:hAnsi="Arial"/>
          <w:sz w:val="16"/>
          <w:szCs w:val="16"/>
          <w:color w:val="auto"/>
        </w:rPr>
      </w:pPr>
    </w:p>
    <w:p>
      <w:pPr>
        <w:ind w:left="340" w:hanging="332"/>
        <w:spacing w:after="0" w:line="328" w:lineRule="auto"/>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GM Financial held $778 million and $210 million of collateral from counterparties available for netting against GM Financial's asset positions, and posted $274 million and an insignificant amount of collateral to counterparties available for netting against GM Financial's liability positions at June 30, 2020 and December 31, 2019.</w:t>
      </w:r>
    </w:p>
    <w:p>
      <w:pPr>
        <w:spacing w:after="0" w:line="162"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The fair value for Level 2 instruments was derived using the market approach based on observable market inputs including quoted prices of similar instruments and foreign exchange and interest rate forward curves.</w:t>
      </w:r>
    </w:p>
    <w:p>
      <w:pPr>
        <w:spacing w:after="0" w:line="197"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The following amounts were recorded in the condensed consolidated balance sheets related to items designated and qualifying as hedged items in fair value hedging relationships: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620" w:type="dxa"/>
            <w:vAlign w:val="bottom"/>
            <w:tcBorders>
              <w:bottom w:val="single" w:sz="8" w:color="auto"/>
            </w:tcBorders>
            <w:gridSpan w:val="4"/>
          </w:tcPr>
          <w:p>
            <w:pPr>
              <w:jc w:val="right"/>
              <w:ind w:right="1528"/>
              <w:spacing w:after="0"/>
              <w:rPr>
                <w:sz w:val="20"/>
                <w:szCs w:val="20"/>
                <w:color w:val="auto"/>
              </w:rPr>
            </w:pPr>
            <w:r>
              <w:rPr>
                <w:rFonts w:ascii="Arial" w:cs="Arial" w:eastAsia="Arial" w:hAnsi="Arial"/>
                <w:sz w:val="14"/>
                <w:szCs w:val="14"/>
                <w:b w:val="1"/>
                <w:bCs w:val="1"/>
                <w:color w:val="auto"/>
              </w:rPr>
              <w:t>June 30, 2020</w:t>
            </w: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640" w:type="dxa"/>
            <w:vAlign w:val="bottom"/>
            <w:tcBorders>
              <w:bottom w:val="single" w:sz="8" w:color="auto"/>
            </w:tcBorders>
            <w:gridSpan w:val="4"/>
          </w:tcPr>
          <w:p>
            <w:pPr>
              <w:jc w:val="right"/>
              <w:ind w:right="1388"/>
              <w:spacing w:after="0"/>
              <w:rPr>
                <w:sz w:val="20"/>
                <w:szCs w:val="20"/>
                <w:color w:val="auto"/>
              </w:rPr>
            </w:pPr>
            <w:r>
              <w:rPr>
                <w:rFonts w:ascii="Arial" w:cs="Arial" w:eastAsia="Arial" w:hAnsi="Arial"/>
                <w:sz w:val="14"/>
                <w:szCs w:val="14"/>
                <w:b w:val="1"/>
                <w:bCs w:val="1"/>
                <w:color w:val="auto"/>
              </w:rPr>
              <w:t>December 31, 2019</w:t>
            </w:r>
          </w:p>
        </w:tc>
      </w:tr>
      <w:tr>
        <w:trPr>
          <w:trHeight w:val="143"/>
        </w:trPr>
        <w:tc>
          <w:tcPr>
            <w:tcW w:w="3040" w:type="dxa"/>
            <w:vAlign w:val="bottom"/>
          </w:tcPr>
          <w:p>
            <w:pPr>
              <w:spacing w:after="0"/>
              <w:rPr>
                <w:sz w:val="12"/>
                <w:szCs w:val="12"/>
                <w:color w:val="auto"/>
              </w:rPr>
            </w:pPr>
          </w:p>
        </w:tc>
        <w:tc>
          <w:tcPr>
            <w:tcW w:w="1840" w:type="dxa"/>
            <w:vAlign w:val="bottom"/>
            <w:gridSpan w:val="3"/>
          </w:tcPr>
          <w:p>
            <w:pPr>
              <w:jc w:val="center"/>
              <w:ind w:right="120"/>
              <w:spacing w:after="0" w:line="144" w:lineRule="exact"/>
              <w:rPr>
                <w:sz w:val="20"/>
                <w:szCs w:val="20"/>
                <w:color w:val="auto"/>
              </w:rPr>
            </w:pPr>
            <w:r>
              <w:rPr>
                <w:rFonts w:ascii="Arial" w:cs="Arial" w:eastAsia="Arial" w:hAnsi="Arial"/>
                <w:sz w:val="13"/>
                <w:szCs w:val="13"/>
                <w:b w:val="1"/>
                <w:bCs w:val="1"/>
                <w:color w:val="auto"/>
                <w:w w:val="89"/>
              </w:rPr>
              <w:t>Carrying Amount of Hedged</w:t>
            </w:r>
          </w:p>
        </w:tc>
        <w:tc>
          <w:tcPr>
            <w:tcW w:w="140" w:type="dxa"/>
            <w:vAlign w:val="bottom"/>
          </w:tcPr>
          <w:p>
            <w:pPr>
              <w:spacing w:after="0"/>
              <w:rPr>
                <w:sz w:val="12"/>
                <w:szCs w:val="12"/>
                <w:color w:val="auto"/>
              </w:rPr>
            </w:pPr>
          </w:p>
        </w:tc>
        <w:tc>
          <w:tcPr>
            <w:tcW w:w="214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89"/>
              </w:rPr>
              <w:t>Cumulative Amount of Fair Value</w:t>
            </w:r>
          </w:p>
        </w:tc>
        <w:tc>
          <w:tcPr>
            <w:tcW w:w="1860" w:type="dxa"/>
            <w:vAlign w:val="bottom"/>
            <w:gridSpan w:val="3"/>
          </w:tcPr>
          <w:p>
            <w:pPr>
              <w:jc w:val="center"/>
              <w:ind w:right="100"/>
              <w:spacing w:after="0" w:line="144" w:lineRule="exact"/>
              <w:rPr>
                <w:sz w:val="20"/>
                <w:szCs w:val="20"/>
                <w:color w:val="auto"/>
              </w:rPr>
            </w:pPr>
            <w:r>
              <w:rPr>
                <w:rFonts w:ascii="Arial" w:cs="Arial" w:eastAsia="Arial" w:hAnsi="Arial"/>
                <w:sz w:val="13"/>
                <w:szCs w:val="13"/>
                <w:b w:val="1"/>
                <w:bCs w:val="1"/>
                <w:color w:val="auto"/>
                <w:w w:val="89"/>
              </w:rPr>
              <w:t>Carrying Amount of Hedged</w:t>
            </w:r>
          </w:p>
        </w:tc>
        <w:tc>
          <w:tcPr>
            <w:tcW w:w="140" w:type="dxa"/>
            <w:vAlign w:val="bottom"/>
          </w:tcPr>
          <w:p>
            <w:pPr>
              <w:spacing w:after="0"/>
              <w:rPr>
                <w:sz w:val="12"/>
                <w:szCs w:val="12"/>
                <w:color w:val="auto"/>
              </w:rPr>
            </w:pPr>
          </w:p>
        </w:tc>
        <w:tc>
          <w:tcPr>
            <w:tcW w:w="2060" w:type="dxa"/>
            <w:vAlign w:val="bottom"/>
          </w:tcPr>
          <w:p>
            <w:pPr>
              <w:jc w:val="center"/>
              <w:ind w:right="68"/>
              <w:spacing w:after="0" w:line="144" w:lineRule="exact"/>
              <w:rPr>
                <w:sz w:val="20"/>
                <w:szCs w:val="20"/>
                <w:color w:val="auto"/>
              </w:rPr>
            </w:pPr>
            <w:r>
              <w:rPr>
                <w:rFonts w:ascii="Arial" w:cs="Arial" w:eastAsia="Arial" w:hAnsi="Arial"/>
                <w:sz w:val="13"/>
                <w:szCs w:val="13"/>
                <w:b w:val="1"/>
                <w:bCs w:val="1"/>
                <w:color w:val="auto"/>
                <w:w w:val="89"/>
              </w:rPr>
              <w:t>Cumulative Amount of Fair Value</w:t>
            </w:r>
          </w:p>
        </w:tc>
      </w:tr>
      <w:tr>
        <w:trPr>
          <w:trHeight w:val="174"/>
        </w:trPr>
        <w:tc>
          <w:tcPr>
            <w:tcW w:w="3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40" w:type="dxa"/>
            <w:vAlign w:val="bottom"/>
            <w:gridSpan w:val="2"/>
          </w:tcPr>
          <w:p>
            <w:pPr>
              <w:jc w:val="center"/>
              <w:ind w:right="500"/>
              <w:spacing w:after="0"/>
              <w:rPr>
                <w:sz w:val="20"/>
                <w:szCs w:val="20"/>
                <w:color w:val="auto"/>
              </w:rPr>
            </w:pPr>
            <w:r>
              <w:rPr>
                <w:rFonts w:ascii="Arial" w:cs="Arial" w:eastAsia="Arial" w:hAnsi="Arial"/>
                <w:sz w:val="13"/>
                <w:szCs w:val="13"/>
                <w:b w:val="1"/>
                <w:bCs w:val="1"/>
                <w:color w:val="auto"/>
                <w:w w:val="88"/>
              </w:rPr>
              <w:t>Items</w:t>
            </w:r>
          </w:p>
        </w:tc>
        <w:tc>
          <w:tcPr>
            <w:tcW w:w="140" w:type="dxa"/>
            <w:vAlign w:val="bottom"/>
          </w:tcPr>
          <w:p>
            <w:pPr>
              <w:spacing w:after="0"/>
              <w:rPr>
                <w:sz w:val="15"/>
                <w:szCs w:val="15"/>
                <w:color w:val="auto"/>
              </w:rPr>
            </w:pPr>
          </w:p>
        </w:tc>
        <w:tc>
          <w:tcPr>
            <w:tcW w:w="21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7"/>
              </w:rPr>
              <w:t>Hedging Adjustments(a)</w:t>
            </w:r>
          </w:p>
        </w:tc>
        <w:tc>
          <w:tcPr>
            <w:tcW w:w="420" w:type="dxa"/>
            <w:vAlign w:val="bottom"/>
          </w:tcPr>
          <w:p>
            <w:pPr>
              <w:spacing w:after="0"/>
              <w:rPr>
                <w:sz w:val="15"/>
                <w:szCs w:val="15"/>
                <w:color w:val="auto"/>
              </w:rPr>
            </w:pPr>
          </w:p>
        </w:tc>
        <w:tc>
          <w:tcPr>
            <w:tcW w:w="1440" w:type="dxa"/>
            <w:vAlign w:val="bottom"/>
            <w:gridSpan w:val="2"/>
          </w:tcPr>
          <w:p>
            <w:pPr>
              <w:jc w:val="center"/>
              <w:ind w:right="500"/>
              <w:spacing w:after="0"/>
              <w:rPr>
                <w:sz w:val="20"/>
                <w:szCs w:val="20"/>
                <w:color w:val="auto"/>
              </w:rPr>
            </w:pPr>
            <w:r>
              <w:rPr>
                <w:rFonts w:ascii="Arial" w:cs="Arial" w:eastAsia="Arial" w:hAnsi="Arial"/>
                <w:sz w:val="13"/>
                <w:szCs w:val="13"/>
                <w:b w:val="1"/>
                <w:bCs w:val="1"/>
                <w:color w:val="auto"/>
                <w:w w:val="88"/>
              </w:rPr>
              <w:t>Items</w:t>
            </w:r>
          </w:p>
        </w:tc>
        <w:tc>
          <w:tcPr>
            <w:tcW w:w="140" w:type="dxa"/>
            <w:vAlign w:val="bottom"/>
          </w:tcPr>
          <w:p>
            <w:pPr>
              <w:spacing w:after="0"/>
              <w:rPr>
                <w:sz w:val="15"/>
                <w:szCs w:val="15"/>
                <w:color w:val="auto"/>
              </w:rPr>
            </w:pPr>
          </w:p>
        </w:tc>
        <w:tc>
          <w:tcPr>
            <w:tcW w:w="2060" w:type="dxa"/>
            <w:vAlign w:val="bottom"/>
          </w:tcPr>
          <w:p>
            <w:pPr>
              <w:jc w:val="center"/>
              <w:ind w:right="68"/>
              <w:spacing w:after="0"/>
              <w:rPr>
                <w:sz w:val="20"/>
                <w:szCs w:val="20"/>
                <w:color w:val="auto"/>
              </w:rPr>
            </w:pPr>
            <w:r>
              <w:rPr>
                <w:rFonts w:ascii="Arial" w:cs="Arial" w:eastAsia="Arial" w:hAnsi="Arial"/>
                <w:sz w:val="13"/>
                <w:szCs w:val="13"/>
                <w:b w:val="1"/>
                <w:bCs w:val="1"/>
                <w:color w:val="auto"/>
                <w:w w:val="87"/>
              </w:rPr>
              <w:t>Hedging Adjustments(a)</w:t>
            </w:r>
          </w:p>
        </w:tc>
      </w:tr>
      <w:tr>
        <w:trPr>
          <w:trHeight w:val="243"/>
        </w:trPr>
        <w:tc>
          <w:tcPr>
            <w:tcW w:w="3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GM Financial unsecured debt</w:t>
            </w:r>
          </w:p>
        </w:tc>
        <w:tc>
          <w:tcPr>
            <w:tcW w:w="400" w:type="dxa"/>
            <w:vAlign w:val="bottom"/>
            <w:tcBorders>
              <w:top w:val="single" w:sz="8" w:color="auto"/>
            </w:tcBorders>
            <w:shd w:val="clear" w:color="auto" w:fill="CCEEFF"/>
          </w:tcPr>
          <w:p>
            <w:pPr>
              <w:jc w:val="right"/>
              <w:ind w:right="224"/>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8"/>
                <w:szCs w:val="18"/>
                <w:color w:val="auto"/>
              </w:rPr>
              <w:t>24,203</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8"/>
                <w:szCs w:val="18"/>
                <w:color w:val="auto"/>
              </w:rPr>
              <w:t>(648)</w:t>
            </w:r>
          </w:p>
        </w:tc>
        <w:tc>
          <w:tcPr>
            <w:tcW w:w="100" w:type="dxa"/>
            <w:vAlign w:val="bottom"/>
            <w:tcBorders>
              <w:top w:val="single" w:sz="8" w:color="CCEEFF"/>
            </w:tcBorders>
            <w:shd w:val="clear" w:color="auto" w:fill="CCEEFF"/>
          </w:tcPr>
          <w:p>
            <w:pPr>
              <w:spacing w:after="0"/>
              <w:rPr>
                <w:sz w:val="21"/>
                <w:szCs w:val="21"/>
                <w:color w:val="auto"/>
              </w:rPr>
            </w:pPr>
          </w:p>
        </w:tc>
        <w:tc>
          <w:tcPr>
            <w:tcW w:w="420" w:type="dxa"/>
            <w:vAlign w:val="bottom"/>
            <w:tcBorders>
              <w:top w:val="single" w:sz="8" w:color="auto"/>
            </w:tcBorders>
            <w:shd w:val="clear" w:color="auto" w:fill="CCEEFF"/>
          </w:tcPr>
          <w:p>
            <w:pPr>
              <w:jc w:val="right"/>
              <w:ind w:right="224"/>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8"/>
                <w:szCs w:val="18"/>
                <w:color w:val="auto"/>
              </w:rPr>
              <w:t>20,397</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8"/>
                <w:szCs w:val="18"/>
                <w:color w:val="auto"/>
              </w:rPr>
              <w:t>(77)</w:t>
            </w:r>
          </w:p>
        </w:tc>
      </w:tr>
      <w:tr>
        <w:trPr>
          <w:trHeight w:val="27"/>
        </w:trPr>
        <w:tc>
          <w:tcPr>
            <w:tcW w:w="30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9" w:lineRule="exact"/>
        <w:rPr>
          <w:sz w:val="20"/>
          <w:szCs w:val="20"/>
          <w:color w:val="auto"/>
        </w:rPr>
      </w:pPr>
    </w:p>
    <w:p>
      <w:pPr>
        <w:ind w:left="340" w:right="20" w:hanging="332"/>
        <w:spacing w:after="0" w:line="257" w:lineRule="auto"/>
        <w:tabs>
          <w:tab w:leader="none" w:pos="331"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Includes an insignificant amount of amortization remaining on hedged items for which hedge accounting has been discontinued at June 30, 2020 and December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Accrued and Other Liabilities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4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w w:val="98"/>
              </w:rPr>
              <w:t>June 30, 2020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2019</w:t>
            </w: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b w:val="1"/>
                <w:bCs w:val="1"/>
                <w:color w:val="auto"/>
              </w:rPr>
              <w:t>Accrued liabilities</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r>
      <w:tr>
        <w:trPr>
          <w:trHeight w:val="27"/>
        </w:trPr>
        <w:tc>
          <w:tcPr>
            <w:tcW w:w="5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Dealer and customer allowances, claims and discounts</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6,855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10,402</w:t>
            </w: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3,106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3,234</w:t>
            </w:r>
          </w:p>
        </w:tc>
      </w:tr>
      <w:tr>
        <w:trPr>
          <w:trHeight w:val="27"/>
        </w:trPr>
        <w:tc>
          <w:tcPr>
            <w:tcW w:w="5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 warranty and related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2,728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2,987</w:t>
            </w: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w w:val="96"/>
              </w:rPr>
              <w:t>Payrolls and employee benefits excluding postemployment benefits</w:t>
            </w: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1,573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1,969</w:t>
            </w:r>
          </w:p>
        </w:tc>
      </w:tr>
      <w:tr>
        <w:trPr>
          <w:trHeight w:val="27"/>
        </w:trPr>
        <w:tc>
          <w:tcPr>
            <w:tcW w:w="5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8,465</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7,895</w:t>
            </w:r>
          </w:p>
        </w:tc>
      </w:tr>
      <w:tr>
        <w:trPr>
          <w:trHeight w:val="263"/>
        </w:trPr>
        <w:tc>
          <w:tcPr>
            <w:tcW w:w="5200" w:type="dxa"/>
            <w:vAlign w:val="bottom"/>
          </w:tcPr>
          <w:p>
            <w:pPr>
              <w:ind w:left="20"/>
              <w:spacing w:after="0"/>
              <w:rPr>
                <w:sz w:val="20"/>
                <w:szCs w:val="20"/>
                <w:color w:val="auto"/>
              </w:rPr>
            </w:pPr>
            <w:r>
              <w:rPr>
                <w:rFonts w:ascii="Arial" w:cs="Arial" w:eastAsia="Arial" w:hAnsi="Arial"/>
                <w:sz w:val="18"/>
                <w:szCs w:val="18"/>
                <w:color w:val="auto"/>
              </w:rPr>
              <w:t>Total accrued liabilities</w:t>
            </w:r>
          </w:p>
        </w:tc>
        <w:tc>
          <w:tcPr>
            <w:tcW w:w="2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22,727</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26,487</w:t>
            </w: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16"/>
        </w:trPr>
        <w:tc>
          <w:tcPr>
            <w:tcW w:w="52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b w:val="1"/>
                <w:bCs w:val="1"/>
                <w:color w:val="auto"/>
              </w:rPr>
              <w:t>Other liabilities</w:t>
            </w: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5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2,696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2,962</w:t>
            </w: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Product warranty and related liabilities</w:t>
            </w: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4,312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4,811</w:t>
            </w:r>
          </w:p>
        </w:tc>
      </w:tr>
      <w:tr>
        <w:trPr>
          <w:trHeight w:val="27"/>
        </w:trPr>
        <w:tc>
          <w:tcPr>
            <w:tcW w:w="5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960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1,010</w:t>
            </w: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Employee benefits excluding postemployment benefits</w:t>
            </w: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724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704</w:t>
            </w:r>
          </w:p>
        </w:tc>
      </w:tr>
      <w:tr>
        <w:trPr>
          <w:trHeight w:val="27"/>
        </w:trPr>
        <w:tc>
          <w:tcPr>
            <w:tcW w:w="5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Postemployment benefits including facility idling reserves</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617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633</w:t>
            </w: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2,594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3,026</w:t>
            </w:r>
          </w:p>
        </w:tc>
      </w:tr>
      <w:tr>
        <w:trPr>
          <w:trHeight w:val="27"/>
        </w:trPr>
        <w:tc>
          <w:tcPr>
            <w:tcW w:w="52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83"/>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liabilities</w:t>
            </w:r>
          </w:p>
        </w:tc>
        <w:tc>
          <w:tcPr>
            <w:tcW w:w="20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11,903</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13,146</w:t>
            </w:r>
          </w:p>
        </w:tc>
      </w:tr>
      <w:tr>
        <w:trPr>
          <w:trHeight w:val="20"/>
        </w:trPr>
        <w:tc>
          <w:tcPr>
            <w:tcW w:w="5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gridSpan w:val="3"/>
          </w:tcPr>
          <w:p>
            <w:pPr>
              <w:spacing w:after="0" w:line="20" w:lineRule="exact"/>
              <w:rPr>
                <w:sz w:val="1"/>
                <w:szCs w:val="1"/>
                <w:color w:val="auto"/>
              </w:rPr>
            </w:pPr>
          </w:p>
        </w:tc>
      </w:tr>
      <w:tr>
        <w:trPr>
          <w:trHeight w:val="778"/>
        </w:trPr>
        <w:tc>
          <w:tcPr>
            <w:tcW w:w="52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5"/>
          </w:tcPr>
          <w:p>
            <w:pPr>
              <w:jc w:val="right"/>
              <w:ind w:right="73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6"/>
          </w:tcPr>
          <w:p>
            <w:pPr>
              <w:jc w:val="right"/>
              <w:ind w:right="831"/>
              <w:spacing w:after="0"/>
              <w:rPr>
                <w:sz w:val="20"/>
                <w:szCs w:val="20"/>
                <w:color w:val="auto"/>
              </w:rPr>
            </w:pPr>
            <w:r>
              <w:rPr>
                <w:rFonts w:ascii="Arial" w:cs="Arial" w:eastAsia="Arial" w:hAnsi="Arial"/>
                <w:sz w:val="14"/>
                <w:szCs w:val="14"/>
                <w:b w:val="1"/>
                <w:bCs w:val="1"/>
                <w:color w:val="auto"/>
              </w:rPr>
              <w:t>Six Months Ended</w:t>
            </w:r>
          </w:p>
        </w:tc>
      </w:tr>
      <w:tr>
        <w:trPr>
          <w:trHeight w:val="195"/>
        </w:trPr>
        <w:tc>
          <w:tcPr>
            <w:tcW w:w="5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 2020</w:t>
            </w:r>
          </w:p>
        </w:tc>
        <w:tc>
          <w:tcPr>
            <w:tcW w:w="200" w:type="dxa"/>
            <w:vAlign w:val="bottom"/>
          </w:tcPr>
          <w:p>
            <w:pPr>
              <w:spacing w:after="0"/>
              <w:rPr>
                <w:sz w:val="17"/>
                <w:szCs w:val="17"/>
                <w:color w:val="auto"/>
              </w:rPr>
            </w:pPr>
          </w:p>
        </w:tc>
        <w:tc>
          <w:tcPr>
            <w:tcW w:w="1220" w:type="dxa"/>
            <w:vAlign w:val="bottom"/>
            <w:gridSpan w:val="2"/>
          </w:tcPr>
          <w:p>
            <w:pPr>
              <w:jc w:val="right"/>
              <w:ind w:right="210"/>
              <w:spacing w:after="0"/>
              <w:rPr>
                <w:sz w:val="20"/>
                <w:szCs w:val="20"/>
                <w:color w:val="auto"/>
              </w:rPr>
            </w:pPr>
            <w:r>
              <w:rPr>
                <w:rFonts w:ascii="Arial" w:cs="Arial" w:eastAsia="Arial" w:hAnsi="Arial"/>
                <w:sz w:val="14"/>
                <w:szCs w:val="14"/>
                <w:b w:val="1"/>
                <w:bCs w:val="1"/>
                <w:color w:val="auto"/>
                <w:w w:val="98"/>
              </w:rPr>
              <w:t>June 30, 2019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8"/>
              </w:rPr>
              <w:t>June 30, 2020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ind w:right="211"/>
              <w:spacing w:after="0"/>
              <w:rPr>
                <w:sz w:val="20"/>
                <w:szCs w:val="20"/>
                <w:color w:val="auto"/>
              </w:rPr>
            </w:pPr>
            <w:r>
              <w:rPr>
                <w:rFonts w:ascii="Arial" w:cs="Arial" w:eastAsia="Arial" w:hAnsi="Arial"/>
                <w:sz w:val="14"/>
                <w:szCs w:val="14"/>
                <w:b w:val="1"/>
                <w:bCs w:val="1"/>
                <w:color w:val="auto"/>
                <w:w w:val="98"/>
              </w:rPr>
              <w:t>June 30, 2019</w:t>
            </w: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b w:val="1"/>
                <w:bCs w:val="1"/>
                <w:color w:val="auto"/>
              </w:rPr>
              <w:t>Product Warranty and Related Liabilities</w:t>
            </w:r>
          </w:p>
        </w:tc>
        <w:tc>
          <w:tcPr>
            <w:tcW w:w="2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r>
      <w:tr>
        <w:trPr>
          <w:trHeight w:val="27"/>
        </w:trPr>
        <w:tc>
          <w:tcPr>
            <w:tcW w:w="5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Warranty balance at beginning of period</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7,398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7,552</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7,798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7,590</w:t>
            </w:r>
          </w:p>
        </w:tc>
      </w:tr>
      <w:tr>
        <w:trPr>
          <w:trHeight w:val="270"/>
        </w:trPr>
        <w:tc>
          <w:tcPr>
            <w:tcW w:w="5200" w:type="dxa"/>
            <w:vAlign w:val="bottom"/>
          </w:tcPr>
          <w:p>
            <w:pPr>
              <w:ind w:left="20"/>
              <w:spacing w:after="0"/>
              <w:rPr>
                <w:sz w:val="20"/>
                <w:szCs w:val="20"/>
                <w:color w:val="auto"/>
              </w:rPr>
            </w:pPr>
            <w:r>
              <w:rPr>
                <w:rFonts w:ascii="Arial" w:cs="Arial" w:eastAsia="Arial" w:hAnsi="Arial"/>
                <w:sz w:val="18"/>
                <w:szCs w:val="18"/>
                <w:color w:val="auto"/>
              </w:rPr>
              <w:t>Warranties issued and assumed in period – recall campaigns</w:t>
            </w:r>
          </w:p>
        </w:tc>
        <w:tc>
          <w:tcPr>
            <w:tcW w:w="200" w:type="dxa"/>
            <w:vAlign w:val="bottom"/>
          </w:tcPr>
          <w:p>
            <w:pPr>
              <w:spacing w:after="0"/>
              <w:rPr>
                <w:sz w:val="23"/>
                <w:szCs w:val="23"/>
                <w:color w:val="auto"/>
              </w:rPr>
            </w:pPr>
          </w:p>
        </w:tc>
        <w:tc>
          <w:tcPr>
            <w:tcW w:w="1220" w:type="dxa"/>
            <w:vAlign w:val="bottom"/>
          </w:tcPr>
          <w:p>
            <w:pPr>
              <w:jc w:val="right"/>
              <w:ind w:right="54"/>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gridSpan w:val="2"/>
          </w:tcPr>
          <w:p>
            <w:pPr>
              <w:jc w:val="right"/>
              <w:ind w:right="70"/>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252</w:t>
            </w:r>
          </w:p>
        </w:tc>
      </w:tr>
      <w:tr>
        <w:trPr>
          <w:trHeight w:val="27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Warranties issued and assumed in period – product warranty</w:t>
            </w:r>
          </w:p>
        </w:tc>
        <w:tc>
          <w:tcPr>
            <w:tcW w:w="2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220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529</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718</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1,056</w:t>
            </w: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Payments</w:t>
            </w:r>
          </w:p>
        </w:tc>
        <w:tc>
          <w:tcPr>
            <w:tcW w:w="20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(652)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gridSpan w:val="2"/>
          </w:tcPr>
          <w:p>
            <w:pPr>
              <w:jc w:val="right"/>
              <w:ind w:right="10"/>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(1,533)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(1,460)</w:t>
            </w:r>
          </w:p>
        </w:tc>
      </w:tr>
      <w:tr>
        <w:trPr>
          <w:trHeight w:val="27"/>
        </w:trPr>
        <w:tc>
          <w:tcPr>
            <w:tcW w:w="5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pre-existing warranties</w:t>
            </w:r>
          </w:p>
        </w:tc>
        <w:tc>
          <w:tcPr>
            <w:tcW w:w="2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r>
      <w:tr>
        <w:trPr>
          <w:trHeight w:val="270"/>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foreign currency and other</w:t>
            </w:r>
          </w:p>
        </w:tc>
        <w:tc>
          <w:tcPr>
            <w:tcW w:w="20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23</w:t>
            </w:r>
          </w:p>
        </w:tc>
      </w:tr>
      <w:tr>
        <w:trPr>
          <w:trHeight w:val="28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Warranty balance at end of period</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7,040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7,439</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7,040</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7,439</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We estimate our reasonably possible loss in excess of amounts accrued for recall campaigns to be insignificant at June 30, 2020. Refer to Note 15 for reasonably possible losses on Takata Corporation (Takata)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Pensions and Other Postretirement Benefits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7"/>
          </w:tcPr>
          <w:p>
            <w:pPr>
              <w:jc w:val="center"/>
              <w:ind w:right="173"/>
              <w:spacing w:after="0"/>
              <w:rPr>
                <w:sz w:val="20"/>
                <w:szCs w:val="20"/>
                <w:color w:val="auto"/>
              </w:rPr>
            </w:pPr>
            <w:r>
              <w:rPr>
                <w:rFonts w:ascii="Arial" w:cs="Arial" w:eastAsia="Arial" w:hAnsi="Arial"/>
                <w:sz w:val="14"/>
                <w:szCs w:val="14"/>
                <w:b w:val="1"/>
                <w:bCs w:val="1"/>
                <w:color w:val="auto"/>
                <w:w w:val="93"/>
              </w:rPr>
              <w:t>Three Months Ended June 30, 2020</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7"/>
          </w:tcPr>
          <w:p>
            <w:pPr>
              <w:jc w:val="center"/>
              <w:ind w:right="153"/>
              <w:spacing w:after="0"/>
              <w:rPr>
                <w:sz w:val="20"/>
                <w:szCs w:val="20"/>
                <w:color w:val="auto"/>
              </w:rPr>
            </w:pPr>
            <w:r>
              <w:rPr>
                <w:rFonts w:ascii="Arial" w:cs="Arial" w:eastAsia="Arial" w:hAnsi="Arial"/>
                <w:sz w:val="14"/>
                <w:szCs w:val="14"/>
                <w:b w:val="1"/>
                <w:bCs w:val="1"/>
                <w:color w:val="auto"/>
                <w:w w:val="93"/>
              </w:rPr>
              <w:t>Three Months Ended June 30, 2019</w:t>
            </w:r>
          </w:p>
        </w:tc>
      </w:tr>
      <w:tr>
        <w:trPr>
          <w:trHeight w:val="196"/>
        </w:trPr>
        <w:tc>
          <w:tcPr>
            <w:tcW w:w="45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4"/>
          </w:tcPr>
          <w:p>
            <w:pPr>
              <w:jc w:val="right"/>
              <w:ind w:right="493"/>
              <w:spacing w:after="0"/>
              <w:rPr>
                <w:sz w:val="20"/>
                <w:szCs w:val="20"/>
                <w:color w:val="auto"/>
              </w:rPr>
            </w:pPr>
            <w:r>
              <w:rPr>
                <w:rFonts w:ascii="Arial" w:cs="Arial" w:eastAsia="Arial" w:hAnsi="Arial"/>
                <w:sz w:val="14"/>
                <w:szCs w:val="14"/>
                <w:b w:val="1"/>
                <w:bCs w:val="1"/>
                <w:color w:val="auto"/>
              </w:rPr>
              <w:t>Pension Benefits</w:t>
            </w:r>
          </w:p>
        </w:tc>
        <w:tc>
          <w:tcPr>
            <w:tcW w:w="100" w:type="dxa"/>
            <w:vAlign w:val="bottom"/>
          </w:tcPr>
          <w:p>
            <w:pPr>
              <w:spacing w:after="0"/>
              <w:rPr>
                <w:sz w:val="17"/>
                <w:szCs w:val="17"/>
                <w:color w:val="auto"/>
              </w:rPr>
            </w:pPr>
          </w:p>
        </w:tc>
        <w:tc>
          <w:tcPr>
            <w:tcW w:w="11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8"/>
              </w:rPr>
              <w:t>Global OPEB</w:t>
            </w:r>
          </w:p>
        </w:tc>
        <w:tc>
          <w:tcPr>
            <w:tcW w:w="24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4"/>
          </w:tcPr>
          <w:p>
            <w:pPr>
              <w:jc w:val="right"/>
              <w:ind w:right="493"/>
              <w:spacing w:after="0"/>
              <w:rPr>
                <w:sz w:val="20"/>
                <w:szCs w:val="20"/>
                <w:color w:val="auto"/>
              </w:rPr>
            </w:pPr>
            <w:r>
              <w:rPr>
                <w:rFonts w:ascii="Arial" w:cs="Arial" w:eastAsia="Arial" w:hAnsi="Arial"/>
                <w:sz w:val="14"/>
                <w:szCs w:val="14"/>
                <w:b w:val="1"/>
                <w:bCs w:val="1"/>
                <w:color w:val="auto"/>
              </w:rPr>
              <w:t>Pension Benefits</w:t>
            </w:r>
          </w:p>
        </w:tc>
        <w:tc>
          <w:tcPr>
            <w:tcW w:w="100" w:type="dxa"/>
            <w:vAlign w:val="bottom"/>
          </w:tcPr>
          <w:p>
            <w:pPr>
              <w:spacing w:after="0"/>
              <w:rPr>
                <w:sz w:val="17"/>
                <w:szCs w:val="17"/>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Global OPEB</w:t>
            </w:r>
          </w:p>
        </w:tc>
      </w:tr>
      <w:tr>
        <w:trPr>
          <w:trHeight w:val="196"/>
        </w:trPr>
        <w:tc>
          <w:tcPr>
            <w:tcW w:w="4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ind w:left="140"/>
              <w:spacing w:after="0"/>
              <w:rPr>
                <w:sz w:val="20"/>
                <w:szCs w:val="20"/>
                <w:color w:val="auto"/>
              </w:rPr>
            </w:pPr>
            <w:r>
              <w:rPr>
                <w:rFonts w:ascii="Arial" w:cs="Arial" w:eastAsia="Arial" w:hAnsi="Arial"/>
                <w:sz w:val="14"/>
                <w:szCs w:val="14"/>
                <w:b w:val="1"/>
                <w:bCs w:val="1"/>
                <w:color w:val="auto"/>
              </w:rPr>
              <w:t>U.S.</w:t>
            </w:r>
          </w:p>
        </w:tc>
        <w:tc>
          <w:tcPr>
            <w:tcW w:w="180" w:type="dxa"/>
            <w:vAlign w:val="bottom"/>
          </w:tcPr>
          <w:p>
            <w:pPr>
              <w:spacing w:after="0"/>
              <w:rPr>
                <w:sz w:val="17"/>
                <w:szCs w:val="17"/>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Non-U.S.</w:t>
            </w:r>
          </w:p>
        </w:tc>
        <w:tc>
          <w:tcPr>
            <w:tcW w:w="220" w:type="dxa"/>
            <w:vAlign w:val="bottom"/>
          </w:tcPr>
          <w:p>
            <w:pPr>
              <w:spacing w:after="0"/>
              <w:rPr>
                <w:sz w:val="17"/>
                <w:szCs w:val="17"/>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Plans</w:t>
            </w:r>
          </w:p>
        </w:tc>
        <w:tc>
          <w:tcPr>
            <w:tcW w:w="240" w:type="dxa"/>
            <w:vAlign w:val="bottom"/>
          </w:tcPr>
          <w:p>
            <w:pPr>
              <w:spacing w:after="0"/>
              <w:rPr>
                <w:sz w:val="17"/>
                <w:szCs w:val="17"/>
                <w:color w:val="auto"/>
              </w:rPr>
            </w:pPr>
          </w:p>
        </w:tc>
        <w:tc>
          <w:tcPr>
            <w:tcW w:w="880" w:type="dxa"/>
            <w:vAlign w:val="bottom"/>
            <w:gridSpan w:val="2"/>
          </w:tcPr>
          <w:p>
            <w:pPr>
              <w:ind w:left="140"/>
              <w:spacing w:after="0"/>
              <w:rPr>
                <w:sz w:val="20"/>
                <w:szCs w:val="20"/>
                <w:color w:val="auto"/>
              </w:rPr>
            </w:pPr>
            <w:r>
              <w:rPr>
                <w:rFonts w:ascii="Arial" w:cs="Arial" w:eastAsia="Arial" w:hAnsi="Arial"/>
                <w:sz w:val="14"/>
                <w:szCs w:val="14"/>
                <w:b w:val="1"/>
                <w:bCs w:val="1"/>
                <w:color w:val="auto"/>
              </w:rPr>
              <w:t>U.S.</w:t>
            </w:r>
          </w:p>
        </w:tc>
        <w:tc>
          <w:tcPr>
            <w:tcW w:w="180" w:type="dxa"/>
            <w:vAlign w:val="bottom"/>
          </w:tcPr>
          <w:p>
            <w:pPr>
              <w:spacing w:after="0"/>
              <w:rPr>
                <w:sz w:val="17"/>
                <w:szCs w:val="17"/>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Non-U.S.</w:t>
            </w:r>
          </w:p>
        </w:tc>
        <w:tc>
          <w:tcPr>
            <w:tcW w:w="240" w:type="dxa"/>
            <w:vAlign w:val="bottom"/>
          </w:tcPr>
          <w:p>
            <w:pPr>
              <w:spacing w:after="0"/>
              <w:rPr>
                <w:sz w:val="17"/>
                <w:szCs w:val="17"/>
                <w:color w:val="auto"/>
              </w:rPr>
            </w:pPr>
          </w:p>
        </w:tc>
        <w:tc>
          <w:tcPr>
            <w:tcW w:w="800" w:type="dxa"/>
            <w:vAlign w:val="bottom"/>
          </w:tcPr>
          <w:p>
            <w:pPr>
              <w:jc w:val="center"/>
              <w:ind w:right="153"/>
              <w:spacing w:after="0"/>
              <w:rPr>
                <w:sz w:val="20"/>
                <w:szCs w:val="20"/>
                <w:color w:val="auto"/>
              </w:rPr>
            </w:pPr>
            <w:r>
              <w:rPr>
                <w:rFonts w:ascii="Arial" w:cs="Arial" w:eastAsia="Arial" w:hAnsi="Arial"/>
                <w:sz w:val="14"/>
                <w:szCs w:val="14"/>
                <w:b w:val="1"/>
                <w:bCs w:val="1"/>
                <w:color w:val="auto"/>
                <w:w w:val="85"/>
              </w:rPr>
              <w:t>Plans</w:t>
            </w:r>
          </w:p>
        </w:tc>
      </w:tr>
      <w:tr>
        <w:trPr>
          <w:trHeight w:val="250"/>
        </w:trPr>
        <w:tc>
          <w:tcPr>
            <w:tcW w:w="4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w:t>
            </w: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240" w:type="dxa"/>
            <w:vAlign w:val="bottom"/>
          </w:tcPr>
          <w:p>
            <w:pPr>
              <w:spacing w:after="0"/>
              <w:rPr>
                <w:sz w:val="21"/>
                <w:szCs w:val="21"/>
                <w:color w:val="auto"/>
              </w:rPr>
            </w:pPr>
          </w:p>
        </w:tc>
        <w:tc>
          <w:tcPr>
            <w:tcW w:w="780" w:type="dxa"/>
            <w:vAlign w:val="bottom"/>
          </w:tcPr>
          <w:p>
            <w:pPr>
              <w:jc w:val="right"/>
              <w:ind w:right="76"/>
              <w:spacing w:after="0"/>
              <w:rPr>
                <w:sz w:val="20"/>
                <w:szCs w:val="20"/>
                <w:color w:val="auto"/>
              </w:rPr>
            </w:pPr>
            <w:r>
              <w:rPr>
                <w:rFonts w:ascii="Arial" w:cs="Arial" w:eastAsia="Arial" w:hAnsi="Arial"/>
                <w:sz w:val="18"/>
                <w:szCs w:val="18"/>
                <w:color w:val="auto"/>
              </w:rPr>
              <w:t>429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73"/>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53"/>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76"/>
              <w:spacing w:after="0"/>
              <w:rPr>
                <w:sz w:val="20"/>
                <w:szCs w:val="20"/>
                <w:color w:val="auto"/>
              </w:rPr>
            </w:pPr>
            <w:r>
              <w:rPr>
                <w:rFonts w:ascii="Arial" w:cs="Arial" w:eastAsia="Arial" w:hAnsi="Arial"/>
                <w:sz w:val="18"/>
                <w:szCs w:val="18"/>
                <w:color w:val="auto"/>
              </w:rPr>
              <w:t>566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73"/>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73"/>
              <w:spacing w:after="0"/>
              <w:rPr>
                <w:sz w:val="20"/>
                <w:szCs w:val="20"/>
                <w:color w:val="auto"/>
              </w:rPr>
            </w:pPr>
            <w:r>
              <w:rPr>
                <w:rFonts w:ascii="Arial" w:cs="Arial" w:eastAsia="Arial" w:hAnsi="Arial"/>
                <w:sz w:val="18"/>
                <w:szCs w:val="18"/>
                <w:color w:val="auto"/>
              </w:rPr>
              <w:t>55</w:t>
            </w:r>
          </w:p>
        </w:tc>
      </w:tr>
      <w:tr>
        <w:trPr>
          <w:trHeight w:val="27"/>
        </w:trPr>
        <w:tc>
          <w:tcPr>
            <w:tcW w:w="4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r>
      <w:tr>
        <w:trPr>
          <w:trHeight w:val="270"/>
        </w:trPr>
        <w:tc>
          <w:tcPr>
            <w:tcW w:w="4540" w:type="dxa"/>
            <w:vAlign w:val="bottom"/>
          </w:tcPr>
          <w:p>
            <w:pPr>
              <w:ind w:left="20"/>
              <w:spacing w:after="0"/>
              <w:rPr>
                <w:sz w:val="20"/>
                <w:szCs w:val="20"/>
                <w:color w:val="auto"/>
              </w:rPr>
            </w:pPr>
            <w:r>
              <w:rPr>
                <w:rFonts w:ascii="Arial" w:cs="Arial" w:eastAsia="Arial" w:hAnsi="Arial"/>
                <w:sz w:val="18"/>
                <w:szCs w:val="18"/>
                <w:color w:val="auto"/>
              </w:rPr>
              <w:t>Amortization of prior service cost (credit)</w:t>
            </w:r>
          </w:p>
        </w:tc>
        <w:tc>
          <w:tcPr>
            <w:tcW w:w="240" w:type="dxa"/>
            <w:vAlign w:val="bottom"/>
          </w:tcPr>
          <w:p>
            <w:pPr>
              <w:spacing w:after="0"/>
              <w:rPr>
                <w:sz w:val="23"/>
                <w:szCs w:val="23"/>
                <w:color w:val="auto"/>
              </w:rPr>
            </w:pPr>
          </w:p>
        </w:tc>
        <w:tc>
          <w:tcPr>
            <w:tcW w:w="780" w:type="dxa"/>
            <w:vAlign w:val="bottom"/>
          </w:tcPr>
          <w:p>
            <w:pPr>
              <w:jc w:val="right"/>
              <w:ind w:right="36"/>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ind w:right="7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16"/>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ind w:right="7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(4)</w:t>
            </w:r>
          </w:p>
        </w:tc>
      </w:tr>
      <w:tr>
        <w:trPr>
          <w:trHeight w:val="27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net actuarial losses</w:t>
            </w: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7</w:t>
            </w:r>
          </w:p>
        </w:tc>
      </w:tr>
      <w:tr>
        <w:trPr>
          <w:trHeight w:val="263"/>
        </w:trPr>
        <w:tc>
          <w:tcPr>
            <w:tcW w:w="4540" w:type="dxa"/>
            <w:vAlign w:val="bottom"/>
          </w:tcPr>
          <w:p>
            <w:pPr>
              <w:ind w:left="20"/>
              <w:spacing w:after="0"/>
              <w:rPr>
                <w:sz w:val="20"/>
                <w:szCs w:val="20"/>
                <w:color w:val="auto"/>
              </w:rPr>
            </w:pPr>
            <w:r>
              <w:rPr>
                <w:rFonts w:ascii="Arial" w:cs="Arial" w:eastAsia="Arial" w:hAnsi="Arial"/>
                <w:sz w:val="18"/>
                <w:szCs w:val="18"/>
                <w:color w:val="auto"/>
              </w:rPr>
              <w:t>Net periodic pension and OPEB (income) expense</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62</w:t>
            </w:r>
          </w:p>
        </w:tc>
      </w:tr>
      <w:tr>
        <w:trPr>
          <w:trHeight w:val="21"/>
        </w:trPr>
        <w:tc>
          <w:tcPr>
            <w:tcW w:w="4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r>
      <w:tr>
        <w:trPr>
          <w:trHeight w:val="554"/>
        </w:trPr>
        <w:tc>
          <w:tcPr>
            <w:tcW w:w="45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7"/>
          </w:tcPr>
          <w:p>
            <w:pPr>
              <w:jc w:val="center"/>
              <w:ind w:right="153"/>
              <w:spacing w:after="0"/>
              <w:rPr>
                <w:sz w:val="20"/>
                <w:szCs w:val="20"/>
                <w:color w:val="auto"/>
              </w:rPr>
            </w:pPr>
            <w:r>
              <w:rPr>
                <w:rFonts w:ascii="Arial" w:cs="Arial" w:eastAsia="Arial" w:hAnsi="Arial"/>
                <w:sz w:val="14"/>
                <w:szCs w:val="14"/>
                <w:b w:val="1"/>
                <w:bCs w:val="1"/>
                <w:color w:val="auto"/>
                <w:w w:val="92"/>
              </w:rPr>
              <w:t>Six Months Ended June 30, 2020</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7"/>
          </w:tcPr>
          <w:p>
            <w:pPr>
              <w:jc w:val="center"/>
              <w:ind w:right="173"/>
              <w:spacing w:after="0"/>
              <w:rPr>
                <w:sz w:val="20"/>
                <w:szCs w:val="20"/>
                <w:color w:val="auto"/>
              </w:rPr>
            </w:pPr>
            <w:r>
              <w:rPr>
                <w:rFonts w:ascii="Arial" w:cs="Arial" w:eastAsia="Arial" w:hAnsi="Arial"/>
                <w:sz w:val="14"/>
                <w:szCs w:val="14"/>
                <w:b w:val="1"/>
                <w:bCs w:val="1"/>
                <w:color w:val="auto"/>
                <w:w w:val="92"/>
              </w:rPr>
              <w:t>Six Months Ended June 30, 2019</w:t>
            </w:r>
          </w:p>
        </w:tc>
      </w:tr>
      <w:tr>
        <w:trPr>
          <w:trHeight w:val="196"/>
        </w:trPr>
        <w:tc>
          <w:tcPr>
            <w:tcW w:w="45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4"/>
          </w:tcPr>
          <w:p>
            <w:pPr>
              <w:jc w:val="right"/>
              <w:ind w:right="493"/>
              <w:spacing w:after="0"/>
              <w:rPr>
                <w:sz w:val="20"/>
                <w:szCs w:val="20"/>
                <w:color w:val="auto"/>
              </w:rPr>
            </w:pPr>
            <w:r>
              <w:rPr>
                <w:rFonts w:ascii="Arial" w:cs="Arial" w:eastAsia="Arial" w:hAnsi="Arial"/>
                <w:sz w:val="14"/>
                <w:szCs w:val="14"/>
                <w:b w:val="1"/>
                <w:bCs w:val="1"/>
                <w:color w:val="auto"/>
              </w:rPr>
              <w:t>Pension Benefits</w:t>
            </w:r>
          </w:p>
        </w:tc>
        <w:tc>
          <w:tcPr>
            <w:tcW w:w="100" w:type="dxa"/>
            <w:vAlign w:val="bottom"/>
          </w:tcPr>
          <w:p>
            <w:pPr>
              <w:spacing w:after="0"/>
              <w:rPr>
                <w:sz w:val="17"/>
                <w:szCs w:val="17"/>
                <w:color w:val="auto"/>
              </w:rPr>
            </w:pPr>
          </w:p>
        </w:tc>
        <w:tc>
          <w:tcPr>
            <w:tcW w:w="11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8"/>
              </w:rPr>
              <w:t>Global OPEB</w:t>
            </w:r>
          </w:p>
        </w:tc>
        <w:tc>
          <w:tcPr>
            <w:tcW w:w="24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4"/>
          </w:tcPr>
          <w:p>
            <w:pPr>
              <w:jc w:val="right"/>
              <w:ind w:right="493"/>
              <w:spacing w:after="0"/>
              <w:rPr>
                <w:sz w:val="20"/>
                <w:szCs w:val="20"/>
                <w:color w:val="auto"/>
              </w:rPr>
            </w:pPr>
            <w:r>
              <w:rPr>
                <w:rFonts w:ascii="Arial" w:cs="Arial" w:eastAsia="Arial" w:hAnsi="Arial"/>
                <w:sz w:val="14"/>
                <w:szCs w:val="14"/>
                <w:b w:val="1"/>
                <w:bCs w:val="1"/>
                <w:color w:val="auto"/>
              </w:rPr>
              <w:t>Pension Benefits</w:t>
            </w:r>
          </w:p>
        </w:tc>
        <w:tc>
          <w:tcPr>
            <w:tcW w:w="100" w:type="dxa"/>
            <w:vAlign w:val="bottom"/>
          </w:tcPr>
          <w:p>
            <w:pPr>
              <w:spacing w:after="0"/>
              <w:rPr>
                <w:sz w:val="17"/>
                <w:szCs w:val="17"/>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Global OPEB</w:t>
            </w:r>
          </w:p>
        </w:tc>
      </w:tr>
      <w:tr>
        <w:trPr>
          <w:trHeight w:val="196"/>
        </w:trPr>
        <w:tc>
          <w:tcPr>
            <w:tcW w:w="4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ind w:left="140"/>
              <w:spacing w:after="0"/>
              <w:rPr>
                <w:sz w:val="20"/>
                <w:szCs w:val="20"/>
                <w:color w:val="auto"/>
              </w:rPr>
            </w:pPr>
            <w:r>
              <w:rPr>
                <w:rFonts w:ascii="Arial" w:cs="Arial" w:eastAsia="Arial" w:hAnsi="Arial"/>
                <w:sz w:val="14"/>
                <w:szCs w:val="14"/>
                <w:b w:val="1"/>
                <w:bCs w:val="1"/>
                <w:color w:val="auto"/>
              </w:rPr>
              <w:t>U.S.</w:t>
            </w:r>
          </w:p>
        </w:tc>
        <w:tc>
          <w:tcPr>
            <w:tcW w:w="180" w:type="dxa"/>
            <w:vAlign w:val="bottom"/>
          </w:tcPr>
          <w:p>
            <w:pPr>
              <w:spacing w:after="0"/>
              <w:rPr>
                <w:sz w:val="17"/>
                <w:szCs w:val="17"/>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Non-U.S.</w:t>
            </w:r>
          </w:p>
        </w:tc>
        <w:tc>
          <w:tcPr>
            <w:tcW w:w="220" w:type="dxa"/>
            <w:vAlign w:val="bottom"/>
          </w:tcPr>
          <w:p>
            <w:pPr>
              <w:spacing w:after="0"/>
              <w:rPr>
                <w:sz w:val="17"/>
                <w:szCs w:val="17"/>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Plans</w:t>
            </w:r>
          </w:p>
        </w:tc>
        <w:tc>
          <w:tcPr>
            <w:tcW w:w="240" w:type="dxa"/>
            <w:vAlign w:val="bottom"/>
          </w:tcPr>
          <w:p>
            <w:pPr>
              <w:spacing w:after="0"/>
              <w:rPr>
                <w:sz w:val="17"/>
                <w:szCs w:val="17"/>
                <w:color w:val="auto"/>
              </w:rPr>
            </w:pPr>
          </w:p>
        </w:tc>
        <w:tc>
          <w:tcPr>
            <w:tcW w:w="880" w:type="dxa"/>
            <w:vAlign w:val="bottom"/>
            <w:gridSpan w:val="2"/>
          </w:tcPr>
          <w:p>
            <w:pPr>
              <w:ind w:left="140"/>
              <w:spacing w:after="0"/>
              <w:rPr>
                <w:sz w:val="20"/>
                <w:szCs w:val="20"/>
                <w:color w:val="auto"/>
              </w:rPr>
            </w:pPr>
            <w:r>
              <w:rPr>
                <w:rFonts w:ascii="Arial" w:cs="Arial" w:eastAsia="Arial" w:hAnsi="Arial"/>
                <w:sz w:val="14"/>
                <w:szCs w:val="14"/>
                <w:b w:val="1"/>
                <w:bCs w:val="1"/>
                <w:color w:val="auto"/>
              </w:rPr>
              <w:t>U.S.</w:t>
            </w:r>
          </w:p>
        </w:tc>
        <w:tc>
          <w:tcPr>
            <w:tcW w:w="180" w:type="dxa"/>
            <w:vAlign w:val="bottom"/>
          </w:tcPr>
          <w:p>
            <w:pPr>
              <w:spacing w:after="0"/>
              <w:rPr>
                <w:sz w:val="17"/>
                <w:szCs w:val="17"/>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Non-U.S.</w:t>
            </w:r>
          </w:p>
        </w:tc>
        <w:tc>
          <w:tcPr>
            <w:tcW w:w="240" w:type="dxa"/>
            <w:vAlign w:val="bottom"/>
          </w:tcPr>
          <w:p>
            <w:pPr>
              <w:spacing w:after="0"/>
              <w:rPr>
                <w:sz w:val="17"/>
                <w:szCs w:val="17"/>
                <w:color w:val="auto"/>
              </w:rPr>
            </w:pPr>
          </w:p>
        </w:tc>
        <w:tc>
          <w:tcPr>
            <w:tcW w:w="800" w:type="dxa"/>
            <w:vAlign w:val="bottom"/>
          </w:tcPr>
          <w:p>
            <w:pPr>
              <w:jc w:val="center"/>
              <w:ind w:right="153"/>
              <w:spacing w:after="0"/>
              <w:rPr>
                <w:sz w:val="20"/>
                <w:szCs w:val="20"/>
                <w:color w:val="auto"/>
              </w:rPr>
            </w:pPr>
            <w:r>
              <w:rPr>
                <w:rFonts w:ascii="Arial" w:cs="Arial" w:eastAsia="Arial" w:hAnsi="Arial"/>
                <w:sz w:val="14"/>
                <w:szCs w:val="14"/>
                <w:b w:val="1"/>
                <w:bCs w:val="1"/>
                <w:color w:val="auto"/>
                <w:w w:val="85"/>
              </w:rPr>
              <w:t>Plans</w:t>
            </w:r>
          </w:p>
        </w:tc>
      </w:tr>
      <w:tr>
        <w:trPr>
          <w:trHeight w:val="250"/>
        </w:trPr>
        <w:tc>
          <w:tcPr>
            <w:tcW w:w="4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8</w:t>
            </w: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240" w:type="dxa"/>
            <w:vAlign w:val="bottom"/>
          </w:tcPr>
          <w:p>
            <w:pPr>
              <w:spacing w:after="0"/>
              <w:rPr>
                <w:sz w:val="21"/>
                <w:szCs w:val="21"/>
                <w:color w:val="auto"/>
              </w:rPr>
            </w:pPr>
          </w:p>
        </w:tc>
        <w:tc>
          <w:tcPr>
            <w:tcW w:w="780" w:type="dxa"/>
            <w:vAlign w:val="bottom"/>
          </w:tcPr>
          <w:p>
            <w:pPr>
              <w:jc w:val="right"/>
              <w:ind w:right="76"/>
              <w:spacing w:after="0"/>
              <w:rPr>
                <w:sz w:val="20"/>
                <w:szCs w:val="20"/>
                <w:color w:val="auto"/>
              </w:rPr>
            </w:pPr>
            <w:r>
              <w:rPr>
                <w:rFonts w:ascii="Arial" w:cs="Arial" w:eastAsia="Arial" w:hAnsi="Arial"/>
                <w:sz w:val="18"/>
                <w:szCs w:val="18"/>
                <w:color w:val="auto"/>
              </w:rPr>
              <w:t>858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73"/>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53"/>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76"/>
              <w:spacing w:after="0"/>
              <w:rPr>
                <w:sz w:val="20"/>
                <w:szCs w:val="20"/>
                <w:color w:val="auto"/>
              </w:rPr>
            </w:pPr>
            <w:r>
              <w:rPr>
                <w:rFonts w:ascii="Arial" w:cs="Arial" w:eastAsia="Arial" w:hAnsi="Arial"/>
                <w:sz w:val="18"/>
                <w:szCs w:val="18"/>
                <w:color w:val="auto"/>
              </w:rPr>
              <w:t>1,132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73"/>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73"/>
              <w:spacing w:after="0"/>
              <w:rPr>
                <w:sz w:val="20"/>
                <w:szCs w:val="20"/>
                <w:color w:val="auto"/>
              </w:rPr>
            </w:pPr>
            <w:r>
              <w:rPr>
                <w:rFonts w:ascii="Arial" w:cs="Arial" w:eastAsia="Arial" w:hAnsi="Arial"/>
                <w:sz w:val="18"/>
                <w:szCs w:val="18"/>
                <w:color w:val="auto"/>
              </w:rPr>
              <w:t>109</w:t>
            </w:r>
          </w:p>
        </w:tc>
      </w:tr>
      <w:tr>
        <w:trPr>
          <w:trHeight w:val="27"/>
        </w:trPr>
        <w:tc>
          <w:tcPr>
            <w:tcW w:w="4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(1,633)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Amortization of prior service cost (credit)</w:t>
            </w:r>
          </w:p>
        </w:tc>
        <w:tc>
          <w:tcPr>
            <w:tcW w:w="240" w:type="dxa"/>
            <w:vAlign w:val="bottom"/>
          </w:tcPr>
          <w:p>
            <w:pPr>
              <w:spacing w:after="0"/>
              <w:rPr>
                <w:sz w:val="21"/>
                <w:szCs w:val="21"/>
                <w:color w:val="auto"/>
              </w:rPr>
            </w:pPr>
          </w:p>
        </w:tc>
        <w:tc>
          <w:tcPr>
            <w:tcW w:w="780" w:type="dxa"/>
            <w:vAlign w:val="bottom"/>
          </w:tcPr>
          <w:p>
            <w:pPr>
              <w:jc w:val="right"/>
              <w:ind w:right="36"/>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73"/>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6"/>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7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(7)</w:t>
            </w:r>
          </w:p>
        </w:tc>
      </w:tr>
      <w:tr>
        <w:trPr>
          <w:trHeight w:val="27"/>
        </w:trPr>
        <w:tc>
          <w:tcPr>
            <w:tcW w:w="4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of net actuarial losses</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15</w:t>
            </w:r>
          </w:p>
        </w:tc>
      </w:tr>
      <w:tr>
        <w:trPr>
          <w:trHeight w:val="263"/>
        </w:trPr>
        <w:tc>
          <w:tcPr>
            <w:tcW w:w="4540" w:type="dxa"/>
            <w:vAlign w:val="bottom"/>
          </w:tcPr>
          <w:p>
            <w:pPr>
              <w:ind w:left="20"/>
              <w:spacing w:after="0"/>
              <w:rPr>
                <w:sz w:val="20"/>
                <w:szCs w:val="20"/>
                <w:color w:val="auto"/>
              </w:rPr>
            </w:pPr>
            <w:r>
              <w:rPr>
                <w:rFonts w:ascii="Arial" w:cs="Arial" w:eastAsia="Arial" w:hAnsi="Arial"/>
                <w:sz w:val="18"/>
                <w:szCs w:val="18"/>
                <w:color w:val="auto"/>
              </w:rPr>
              <w:t>Net periodic pension and OPEB (income) expense</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(644)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(407)</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125</w:t>
            </w:r>
          </w:p>
        </w:tc>
      </w:tr>
      <w:tr>
        <w:trPr>
          <w:trHeight w:val="20"/>
        </w:trPr>
        <w:tc>
          <w:tcPr>
            <w:tcW w:w="4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color w:val="auto"/>
        </w:rPr>
        <w:t>The non-service cost components of net periodic pension and other postretirement benefits (OPEB) income of $336 million and $232 million in the three months ended June 30, 2020 and 2019 and $674 million and $462 million in the six months ended June 30, 2020 and 2019 are presented in Interest income and other non-operating income, net.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Commitments and Contingencies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Litigation-Related Liability and Tax Administrative Matters </w:t>
      </w:r>
      <w:r>
        <w:rPr>
          <w:rFonts w:ascii="Arial" w:cs="Arial" w:eastAsia="Arial" w:hAnsi="Arial"/>
          <w:sz w:val="18"/>
          <w:szCs w:val="18"/>
          <w:color w:val="auto"/>
        </w:rPr>
        <w:t>In the normal course of our business, we are named from time to time as a defendant in</w:t>
      </w:r>
      <w:r>
        <w:rPr>
          <w:rFonts w:ascii="Arial" w:cs="Arial" w:eastAsia="Arial" w:hAnsi="Arial"/>
          <w:sz w:val="18"/>
          <w:szCs w:val="18"/>
          <w:b w:val="1"/>
          <w:bCs w:val="1"/>
          <w:color w:val="auto"/>
        </w:rPr>
        <w:t xml:space="preserve"> </w:t>
      </w:r>
      <w:r>
        <w:rPr>
          <w:rFonts w:ascii="Arial" w:cs="Arial" w:eastAsia="Arial" w:hAnsi="Arial"/>
          <w:sz w:val="18"/>
          <w:szCs w:val="18"/>
          <w:color w:val="auto"/>
        </w:rPr>
        <w:t>various legal actions, including arbitrations, class actions and other litigation. We identify below the material individual proceedings and investigations where we believe a material loss is reasonably possible or probable. We accrue for matters when we believe that losses are probable and can be reasonably estimated. At June 30, 2020 and December 31, 2019, we had accruals of $1.2 billion and $1.3 billion in Accrued liabilities and Other liabilities. In many matters, it is inherently difficult to determine whether loss is probable or reasonably possible or to estimate the size or range of the possible loss. Accordingly, adverse outcomes from such proceedings could exceed the amounts accrued by an amount that could be material to our results of operations or cash flows in any particular reporting period.</w:t>
      </w:r>
    </w:p>
    <w:p>
      <w:pPr>
        <w:spacing w:after="0" w:line="220"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b w:val="1"/>
          <w:bCs w:val="1"/>
          <w:i w:val="1"/>
          <w:iCs w:val="1"/>
          <w:color w:val="auto"/>
        </w:rPr>
        <w:t xml:space="preserve">Proceedings Related to Ignition Switch Recall and Other Recalls </w:t>
      </w:r>
      <w:r>
        <w:rPr>
          <w:rFonts w:ascii="Arial" w:cs="Arial" w:eastAsia="Arial" w:hAnsi="Arial"/>
          <w:sz w:val="17"/>
          <w:szCs w:val="17"/>
          <w:color w:val="auto"/>
        </w:rPr>
        <w:t>In 2014 we announced various recalls relating to safety and other matters. Those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recalls included recalls to repair ignition switches that could, under certain circumstances, unintentionally move from the “run” position to the “accessory” or “off” position with a corresponding loss of power, which could in turn prevent airbags from deploying in the event of a crash.</w:t>
      </w:r>
    </w:p>
    <w:p>
      <w:pPr>
        <w:spacing w:after="0" w:line="192"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i w:val="1"/>
          <w:iCs w:val="1"/>
          <w:color w:val="auto"/>
        </w:rPr>
        <w:t xml:space="preserve">Appellate Litigation Regarding Successor Liability Ignition Switch Claims </w:t>
      </w:r>
      <w:r>
        <w:rPr>
          <w:rFonts w:ascii="Arial" w:cs="Arial" w:eastAsia="Arial" w:hAnsi="Arial"/>
          <w:sz w:val="18"/>
          <w:szCs w:val="18"/>
          <w:color w:val="auto"/>
        </w:rPr>
        <w:t>In 2016, the U.S. Court of Appeals for the Second Circuit held that the 2009</w:t>
      </w:r>
      <w:r>
        <w:rPr>
          <w:rFonts w:ascii="Arial" w:cs="Arial" w:eastAsia="Arial" w:hAnsi="Arial"/>
          <w:sz w:val="18"/>
          <w:szCs w:val="18"/>
          <w:i w:val="1"/>
          <w:iCs w:val="1"/>
          <w:color w:val="auto"/>
        </w:rPr>
        <w:t xml:space="preserve"> </w:t>
      </w:r>
      <w:r>
        <w:rPr>
          <w:rFonts w:ascii="Arial" w:cs="Arial" w:eastAsia="Arial" w:hAnsi="Arial"/>
          <w:sz w:val="18"/>
          <w:szCs w:val="18"/>
          <w:color w:val="auto"/>
        </w:rPr>
        <w:t>order of the United States Bankruptcy Court for the Southern District of New York (Bankruptcy Court) approving the sale of substantially all of the assets of Motors Liquidation Company (MLC), formerly known as General Motors Corporation, to GM free and clear of, among other things, claims asserting successor liability for obligations owed by MLC could not be enforced to bar claims against GM asserted by either plaintiffs who purchased used vehicles after the sale or against purchasers who asserted claims relating to the ignition switch defect, including pre-sale personal injury claims and economic-loss claims.</w:t>
      </w:r>
    </w:p>
    <w:p>
      <w:pPr>
        <w:spacing w:after="0" w:line="219" w:lineRule="exact"/>
        <w:rPr>
          <w:sz w:val="20"/>
          <w:szCs w:val="20"/>
          <w:color w:val="auto"/>
        </w:rPr>
      </w:pPr>
    </w:p>
    <w:p>
      <w:pPr>
        <w:jc w:val="both"/>
        <w:ind w:right="20" w:firstLine="162"/>
        <w:spacing w:after="0" w:line="263" w:lineRule="auto"/>
        <w:rPr>
          <w:sz w:val="20"/>
          <w:szCs w:val="20"/>
          <w:color w:val="auto"/>
        </w:rPr>
      </w:pPr>
      <w:r>
        <w:rPr>
          <w:rFonts w:ascii="Arial" w:cs="Arial" w:eastAsia="Arial" w:hAnsi="Arial"/>
          <w:sz w:val="18"/>
          <w:szCs w:val="18"/>
          <w:i w:val="1"/>
          <w:iCs w:val="1"/>
          <w:color w:val="auto"/>
        </w:rPr>
        <w:t xml:space="preserve">Economic-Loss Claims </w:t>
      </w:r>
      <w:r>
        <w:rPr>
          <w:rFonts w:ascii="Arial" w:cs="Arial" w:eastAsia="Arial" w:hAnsi="Arial"/>
          <w:sz w:val="18"/>
          <w:szCs w:val="18"/>
          <w:color w:val="auto"/>
        </w:rPr>
        <w:t>We are aware of over 100 putative class actions that were filed against GM in U.S. and Canadian courts alleging that consumers</w:t>
      </w:r>
      <w:r>
        <w:rPr>
          <w:rFonts w:ascii="Arial" w:cs="Arial" w:eastAsia="Arial" w:hAnsi="Arial"/>
          <w:sz w:val="18"/>
          <w:szCs w:val="18"/>
          <w:i w:val="1"/>
          <w:iCs w:val="1"/>
          <w:color w:val="auto"/>
        </w:rPr>
        <w:t xml:space="preserve"> </w:t>
      </w:r>
      <w:r>
        <w:rPr>
          <w:rFonts w:ascii="Arial" w:cs="Arial" w:eastAsia="Arial" w:hAnsi="Arial"/>
          <w:sz w:val="18"/>
          <w:szCs w:val="18"/>
          <w:color w:val="auto"/>
        </w:rPr>
        <w:t>who purchased or leased vehicles manufactured by GM or MLC had been economically harmed by one or more of the 2014 recalls and/or the underlying vehicle conditions associated with those recalls (economic-loss cases).</w:t>
      </w:r>
    </w:p>
    <w:p>
      <w:pPr>
        <w:sectPr>
          <w:pgSz w:w="11900" w:h="16838" w:orient="portrait"/>
          <w:cols w:equalWidth="0" w:num="1">
            <w:col w:w="11240"/>
          </w:cols>
          <w:pgMar w:left="320" w:top="125" w:right="339" w:bottom="1440" w:gutter="0" w:footer="0" w:header="0"/>
        </w:sect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general, these economic-loss cases seek recovery for purported compensatory damages, such as alleged benefit-of-the-bargain damages or damages related to alleged diminution in value of the vehicles, as well as punitive damages, injunctive relief and other relief.</w:t>
      </w:r>
    </w:p>
    <w:p>
      <w:pPr>
        <w:spacing w:after="0" w:line="197"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Many of the pending U.S. economic-loss claims have been transferred to, and consolidated in, a single federal court, the U.S. District Court for the Southern District of New York (Southern District). These plaintiffs have asserted economic-loss claims under federal and state laws, including claims relating to recalled vehicles manufactured by GM and claims asserting successor liability relating to certain recalled vehicles manufactured by MLC.</w:t>
      </w:r>
    </w:p>
    <w:p>
      <w:pPr>
        <w:spacing w:after="0" w:line="192"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In August 2017, the Southern District granted our motion to dismiss the successor liability claims of plaintiffs in seven of the sixteen states at issue on the motion and called for additional briefing to decide whether plaintiffs' claims can proceed in the other nine states. In December 2017, the Southern District granted GM's motion and dismissed the plaintiffs' successor liability claims in an additional state, but found that there are genuine issues of material fact that prevent summary judgment for GM in eight other states. In January 2018, GM moved for reconsideration of certain portions of the Southern District's December 2017 summary judgment ruling. That motion was granted in April 2018, dismissing plaintiffs' successor liability claims in any state where New York law applies.</w:t>
      </w:r>
    </w:p>
    <w:p>
      <w:pPr>
        <w:spacing w:after="0" w:line="219"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In September 2018, the Southern District granted our motion to dismiss claims for lost personal time (in 41 out of 47 jurisdictions) and certain unjust enrichment claims, but denied our motion to dismiss plaintiffs’ economic loss claims in 27 jurisdictions under the "manifest defect" rule.</w:t>
      </w:r>
    </w:p>
    <w:p>
      <w:pPr>
        <w:spacing w:after="0" w:line="173" w:lineRule="exact"/>
        <w:rPr>
          <w:sz w:val="20"/>
          <w:szCs w:val="20"/>
          <w:color w:val="auto"/>
        </w:rPr>
      </w:pPr>
    </w:p>
    <w:p>
      <w:pPr>
        <w:jc w:val="both"/>
        <w:ind w:firstLine="162"/>
        <w:spacing w:after="0" w:line="269" w:lineRule="auto"/>
        <w:rPr>
          <w:sz w:val="20"/>
          <w:szCs w:val="20"/>
          <w:color w:val="auto"/>
        </w:rPr>
      </w:pPr>
      <w:r>
        <w:rPr>
          <w:rFonts w:ascii="Arial" w:cs="Arial" w:eastAsia="Arial" w:hAnsi="Arial"/>
          <w:sz w:val="17"/>
          <w:szCs w:val="17"/>
          <w:color w:val="auto"/>
        </w:rPr>
        <w:t>In August 2019, the Southern District granted our motion for summary judgment on plaintiffs’ economic loss “benefit of the bargain” damage claims (the August 2019 Opinion). The Southern District held that plaintiffs’ conjoint analysis-based damages model failed to establish that plaintiffs suffered difference-in-value damages and without such evidence, plaintiffs’ difference-in-value damage claims fail under the laws of all three bellwether states: California, Missouri and Texas. Later in August 2019, the bellwether plaintiffs filed a motion requesting that the Southern District reconsider its summary judgment decision or allow an interlocutory appeal if reconsideration is denied. In December 2019, the Southern District denied plaintiffs' motion for reconsideration of the August 2019 Opinion, but granted the plaintiffs' motion for certification of an interlocutory appeal. On April 1, 2020, the Second Circuit Court of Appeals (the Second Circuit) granted the bellwether plaintiffs' petition seeking leave to appeal the August 2019 Opinion. On April 15, 2020, the bellwether plaintiffs and GM filed a Stipulation to withdraw the appeal from the Second Circuit based on the class settlement agreement described below. Pursuant to the Stipulation, the bellwether plaintiffs can reinstate the appeal no later than April 2021. The Second Circuit endorsed the Stipulation by order on April 16, 2020.</w:t>
      </w:r>
    </w:p>
    <w:p>
      <w:pPr>
        <w:spacing w:after="0" w:line="212"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color w:val="auto"/>
        </w:rPr>
        <w:t>In September 2019, GM filed an updated motion for summary judgment on plaintiffs’ remaining economic loss claims that were not addressed in the Southern District’s August 2019 Opinion and renewed its evidentiary motion seeking to strike the opinions of plaintiff’s expert on plaintiffs’ alleged “lost time” damages associated with having the recall repairs performed.</w:t>
      </w:r>
    </w:p>
    <w:p>
      <w:pPr>
        <w:spacing w:after="0" w:line="211" w:lineRule="exact"/>
        <w:rPr>
          <w:sz w:val="20"/>
          <w:szCs w:val="20"/>
          <w:color w:val="auto"/>
        </w:rPr>
      </w:pPr>
    </w:p>
    <w:p>
      <w:pPr>
        <w:jc w:val="both"/>
        <w:ind w:firstLine="162"/>
        <w:spacing w:after="0" w:line="270" w:lineRule="auto"/>
        <w:rPr>
          <w:sz w:val="20"/>
          <w:szCs w:val="20"/>
          <w:color w:val="auto"/>
        </w:rPr>
      </w:pPr>
      <w:r>
        <w:rPr>
          <w:rFonts w:ascii="Arial" w:cs="Arial" w:eastAsia="Arial" w:hAnsi="Arial"/>
          <w:sz w:val="17"/>
          <w:szCs w:val="17"/>
          <w:color w:val="auto"/>
        </w:rPr>
        <w:t>In March 2020, GM, plaintiffs and the MLC GUC Trust (GUC Trust) reached a settlement agreement (Class Settlement Agreement) to resolve on a national basis the economic loss claims of the proposed settlement class and proposed sub-classes, consisting of consumers who purchased or leased GM vehicles covered by the seven 2014 safety recalls at issue in the Southern District and the Bankruptcy Court. The proposed Class Settlement Agreement provides a common fund of approximately $120 million for settlement class members, of which GM will fund approximately $70 million and the GUC Trust will fund the remaining $50 million. GM will also pay attorneys’ fees and costs that may be awarded by the Southern District to plaintiffs’ counsel up to a maximum of $35 million. In April 2020, the Avoidance Action Trust (AAT), GM and plaintiffs reached a tentative settlement under which the AAT will pay an insignificant amount and will be added as a settling party to the Class Settlement Agreement. During April and May 2020, the Southern District entered orders granting preliminary approval of the Class Settlement Agreement. The deadline for class members to object to or opt-out of the Class Settlement Agreement is October 2020. The final fairness hearing is set for December 2020.</w:t>
      </w:r>
    </w:p>
    <w:p>
      <w:pPr>
        <w:spacing w:after="0" w:line="208"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i w:val="1"/>
          <w:iCs w:val="1"/>
          <w:color w:val="auto"/>
        </w:rPr>
        <w:t xml:space="preserve">Contingently Issuable Shares </w:t>
      </w:r>
      <w:r>
        <w:rPr>
          <w:rFonts w:ascii="Arial" w:cs="Arial" w:eastAsia="Arial" w:hAnsi="Arial"/>
          <w:sz w:val="17"/>
          <w:szCs w:val="17"/>
          <w:color w:val="auto"/>
        </w:rPr>
        <w:t>Under the Amended and Restated Master Sale and Purchase Agreement between GM and MLC, GM was obligated to issue</w:t>
      </w:r>
      <w:r>
        <w:rPr>
          <w:rFonts w:ascii="Arial" w:cs="Arial" w:eastAsia="Arial" w:hAnsi="Arial"/>
          <w:sz w:val="17"/>
          <w:szCs w:val="17"/>
          <w:i w:val="1"/>
          <w:iCs w:val="1"/>
          <w:color w:val="auto"/>
        </w:rPr>
        <w:t xml:space="preserve"> </w:t>
      </w:r>
      <w:r>
        <w:rPr>
          <w:rFonts w:ascii="Arial" w:cs="Arial" w:eastAsia="Arial" w:hAnsi="Arial"/>
          <w:sz w:val="17"/>
          <w:szCs w:val="17"/>
          <w:color w:val="auto"/>
        </w:rPr>
        <w:t>additional shares (Adjustment Shares) of our common stock if allowed general unsecured claims against the GUC Trust, as estimated by the Bankruptcy Court, exceed $35.0 billion. In March 2020, in conjunction with the Class Settlement Agreement, the GUC Trust filed a motion in the Bankruptcy Court seeking approval to enter into and take actions necessary to execute the Class Settlement Agreement, and seeking Bankruptcy Court authorization permitting the GUC Trust to distribute $300 million of GUC Trust assets to its unitholders and entry into a mutual release agreement with GM that would release GM from any and all claims, including any that would require GM to issue any Adjustment Shares. Bankruptcy</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Court approval of the GUC Trust motion is a condition precedent to preliminary approval of the Class Settlement Agreement by the Southern District. In April 2020, the Bankruptcy Court entered an order approving the GUC Trust's motion in its entirety. In May 2020, the approval and the mutual release agreement became binding and enforceable and GM was fully released from its potential Adjustment Shares obligation.</w:t>
      </w:r>
    </w:p>
    <w:p>
      <w:pPr>
        <w:spacing w:after="0" w:line="211" w:lineRule="exact"/>
        <w:rPr>
          <w:sz w:val="20"/>
          <w:szCs w:val="20"/>
          <w:color w:val="auto"/>
        </w:rPr>
      </w:pPr>
    </w:p>
    <w:p>
      <w:pPr>
        <w:jc w:val="both"/>
        <w:ind w:firstLine="162"/>
        <w:spacing w:after="0" w:line="301" w:lineRule="auto"/>
        <w:rPr>
          <w:sz w:val="20"/>
          <w:szCs w:val="20"/>
          <w:color w:val="auto"/>
        </w:rPr>
      </w:pPr>
      <w:r>
        <w:rPr>
          <w:rFonts w:ascii="Arial" w:cs="Arial" w:eastAsia="Arial" w:hAnsi="Arial"/>
          <w:sz w:val="16"/>
          <w:szCs w:val="16"/>
          <w:i w:val="1"/>
          <w:iCs w:val="1"/>
          <w:color w:val="auto"/>
        </w:rPr>
        <w:t xml:space="preserve">Personal Injury Claims </w:t>
      </w:r>
      <w:r>
        <w:rPr>
          <w:rFonts w:ascii="Arial" w:cs="Arial" w:eastAsia="Arial" w:hAnsi="Arial"/>
          <w:sz w:val="16"/>
          <w:szCs w:val="16"/>
          <w:color w:val="auto"/>
        </w:rPr>
        <w:t>We also are aware of several hundred actions pending in various courts in the U.S. and Canada alleging injury or death as a result</w:t>
      </w:r>
      <w:r>
        <w:rPr>
          <w:rFonts w:ascii="Arial" w:cs="Arial" w:eastAsia="Arial" w:hAnsi="Arial"/>
          <w:sz w:val="16"/>
          <w:szCs w:val="16"/>
          <w:i w:val="1"/>
          <w:iCs w:val="1"/>
          <w:color w:val="auto"/>
        </w:rPr>
        <w:t xml:space="preserve"> </w:t>
      </w:r>
      <w:r>
        <w:rPr>
          <w:rFonts w:ascii="Arial" w:cs="Arial" w:eastAsia="Arial" w:hAnsi="Arial"/>
          <w:sz w:val="16"/>
          <w:szCs w:val="16"/>
          <w:color w:val="auto"/>
        </w:rPr>
        <w:t>of defects that may be the subject of the 2014 recalls (personal injury cases). In general, these cases seek recovery for purported compensatory damages, punitive damages and/or other relief. Since 2016, several bellwether trials of personal injury cases have taken place in the Southern District and in a Texas state court, which is administering a Texas state multi-district litigation. None of these trials resulted in a finding of liability against GM.</w:t>
      </w:r>
    </w:p>
    <w:p>
      <w:pPr>
        <w:spacing w:after="0" w:line="184"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i w:val="1"/>
          <w:iCs w:val="1"/>
          <w:color w:val="auto"/>
        </w:rPr>
        <w:t xml:space="preserve">Government Matters </w:t>
      </w:r>
      <w:r>
        <w:rPr>
          <w:rFonts w:ascii="Arial" w:cs="Arial" w:eastAsia="Arial" w:hAnsi="Arial"/>
          <w:sz w:val="18"/>
          <w:szCs w:val="18"/>
          <w:color w:val="auto"/>
        </w:rPr>
        <w:t>In connection with the 2014 recalls, we have from time to time received subpoenas and other requests for information 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investigations by agencies or other representatives of U.S. federal, state and the Canadian governments. GM is cooperating with all reasonable pending requests for information. Any existing governmental matters or investigations could in the future result in the imposition of damages, fines, civil consent orders, civil and criminal penalties or other remedies.</w:t>
      </w:r>
    </w:p>
    <w:p>
      <w:pPr>
        <w:spacing w:after="0" w:line="214"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The total amount accrued for the 2014 recalls at June 30, 2020 reflects amounts for a combination of settled but unpaid matters, and for the remaining unsettled investigations, claims and/or lawsuits relating to the ignition switch recalls and other related recalls to the extent that such matters are probable and can be reasonably estimated. The amounts accrued for those unsettled investigations, claims, and/or lawsuits represent a combination of our best single point estimates where determinable and, where no such single point estimate is determinable, our estimate of the low end of the range of probable loss with regard to such matters, if that is determinable. We will continue to consider resolution of pending matters involving ignition switch recalls and other recalls where it makes sense to do so.</w:t>
      </w:r>
    </w:p>
    <w:p>
      <w:pPr>
        <w:spacing w:after="0" w:line="219" w:lineRule="exact"/>
        <w:rPr>
          <w:sz w:val="20"/>
          <w:szCs w:val="20"/>
          <w:color w:val="auto"/>
        </w:rPr>
      </w:pPr>
    </w:p>
    <w:p>
      <w:pPr>
        <w:jc w:val="both"/>
        <w:ind w:firstLine="162"/>
        <w:spacing w:after="0" w:line="253" w:lineRule="auto"/>
        <w:rPr>
          <w:sz w:val="20"/>
          <w:szCs w:val="20"/>
          <w:color w:val="auto"/>
        </w:rPr>
      </w:pPr>
      <w:r>
        <w:rPr>
          <w:rFonts w:ascii="Arial" w:cs="Arial" w:eastAsia="Arial" w:hAnsi="Arial"/>
          <w:sz w:val="17"/>
          <w:szCs w:val="17"/>
          <w:b w:val="1"/>
          <w:bCs w:val="1"/>
          <w:i w:val="1"/>
          <w:iCs w:val="1"/>
          <w:color w:val="auto"/>
        </w:rPr>
        <w:t xml:space="preserve">GM Korea Wage Litigation </w:t>
      </w:r>
      <w:r>
        <w:rPr>
          <w:rFonts w:ascii="Arial" w:cs="Arial" w:eastAsia="Arial" w:hAnsi="Arial"/>
          <w:sz w:val="17"/>
          <w:szCs w:val="17"/>
          <w:color w:val="auto"/>
        </w:rPr>
        <w:t>GM Korea is party to litigation with current and former hourly employees in the appellate court and Incheon District Court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Incheon, Korea. The group actions, which in the aggregate involve more than 10,000 employees, allege that GM Korea failed to include bonuses and certain allowances in its calculation of Ordinary Wages due under Korean regulations. In 2012, the Seoul High Court (an intermediate-level appellate court) affirmed a decision in one of these group actions involving five GM Korea employees which was contrary to GM Korea's position. GM Korea appealed to the Supreme Court of the Republic of Korea (Korean Supreme Court). In 2014, the Korean Supreme Court largely agreed with GM’s legal arguments and remanded the case to the Seoul High Court for consideration consistent with earlier Korean Supreme Court precedent holding that while fixed bonuses should be included in the calculation of Ordinary Wages, claims for retroactive application of this rule would be barred under certain circumstances. In 2015, on reconsideration, the Seoul High Court held in GM Korea’s favor, after which the plaintiffs appealed to the Korean Supreme Court. In July 2020, the Korean Supreme Court held in GM Korea's favor. In light of this decision, we believe the probability that we will incur a material loss is remote and we estimate our loss in excess of amounts accrued is insignificant at June 30, 2020.</w:t>
      </w:r>
    </w:p>
    <w:p>
      <w:pPr>
        <w:spacing w:after="0" w:line="207"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GM Korea is also party to litigation with current and former salaried employees over allegations relating to Ordinary Wages regulation and whether to include fixed bonuses in the calculation of Ordinary Wages. In 2017, the Seoul High Court held that certain workers are not barred from filing retroactive wage claims. GM Korea appealed this ruling to the Korean Supreme Court. The Korean Supreme Court has not yet rendered a decision. We estimate our reasonably possible loss in excess of amounts accrued to be approximately $170 million at June 30, 2020. Both the scope of claims asserted and GM Korea's assessment of any or all of the individual claim elements may change if new information becomes available or the legal or regulatory frameworks change.</w:t>
      </w:r>
    </w:p>
    <w:p>
      <w:pPr>
        <w:spacing w:after="0" w:line="219" w:lineRule="exact"/>
        <w:rPr>
          <w:sz w:val="20"/>
          <w:szCs w:val="20"/>
          <w:color w:val="auto"/>
        </w:rPr>
      </w:pPr>
    </w:p>
    <w:p>
      <w:pPr>
        <w:jc w:val="both"/>
        <w:ind w:firstLine="162"/>
        <w:spacing w:after="0" w:line="254" w:lineRule="auto"/>
        <w:rPr>
          <w:sz w:val="20"/>
          <w:szCs w:val="20"/>
          <w:color w:val="auto"/>
        </w:rPr>
      </w:pPr>
      <w:r>
        <w:rPr>
          <w:rFonts w:ascii="Arial" w:cs="Arial" w:eastAsia="Arial" w:hAnsi="Arial"/>
          <w:sz w:val="18"/>
          <w:szCs w:val="18"/>
          <w:color w:val="auto"/>
        </w:rPr>
        <w:t>GM Korea is also party to litigation with current and former subcontract workers over allegations that they are entitled to the same wages and benefits provided to full-time employees, and to be hired as full-time employees. In May 2018, the Korean labor authorities issued an adverse administrative order finding that GM Korea must hire certain current subcontract workers as full-time employees. GM Korea appealed that order, and in June 2020, the Seoul High Court ruled against GM Korea. GM Korea has appealed this decision to the Korean Supreme Court. At June 30, 2020, our accrual covering certain asserted claims and claims that we believe are probable of assertion and for which liability is probable was approximately $190 million. We estimate the reasonably possible loss in excess of amounts accrued for other current subcontract workers who may assert similar claims to be approximately $110 million at June 30, 2020. We are currently unable to estimate any possible loss or range of loss that may result from additional claims that may be asserted by former subcontract workers.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7" w:lineRule="exact"/>
        <w:rPr>
          <w:sz w:val="20"/>
          <w:szCs w:val="20"/>
          <w:color w:val="auto"/>
        </w:rPr>
      </w:pPr>
    </w:p>
    <w:p>
      <w:pPr>
        <w:jc w:val="both"/>
        <w:ind w:firstLine="162"/>
        <w:spacing w:after="0" w:line="254" w:lineRule="auto"/>
        <w:rPr>
          <w:sz w:val="20"/>
          <w:szCs w:val="20"/>
          <w:color w:val="auto"/>
        </w:rPr>
      </w:pPr>
      <w:r>
        <w:rPr>
          <w:rFonts w:ascii="Arial" w:cs="Arial" w:eastAsia="Arial" w:hAnsi="Arial"/>
          <w:sz w:val="17"/>
          <w:szCs w:val="17"/>
          <w:b w:val="1"/>
          <w:bCs w:val="1"/>
          <w:i w:val="1"/>
          <w:iCs w:val="1"/>
          <w:color w:val="auto"/>
        </w:rPr>
        <w:t xml:space="preserve">GM Brazil Indirect Tax Claim </w:t>
      </w:r>
      <w:r>
        <w:rPr>
          <w:rFonts w:ascii="Arial" w:cs="Arial" w:eastAsia="Arial" w:hAnsi="Arial"/>
          <w:sz w:val="17"/>
          <w:szCs w:val="17"/>
          <w:color w:val="auto"/>
        </w:rPr>
        <w:t>In 2019, the Superior Court of Brazil rendered favorable decisions on three cases brought by GM Brazil challenging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whether a certain state value-added tax should be included in the calculation of federal gross receipts taxes. Those decisions granted the Company the right to recover, through offset of federal tax liabilities, certain amounts collected by the government between August 2001 and February 2017. As a result, GM Brazil recorded pre-tax recoveries of $380 million and $1.2 billion in Automotive and other cost of sales in the three and six months ended June 30, 2019. We recorded a total of $1.4 billion in pre-tax recoveries in Automotive and other cost of sales in the year ended December 31, 2019. Realization of these recoveries depends on the timing of administrative approvals and generation of federal tax liabilities eligible for offset. The Brazilian IRS has filed a Motion of Clarification on this matter with the Brazilian Supreme Court, which motion is awaiting decision as of the time of this disclosure. In addition, we expect third parties to make claims on some or all of the pre-tax recoveries, against which GM intends to defend.</w:t>
      </w:r>
    </w:p>
    <w:p>
      <w:pPr>
        <w:spacing w:after="0" w:line="208" w:lineRule="exact"/>
        <w:rPr>
          <w:sz w:val="20"/>
          <w:szCs w:val="20"/>
          <w:color w:val="auto"/>
        </w:rPr>
      </w:pPr>
    </w:p>
    <w:p>
      <w:pPr>
        <w:jc w:val="both"/>
        <w:ind w:firstLine="162"/>
        <w:spacing w:after="0" w:line="254" w:lineRule="auto"/>
        <w:rPr>
          <w:sz w:val="20"/>
          <w:szCs w:val="20"/>
          <w:color w:val="auto"/>
        </w:rPr>
      </w:pPr>
      <w:r>
        <w:rPr>
          <w:rFonts w:ascii="Arial" w:cs="Arial" w:eastAsia="Arial" w:hAnsi="Arial"/>
          <w:sz w:val="18"/>
          <w:szCs w:val="18"/>
          <w:b w:val="1"/>
          <w:bCs w:val="1"/>
          <w:i w:val="1"/>
          <w:iCs w:val="1"/>
          <w:color w:val="auto"/>
        </w:rPr>
        <w:t xml:space="preserve">Other Litigation-Related Liability and Tax Administrative Matters </w:t>
      </w:r>
      <w:r>
        <w:rPr>
          <w:rFonts w:ascii="Arial" w:cs="Arial" w:eastAsia="Arial" w:hAnsi="Arial"/>
          <w:sz w:val="18"/>
          <w:szCs w:val="18"/>
          <w:color w:val="auto"/>
        </w:rPr>
        <w:t>Various other legal actions, including class actions, governmental investigations,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claims and proceedings are pending against us or our related companies or joint ventures, including matters arising out of alleged product defects; employment-related matters; product and workplace safety, vehicle emissions and fuel economy regulations; product warranties; financial services; dealer, supplier and other contractual relationships; government regulations relating to competition issues; tax-related matters not subject to the provision of Accounting Standards Codification 740, Income Taxes (indirect tax-related matters); product design, manufacture and performance; consumer protection laws; and environmental protection laws, including laws regulating air emissions, water discharges, waste management and environmental remediation from stationary sources.</w:t>
      </w:r>
    </w:p>
    <w:p>
      <w:pPr>
        <w:spacing w:after="0" w:line="222" w:lineRule="exact"/>
        <w:rPr>
          <w:sz w:val="20"/>
          <w:szCs w:val="20"/>
          <w:color w:val="auto"/>
        </w:rPr>
      </w:pPr>
    </w:p>
    <w:p>
      <w:pPr>
        <w:jc w:val="both"/>
        <w:ind w:firstLine="162"/>
        <w:spacing w:after="0" w:line="275" w:lineRule="auto"/>
        <w:rPr>
          <w:sz w:val="20"/>
          <w:szCs w:val="20"/>
          <w:color w:val="auto"/>
        </w:rPr>
      </w:pPr>
      <w:r>
        <w:rPr>
          <w:rFonts w:ascii="Arial" w:cs="Arial" w:eastAsia="Arial" w:hAnsi="Arial"/>
          <w:sz w:val="17"/>
          <w:szCs w:val="17"/>
          <w:color w:val="auto"/>
        </w:rPr>
        <w:t>There are several putative class actions pending against GM in federal courts in the U.S., in the Provincial Courts in Canada and in Israel alleging that various vehicles sold, including model year 2011-2016 Duramax Diesel Chevrolet Silverado and GMC Sierra vehicles, violate federal, state and foreign emission standards. We are unable to estimate any reasonably possible loss or range of loss that may result from these actions. GM has also faced a series of additional lawsuits in the U.S. based on these allegations, including putative shareholder class actions claiming violations of federal securities law and a shareholder demand lawsuit. The securities lawsuits have been voluntarily dismissed by the plaintiffs in those actions.</w:t>
      </w:r>
    </w:p>
    <w:p>
      <w:pPr>
        <w:spacing w:after="0" w:line="203"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believe that appropriate accruals have been established for losses that are probable and can be reasonably estimated. It is possible that the resolution of one or more of these matters could exceed the amounts accrued in an amount that could be material to our results of operations. We also from time to time receive subpoenas and other inquiries or requests for information from agencies or other representatives of U.S. federal, state and foreign governments on a variety of issues.</w:t>
      </w:r>
    </w:p>
    <w:p>
      <w:pPr>
        <w:spacing w:after="0" w:line="214" w:lineRule="exact"/>
        <w:rPr>
          <w:sz w:val="20"/>
          <w:szCs w:val="20"/>
          <w:color w:val="auto"/>
        </w:rPr>
      </w:pPr>
    </w:p>
    <w:p>
      <w:pPr>
        <w:jc w:val="both"/>
        <w:ind w:firstLine="162"/>
        <w:spacing w:after="0" w:line="291" w:lineRule="auto"/>
        <w:rPr>
          <w:sz w:val="20"/>
          <w:szCs w:val="20"/>
          <w:color w:val="auto"/>
        </w:rPr>
      </w:pPr>
      <w:r>
        <w:rPr>
          <w:rFonts w:ascii="Arial" w:cs="Arial" w:eastAsia="Arial" w:hAnsi="Arial"/>
          <w:sz w:val="16"/>
          <w:szCs w:val="16"/>
          <w:color w:val="auto"/>
        </w:rPr>
        <w:t>Indirect tax-related matters are being litigated globally pertaining to value added taxes, customs, duties, sales, property taxes and other non-income tax related tax exposures. The various non-U.S. labor-related matters include claims from current and former employees related to alleged unpaid wage, benefit, severance and other compensation matters. Certain administrative proceedings are indirect tax-related and may require that we deposit funds in escrow or provide an alternative form of security. Some of the matters may involve compensatory, punitive or other treble damage claims, environmental remediation programs or sanctions that, if granted, could require us to pay damages or make other expenditures in amounts that could not be reasonably estimated at June 30, 2020. We believe that appropriate accruals have been established for losses that are probable and can be reasonably estimated. For indirect tax-related matters we estimate our reasonably possible loss in excess of amounts accrued to be up to approximately $700 million at June 30, 2020.</w:t>
      </w:r>
    </w:p>
    <w:p>
      <w:pPr>
        <w:spacing w:after="0" w:line="18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Takata Matters </w:t>
      </w:r>
      <w:r>
        <w:rPr>
          <w:rFonts w:ascii="Arial" w:cs="Arial" w:eastAsia="Arial" w:hAnsi="Arial"/>
          <w:sz w:val="18"/>
          <w:szCs w:val="18"/>
          <w:color w:val="auto"/>
        </w:rPr>
        <w:t>In May 2016, the National Highway Traffic Safety Administration (NHTSA) issued an amended consent order requiring Takata to file</w:t>
      </w:r>
      <w:r>
        <w:rPr>
          <w:rFonts w:ascii="Arial" w:cs="Arial" w:eastAsia="Arial" w:hAnsi="Arial"/>
          <w:sz w:val="18"/>
          <w:szCs w:val="18"/>
          <w:b w:val="1"/>
          <w:bCs w:val="1"/>
          <w:color w:val="auto"/>
        </w:rPr>
        <w:t xml:space="preserve"> </w:t>
      </w:r>
      <w:r>
        <w:rPr>
          <w:rFonts w:ascii="Arial" w:cs="Arial" w:eastAsia="Arial" w:hAnsi="Arial"/>
          <w:sz w:val="18"/>
          <w:szCs w:val="18"/>
          <w:color w:val="auto"/>
        </w:rPr>
        <w:t>defect information reports (DIRs) for previously unrecalled front airbag inflators that contain phased-stabilized ammonium nitrate-based propellant without a moisture absorbing desiccant on a multi-year, risk-based schedule through 2019 impacting tens of millions of vehicles produced by numerous automotive manufacturers. NHTSA concluded that the likely root cause of the rupturing of the airbag inflators is a function of time, temperature cycling and environmental moisture.</w:t>
      </w:r>
    </w:p>
    <w:p>
      <w:pPr>
        <w:spacing w:after="0" w:line="214"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Although we do not believe there is a safety defect at this time in any unrecalled GM vehicles within scope of the Takata DIRs, in cooperation with NHTSA we have filed Preliminary DIRs covering certain of our GMT900 vehicles, which are full-size pickup trucks and sport utility vehicles (SUVs). We have also filed petitions for inconsequentiality with respect to the vehicles subject to those Preliminary DIRs. NHTSA has consolidated our petitions and will rule on them at the same time.</w:t>
      </w:r>
    </w:p>
    <w:p>
      <w:pPr>
        <w:spacing w:after="0" w:line="214"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color w:val="auto"/>
        </w:rPr>
        <w:t>While these petitions have been pending, we have provided NHTSA with the results of our long-term studies and the studies performed by third-party experts, all of which form the basis for our determination that the inflators in these vehicles do not present an unreasonable risk to safety and that no repair should ultimately be required.</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7" w:lineRule="exact"/>
        <w:rPr>
          <w:sz w:val="20"/>
          <w:szCs w:val="20"/>
          <w:color w:val="auto"/>
        </w:rPr>
      </w:pPr>
    </w:p>
    <w:p>
      <w:pPr>
        <w:jc w:val="both"/>
        <w:ind w:right="20" w:firstLine="162"/>
        <w:spacing w:after="0" w:line="263" w:lineRule="auto"/>
        <w:rPr>
          <w:sz w:val="20"/>
          <w:szCs w:val="20"/>
          <w:color w:val="auto"/>
        </w:rPr>
      </w:pPr>
      <w:r>
        <w:rPr>
          <w:rFonts w:ascii="Arial" w:cs="Arial" w:eastAsia="Arial" w:hAnsi="Arial"/>
          <w:sz w:val="18"/>
          <w:szCs w:val="18"/>
          <w:color w:val="auto"/>
        </w:rPr>
        <w:t>Accordingly, no warranty provision has been made for any repair associated with our vehicles subject to the Preliminary DIRs and amended consent order. However, in the event we are ultimately obligated to repair the vehicles subject to current or future Takata DIRs under the amended consent order in the U.S., we estimate a reasonably possible impact to GM of approximately $1.2 billion.</w:t>
      </w:r>
    </w:p>
    <w:p>
      <w:pPr>
        <w:spacing w:after="0" w:line="184"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GM has recalled certain vehicles sold outside of the U.S. to replace Takata inflators in those vehicles. There are significant differences in vehicle and inflator design between the relevant vehicles sold internationally and those sold in the U.S. We continue to gather and analyze evidence about these inflators and to share our findings with regulators. Additional recalls, if any, could be material to our results of operations and cash flows. We continue to monitor the international situation.</w:t>
      </w:r>
    </w:p>
    <w:p>
      <w:pPr>
        <w:spacing w:after="0" w:line="187" w:lineRule="exact"/>
        <w:rPr>
          <w:sz w:val="20"/>
          <w:szCs w:val="20"/>
          <w:color w:val="auto"/>
        </w:rPr>
      </w:pPr>
    </w:p>
    <w:p>
      <w:pPr>
        <w:jc w:val="both"/>
        <w:ind w:right="20" w:firstLine="162"/>
        <w:spacing w:after="0" w:line="311" w:lineRule="auto"/>
        <w:rPr>
          <w:sz w:val="20"/>
          <w:szCs w:val="20"/>
          <w:color w:val="auto"/>
        </w:rPr>
      </w:pPr>
      <w:r>
        <w:rPr>
          <w:rFonts w:ascii="Arial" w:cs="Arial" w:eastAsia="Arial" w:hAnsi="Arial"/>
          <w:sz w:val="16"/>
          <w:szCs w:val="16"/>
          <w:color w:val="auto"/>
        </w:rPr>
        <w:t>There are several putative class actions that have been filed against GM, including in the federal courts in the U.S., in the Provincial Courts in Canada, and in Mexico and Israel, arising out of allegations that airbag inflators manufactured by Takata are defective. At this early stage of these proceedings, we are unable to provide an evaluation of the likelihood that a loss will be incurred or an estimate of the amounts or range of possible loss.</w:t>
      </w:r>
    </w:p>
    <w:p>
      <w:pPr>
        <w:spacing w:after="0" w:line="17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Opel/Vauxhall Sale </w:t>
      </w:r>
      <w:r>
        <w:rPr>
          <w:rFonts w:ascii="Arial" w:cs="Arial" w:eastAsia="Arial" w:hAnsi="Arial"/>
          <w:sz w:val="17"/>
          <w:szCs w:val="17"/>
          <w:color w:val="auto"/>
        </w:rPr>
        <w:t>In 2017 we sold the Opel and Vauxhall businesses and certain other assets in Europe (the Opel/Vauxhall Business) to PSA Group. We</w:t>
      </w:r>
      <w:r>
        <w:rPr>
          <w:rFonts w:ascii="Arial" w:cs="Arial" w:eastAsia="Arial" w:hAnsi="Arial"/>
          <w:sz w:val="17"/>
          <w:szCs w:val="17"/>
          <w:b w:val="1"/>
          <w:bCs w:val="1"/>
          <w:color w:val="auto"/>
        </w:rPr>
        <w:t xml:space="preserve"> </w:t>
      </w:r>
      <w:r>
        <w:rPr>
          <w:rFonts w:ascii="Arial" w:cs="Arial" w:eastAsia="Arial" w:hAnsi="Arial"/>
          <w:sz w:val="17"/>
          <w:szCs w:val="17"/>
          <w:color w:val="auto"/>
        </w:rPr>
        <w:t>also sold the European financing subsidiaries and branches (the Fincos, and together with the Opel/Vauxhall Business, the European Business) to Banque PSA Finance S.A. and BNP Paribas Personal Finance S.A. Our wholly owned subsidiary (the Seller) agreed to indemnify PSA Group for certain losses resulting from any inaccuracy of the representations and warranties or breaches of our covenants included in the Master Agreement (the Agreement) and for certain other liabilities, including certain emissions and product liabilities. The Company entered into a guarantee for the benefit of PSA Group and pursuant to which the Company agreed to guarantee the Seller's obligation to indemnify PSA Group. Certain of these indemnification obligations are subject to time limitations, thresholds and/or caps as to the amount of required payments.</w:t>
      </w:r>
    </w:p>
    <w:p>
      <w:pPr>
        <w:spacing w:after="0" w:line="203" w:lineRule="exact"/>
        <w:rPr>
          <w:sz w:val="20"/>
          <w:szCs w:val="20"/>
          <w:color w:val="auto"/>
        </w:rPr>
      </w:pPr>
    </w:p>
    <w:p>
      <w:pPr>
        <w:jc w:val="both"/>
        <w:ind w:firstLine="162"/>
        <w:spacing w:after="0" w:line="271" w:lineRule="auto"/>
        <w:rPr>
          <w:sz w:val="20"/>
          <w:szCs w:val="20"/>
          <w:color w:val="auto"/>
        </w:rPr>
      </w:pPr>
      <w:r>
        <w:rPr>
          <w:rFonts w:ascii="Arial" w:cs="Arial" w:eastAsia="Arial" w:hAnsi="Arial"/>
          <w:sz w:val="17"/>
          <w:szCs w:val="17"/>
          <w:color w:val="auto"/>
        </w:rPr>
        <w:t>Although the sale reduced our new vehicle presence in Europe, we may still be impacted by actions taken by regulators related to vehicles sold before the sale. In Germany, the Kraftfahrt-Bundesamt (KBA) issued an order in November 2019, which converted a voluntary recall initiated by Opel in 2017 and 2018 into a mandatory recall for allegedly failing to comply with certain emissions regulations. However, because the overwhelming majority of vehicles have already received KBA-approved software calibration updates pursuant to the voluntary recall, the number of vehicles subject to the mandatory recall is insignificant. The Seller may also be obligated to indemnify PSA Group or otherwise absorb costs and expenses resulting from the foregoing as well as certain related potential litigation costs, settlements, judgments and potential fines. In addition, at the KBA's request, the German authorities re-opened a separate criminal investigation related to this matter that had previously been closed with no action. We are unable to estimate any reasonably possible loss or range of loss that may result from this matter.</w:t>
      </w:r>
    </w:p>
    <w:p>
      <w:pPr>
        <w:spacing w:after="0" w:line="205"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 xml:space="preserve">Transactions with PSA </w:t>
      </w:r>
      <w:r>
        <w:rPr>
          <w:rFonts w:ascii="Arial" w:cs="Arial" w:eastAsia="Arial" w:hAnsi="Arial"/>
          <w:sz w:val="18"/>
          <w:szCs w:val="18"/>
          <w:color w:val="auto"/>
        </w:rPr>
        <w:t>We continue to purchase from and supply to PSA Group certain vehicles, parts and engineering services for a period of time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following the sale. The following table summarizes transactions with the Opel/Vauxhall Business: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736"/>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834"/>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5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 2020</w:t>
            </w:r>
          </w:p>
        </w:tc>
        <w:tc>
          <w:tcPr>
            <w:tcW w:w="200" w:type="dxa"/>
            <w:vAlign w:val="bottom"/>
          </w:tcPr>
          <w:p>
            <w:pPr>
              <w:spacing w:after="0"/>
              <w:rPr>
                <w:sz w:val="17"/>
                <w:szCs w:val="17"/>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2019</w:t>
            </w:r>
          </w:p>
        </w:tc>
        <w:tc>
          <w:tcPr>
            <w:tcW w:w="200" w:type="dxa"/>
            <w:vAlign w:val="bottom"/>
          </w:tcPr>
          <w:p>
            <w:pPr>
              <w:spacing w:after="0"/>
              <w:rPr>
                <w:sz w:val="17"/>
                <w:szCs w:val="17"/>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2020</w:t>
            </w:r>
          </w:p>
        </w:tc>
        <w:tc>
          <w:tcPr>
            <w:tcW w:w="200" w:type="dxa"/>
            <w:vAlign w:val="bottom"/>
          </w:tcPr>
          <w:p>
            <w:pPr>
              <w:spacing w:after="0"/>
              <w:rPr>
                <w:sz w:val="17"/>
                <w:szCs w:val="17"/>
                <w:color w:val="auto"/>
              </w:rPr>
            </w:pPr>
          </w:p>
        </w:tc>
        <w:tc>
          <w:tcPr>
            <w:tcW w:w="1240" w:type="dxa"/>
            <w:vAlign w:val="bottom"/>
          </w:tcPr>
          <w:p>
            <w:pPr>
              <w:jc w:val="right"/>
              <w:ind w:right="214"/>
              <w:spacing w:after="0"/>
              <w:rPr>
                <w:sz w:val="20"/>
                <w:szCs w:val="20"/>
                <w:color w:val="auto"/>
              </w:rPr>
            </w:pPr>
            <w:r>
              <w:rPr>
                <w:rFonts w:ascii="Arial" w:cs="Arial" w:eastAsia="Arial" w:hAnsi="Arial"/>
                <w:sz w:val="14"/>
                <w:szCs w:val="14"/>
                <w:b w:val="1"/>
                <w:bCs w:val="1"/>
                <w:color w:val="auto"/>
              </w:rPr>
              <w:t>June 30, 2019</w:t>
            </w:r>
          </w:p>
        </w:tc>
      </w:tr>
      <w:tr>
        <w:trPr>
          <w:trHeight w:val="250"/>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 and revenue(a)</w:t>
            </w: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441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868</w:t>
            </w: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Purchases and expenses(a)</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59"/>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56"/>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56"/>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74"/>
              <w:spacing w:after="0"/>
              <w:rPr>
                <w:sz w:val="20"/>
                <w:szCs w:val="20"/>
                <w:color w:val="auto"/>
              </w:rPr>
            </w:pPr>
            <w:r>
              <w:rPr>
                <w:rFonts w:ascii="Arial" w:cs="Arial" w:eastAsia="Arial" w:hAnsi="Arial"/>
                <w:sz w:val="18"/>
                <w:szCs w:val="18"/>
                <w:color w:val="auto"/>
              </w:rPr>
              <w:t>405</w:t>
            </w:r>
          </w:p>
        </w:tc>
      </w:tr>
      <w:tr>
        <w:trPr>
          <w:trHeight w:val="27"/>
        </w:trPr>
        <w:tc>
          <w:tcPr>
            <w:tcW w:w="5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payments(b)</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458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616</w:t>
            </w: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Cash receipts(b)</w:t>
            </w: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56"/>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74"/>
              <w:spacing w:after="0"/>
              <w:rPr>
                <w:sz w:val="20"/>
                <w:szCs w:val="20"/>
                <w:color w:val="auto"/>
              </w:rPr>
            </w:pPr>
            <w:r>
              <w:rPr>
                <w:rFonts w:ascii="Arial" w:cs="Arial" w:eastAsia="Arial" w:hAnsi="Arial"/>
                <w:sz w:val="18"/>
                <w:szCs w:val="18"/>
                <w:color w:val="auto"/>
              </w:rPr>
              <w:t>1,057</w:t>
            </w:r>
          </w:p>
        </w:tc>
      </w:tr>
    </w:tbl>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9" w:lineRule="exact"/>
        <w:rPr>
          <w:sz w:val="20"/>
          <w:szCs w:val="20"/>
          <w:color w:val="auto"/>
        </w:rPr>
      </w:pPr>
    </w:p>
    <w:p>
      <w:pPr>
        <w:ind w:left="320" w:hanging="312"/>
        <w:spacing w:after="0"/>
        <w:tabs>
          <w:tab w:leader="none" w:pos="3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Included in Net income (loss).</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Included in Net cash provided by (used in) operating activities.</w:t>
      </w:r>
    </w:p>
    <w:p>
      <w:pPr>
        <w:spacing w:after="0" w:line="22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color w:val="auto"/>
        </w:rPr>
        <w:t xml:space="preserve">Product Liability </w:t>
      </w:r>
      <w:r>
        <w:rPr>
          <w:rFonts w:ascii="Arial" w:cs="Arial" w:eastAsia="Arial" w:hAnsi="Arial"/>
          <w:sz w:val="16"/>
          <w:szCs w:val="16"/>
          <w:color w:val="auto"/>
        </w:rPr>
        <w:t>We recorded liabilities of $562 million and $544 million in Accrued liabilities and Other liabilities at June 30, 2020 and December 31,</w:t>
      </w:r>
      <w:r>
        <w:rPr>
          <w:rFonts w:ascii="Arial" w:cs="Arial" w:eastAsia="Arial" w:hAnsi="Arial"/>
          <w:sz w:val="16"/>
          <w:szCs w:val="16"/>
          <w:b w:val="1"/>
          <w:bCs w:val="1"/>
          <w:color w:val="auto"/>
        </w:rPr>
        <w:t xml:space="preserve"> </w:t>
      </w:r>
      <w:r>
        <w:rPr>
          <w:rFonts w:ascii="Arial" w:cs="Arial" w:eastAsia="Arial" w:hAnsi="Arial"/>
          <w:sz w:val="16"/>
          <w:szCs w:val="16"/>
          <w:color w:val="auto"/>
        </w:rPr>
        <w:t>2019 for the expected cost of all known product liability claims, plus an estimate of the expected cost for product liability claims that have already been incurred and are expected to be filed in the future for which we are self-insured. It is reasonably possible that our accruals for product liability claims may increase in future periods in material amounts, although we cannot estimate a reasonable range of incremental loss based on currently available information. Other than claims relating to the ignition switch recalls discussed above, we believe that any judgment against us involving our and MLC products for actual damages will be adequately covered by our recorded accruals and, where applicable, excess liability insurance coverage.</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Guarantees </w:t>
      </w:r>
      <w:r>
        <w:rPr>
          <w:rFonts w:ascii="Arial" w:cs="Arial" w:eastAsia="Arial" w:hAnsi="Arial"/>
          <w:sz w:val="18"/>
          <w:szCs w:val="18"/>
          <w:color w:val="auto"/>
        </w:rPr>
        <w:t>We enter into indemnification agreements for liability claims involving products manufactured primarily by certain joint ventures. These</w:t>
      </w:r>
      <w:r>
        <w:rPr>
          <w:rFonts w:ascii="Arial" w:cs="Arial" w:eastAsia="Arial" w:hAnsi="Arial"/>
          <w:sz w:val="18"/>
          <w:szCs w:val="18"/>
          <w:b w:val="1"/>
          <w:bCs w:val="1"/>
          <w:color w:val="auto"/>
        </w:rPr>
        <w:t xml:space="preserve"> </w:t>
      </w:r>
      <w:r>
        <w:rPr>
          <w:rFonts w:ascii="Arial" w:cs="Arial" w:eastAsia="Arial" w:hAnsi="Arial"/>
          <w:sz w:val="18"/>
          <w:szCs w:val="18"/>
          <w:color w:val="auto"/>
        </w:rPr>
        <w:t>guarantees terminate in years ranging from 2020 to 2025 or upon the occurrence of specific events or are ongoing. We believe that the related potential costs incurred are adequately covered by our recorded accruals, which are insignificant. The maximum future undiscounted payments mainly based on vehicles sold to date were $3.1 billion and $2.6 billion for these guarantees at June 30, 2020 and December 31, 2019, the majority of which relates to the indemnification agreements.</w:t>
      </w:r>
    </w:p>
    <w:p>
      <w:pPr>
        <w:spacing w:after="0" w:line="214"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color w:val="auto"/>
        </w:rPr>
        <w:t>We provide payment guarantees on commercial loans outstanding with third parties such as dealers. In some instances, certain assets of the party or our payables to the party whose debt or performance we have guaranteed may offset, to some degree, the amount of any potential future payments. We are also exposed to residual value guarantees associated with certain sales to rental car companies.</w:t>
      </w:r>
    </w:p>
    <w:p>
      <w:pPr>
        <w:spacing w:after="0" w:line="211" w:lineRule="exact"/>
        <w:rPr>
          <w:sz w:val="20"/>
          <w:szCs w:val="20"/>
          <w:color w:val="auto"/>
        </w:rPr>
      </w:pPr>
    </w:p>
    <w:p>
      <w:pPr>
        <w:jc w:val="both"/>
        <w:ind w:firstLine="162"/>
        <w:spacing w:after="0" w:line="301" w:lineRule="auto"/>
        <w:rPr>
          <w:sz w:val="20"/>
          <w:szCs w:val="20"/>
          <w:color w:val="auto"/>
        </w:rPr>
      </w:pPr>
      <w:r>
        <w:rPr>
          <w:rFonts w:ascii="Arial" w:cs="Arial" w:eastAsia="Arial" w:hAnsi="Arial"/>
          <w:sz w:val="16"/>
          <w:szCs w:val="16"/>
          <w:color w:val="auto"/>
        </w:rPr>
        <w:t>We periodically enter into agreements that incorporate indemnification provisions in the normal course of business. It is not possible to estimate our maximum exposure under these indemnifications or guarantees due to the conditional nature of these obligations. Insignificant amounts have been recorded for such obligations as the majority of them are not probable or estimable at this time and the fair value of the guarantees at issuance was insignificant. Refer to the Opel/Vauxhall Sale section of this note for additional information on our indemnification obligations to PSA Group under the Agreement.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Income Taxes</w:t>
      </w:r>
    </w:p>
    <w:p>
      <w:pPr>
        <w:spacing w:after="0" w:line="121"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For interim income tax reporting, we estimate our annual effective tax rate and apply it to our year-to-date ordinary income (loss). Tax jurisdictions with a projected or year-to-date loss for which a tax benefit cannot be realized are excluded. The tax effects of unusual or infrequently occurring items, including changes in judgment about valuation allowances and effects of changes in tax laws or rates, are reported in the interim period in which they occur. We have open tax years from 2011 to 2019 with various significant tax jurisdictions.</w:t>
      </w:r>
    </w:p>
    <w:p>
      <w:pPr>
        <w:spacing w:after="0" w:line="214"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color w:val="auto"/>
        </w:rPr>
        <w:t>In the three months ended June 30, 2020, Income tax benefit of $112 million was primarily due to tax benefit attributable to entities included in our effective tax rate calculation. In the three months ended June 30, 2019, Income tax expense of $524 million was primarily due to tax expense attributable to entities included in our effective tax rate calculation, partially offset by tax benefits related to tax settlements.</w:t>
      </w:r>
    </w:p>
    <w:p>
      <w:pPr>
        <w:spacing w:after="0" w:line="211"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In the six months ended June 30, 2020, Income tax expense of $245 million on a pre-tax loss was primarily due to tax expense attributable to entities in our effective tax rate calculation and the establishment of a valuation allowance against deferred tax assets. In the six months ended June 30, 2019, Income tax expense of $661 million was primarily due to tax expense attributable to entities included in our effective tax rate calculation, partially offset by tax benefits related to a release of valuation allowance, tax settlements and benefits from foreign dividends.</w:t>
      </w:r>
    </w:p>
    <w:p>
      <w:pPr>
        <w:spacing w:after="0" w:line="198" w:lineRule="exact"/>
        <w:rPr>
          <w:sz w:val="20"/>
          <w:szCs w:val="20"/>
          <w:color w:val="auto"/>
        </w:rPr>
      </w:pPr>
    </w:p>
    <w:p>
      <w:pPr>
        <w:jc w:val="both"/>
        <w:ind w:right="20" w:firstLine="162"/>
        <w:spacing w:after="0" w:line="308" w:lineRule="auto"/>
        <w:rPr>
          <w:sz w:val="20"/>
          <w:szCs w:val="20"/>
          <w:color w:val="auto"/>
        </w:rPr>
      </w:pPr>
      <w:r>
        <w:rPr>
          <w:rFonts w:ascii="Arial" w:cs="Arial" w:eastAsia="Arial" w:hAnsi="Arial"/>
          <w:sz w:val="17"/>
          <w:szCs w:val="17"/>
          <w:color w:val="auto"/>
        </w:rPr>
        <w:t>At June 30, 2020, we had $24.1 billion of net deferred tax assets consisting of net operating losses and income tax credits, capitalized research expenditures and other timing differences that are available to offset future income tax liabilities, partially offset by valuation allowances.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Restructuring and Other Initiatives</w:t>
      </w:r>
    </w:p>
    <w:p>
      <w:pPr>
        <w:spacing w:after="0" w:line="121"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We have executed various restructuring and other initiatives and we may execute additional initiatives in the future, if necessary, to streamline manufacturing capacity and reduce other costs to improve the utilization of remaining facilities. To the extent these programs involve voluntary separations, a liability is generally recorded at the time offers to employees are accepted. To the extent these programs provide separation benefits in accordance with pre-existing agreements, a liability is recorded once the amount is probable and reasonably estimable. If employees are involuntarily terminated, a liability is generally recorded at the communication date. Related charges are recorded in Automotive and other cost of sales and Automotive and other selling, general and administrative expense.</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7"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The following table summarizes the reserves and charges related to restructuring and other initiatives, including postemployment benefit reserves and charges: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73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833"/>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5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 2020</w:t>
            </w:r>
          </w:p>
        </w:tc>
        <w:tc>
          <w:tcPr>
            <w:tcW w:w="200" w:type="dxa"/>
            <w:vAlign w:val="bottom"/>
          </w:tcPr>
          <w:p>
            <w:pPr>
              <w:spacing w:after="0"/>
              <w:rPr>
                <w:sz w:val="17"/>
                <w:szCs w:val="17"/>
                <w:color w:val="auto"/>
              </w:rPr>
            </w:pPr>
          </w:p>
        </w:tc>
        <w:tc>
          <w:tcPr>
            <w:tcW w:w="132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 2019</w:t>
            </w:r>
          </w:p>
        </w:tc>
        <w:tc>
          <w:tcPr>
            <w:tcW w:w="220" w:type="dxa"/>
            <w:vAlign w:val="bottom"/>
          </w:tcPr>
          <w:p>
            <w:pPr>
              <w:spacing w:after="0"/>
              <w:rPr>
                <w:sz w:val="17"/>
                <w:szCs w:val="17"/>
                <w:color w:val="auto"/>
              </w:rPr>
            </w:pPr>
          </w:p>
        </w:tc>
        <w:tc>
          <w:tcPr>
            <w:tcW w:w="132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 2020</w:t>
            </w:r>
          </w:p>
        </w:tc>
        <w:tc>
          <w:tcPr>
            <w:tcW w:w="220" w:type="dxa"/>
            <w:vAlign w:val="bottom"/>
          </w:tcPr>
          <w:p>
            <w:pPr>
              <w:spacing w:after="0"/>
              <w:rPr>
                <w:sz w:val="17"/>
                <w:szCs w:val="17"/>
                <w:color w:val="auto"/>
              </w:rPr>
            </w:pPr>
          </w:p>
        </w:tc>
        <w:tc>
          <w:tcPr>
            <w:tcW w:w="1220" w:type="dxa"/>
            <w:vAlign w:val="bottom"/>
          </w:tcPr>
          <w:p>
            <w:pPr>
              <w:jc w:val="right"/>
              <w:ind w:right="213"/>
              <w:spacing w:after="0"/>
              <w:rPr>
                <w:sz w:val="20"/>
                <w:szCs w:val="20"/>
                <w:color w:val="auto"/>
              </w:rPr>
            </w:pPr>
            <w:r>
              <w:rPr>
                <w:rFonts w:ascii="Arial" w:cs="Arial" w:eastAsia="Arial" w:hAnsi="Arial"/>
                <w:sz w:val="14"/>
                <w:szCs w:val="14"/>
                <w:b w:val="1"/>
                <w:bCs w:val="1"/>
                <w:color w:val="auto"/>
                <w:w w:val="98"/>
              </w:rPr>
              <w:t>June 30, 2019</w:t>
            </w:r>
          </w:p>
        </w:tc>
      </w:tr>
      <w:tr>
        <w:trPr>
          <w:trHeight w:val="249"/>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beginning of period</w:t>
            </w: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583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830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564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1,122</w:t>
            </w: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Additions, interest accretion and other</w:t>
            </w:r>
          </w:p>
        </w:tc>
        <w:tc>
          <w:tcPr>
            <w:tcW w:w="200" w:type="dxa"/>
            <w:vAlign w:val="bottom"/>
          </w:tcPr>
          <w:p>
            <w:pPr>
              <w:spacing w:after="0"/>
              <w:rPr>
                <w:sz w:val="21"/>
                <w:szCs w:val="21"/>
                <w:color w:val="auto"/>
              </w:rPr>
            </w:pPr>
          </w:p>
        </w:tc>
        <w:tc>
          <w:tcPr>
            <w:tcW w:w="1220" w:type="dxa"/>
            <w:vAlign w:val="bottom"/>
          </w:tcPr>
          <w:p>
            <w:pPr>
              <w:jc w:val="right"/>
              <w:ind w:right="55"/>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75"/>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288</w:t>
            </w:r>
          </w:p>
        </w:tc>
      </w:tr>
      <w:tr>
        <w:trPr>
          <w:trHeight w:val="27"/>
        </w:trPr>
        <w:tc>
          <w:tcPr>
            <w:tcW w:w="5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Payments</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(483)</w:t>
            </w: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Revisions to estimates and effect of foreign currency</w:t>
            </w:r>
          </w:p>
        </w:tc>
        <w:tc>
          <w:tcPr>
            <w:tcW w:w="200" w:type="dxa"/>
            <w:vAlign w:val="bottom"/>
          </w:tcPr>
          <w:p>
            <w:pPr>
              <w:spacing w:after="0"/>
              <w:rPr>
                <w:sz w:val="21"/>
                <w:szCs w:val="21"/>
                <w:color w:val="auto"/>
              </w:rPr>
            </w:pPr>
          </w:p>
        </w:tc>
        <w:tc>
          <w:tcPr>
            <w:tcW w:w="1220" w:type="dxa"/>
            <w:vAlign w:val="bottom"/>
          </w:tcPr>
          <w:p>
            <w:pPr>
              <w:jc w:val="right"/>
              <w:ind w:right="55"/>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(8)</w:t>
            </w:r>
          </w:p>
        </w:tc>
      </w:tr>
      <w:tr>
        <w:trPr>
          <w:trHeight w:val="27"/>
        </w:trPr>
        <w:tc>
          <w:tcPr>
            <w:tcW w:w="5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8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end of period</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480</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919</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480</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919</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162"/>
        <w:spacing w:after="0" w:line="269" w:lineRule="auto"/>
        <w:rPr>
          <w:sz w:val="20"/>
          <w:szCs w:val="20"/>
          <w:color w:val="auto"/>
        </w:rPr>
      </w:pPr>
      <w:r>
        <w:rPr>
          <w:rFonts w:ascii="Arial" w:cs="Arial" w:eastAsia="Arial" w:hAnsi="Arial"/>
          <w:sz w:val="17"/>
          <w:szCs w:val="17"/>
          <w:color w:val="auto"/>
        </w:rPr>
        <w:t>In the three and six months ended June 30, 2020, restructuring and other initiatives primarily included actions in GMI related to the wind-down of Holden sales, design and engineering operations in Australia and New Zealand and the execution of binding term sheets to sell our vehicle and powertrain manufacturing facilities in Thailand. We recorded charges of $92 million in the three months ended June 30, 2020, primarily for inventory provisions. We recorded charges of $581 million in the six months ended June 30, 2020, primarily consisting of $335 million in property and intangible asset impairments, inventory provisions, sales allowances and other charges, not reflected in the table above, and $246 million in dealer restructurings and employee separation charges, which are reflected in the table above. We also recorded a $236 million charge to Income tax expense due to the establishment of a valuation allowance against deferred tax assets in Australia and New Zealand in the six months ended June 30, 2020. We incurred $69 million in net cash outflows resulting from these restructuring actions, primarily for sales allowances payments and dealer restructuring payments in the six months ended June 30, 2020. We expect to incur additional restructuring and other charges of approximately $400 million and additional net cash outflows of approximately $200 million, which includes expected proceeds of approximately $130 million from the sale of our manufacturing facility in Thailand, to be substantially complete by the end of 2020.</w:t>
      </w:r>
    </w:p>
    <w:p>
      <w:pPr>
        <w:spacing w:after="0" w:line="209" w:lineRule="exact"/>
        <w:rPr>
          <w:sz w:val="20"/>
          <w:szCs w:val="20"/>
          <w:color w:val="auto"/>
        </w:rPr>
      </w:pPr>
    </w:p>
    <w:p>
      <w:pPr>
        <w:jc w:val="both"/>
        <w:ind w:firstLine="162"/>
        <w:spacing w:after="0" w:line="269" w:lineRule="auto"/>
        <w:rPr>
          <w:sz w:val="20"/>
          <w:szCs w:val="20"/>
          <w:color w:val="auto"/>
        </w:rPr>
      </w:pPr>
      <w:r>
        <w:rPr>
          <w:rFonts w:ascii="Arial" w:cs="Arial" w:eastAsia="Arial" w:hAnsi="Arial"/>
          <w:sz w:val="17"/>
          <w:szCs w:val="17"/>
          <w:color w:val="auto"/>
        </w:rPr>
        <w:t>In the three and six months ended June 30, 2019, restructuring and other initiatives primarily included actions related to our announced transformation activities, which includes the unallocation of products to certain manufacturing facilities and other employee separation programs. We recorded charges of $361 million, primarily in GMNA, in the three months ended June 30, 2019 consisting of $231 million in supplier-related charges, which are reflected in the table above, and $130 million primarily in non-cash accelerated depreciation, not reflected in the table above. We recorded charges of $1.2 billion, primarily in GMNA, in the six months ended June 30, 2019 consisting of $911 million primarily in non-cash accelerated depreciation, not reflected in the table above, and $240 million primarily in supplier-related charges, which are reflected in the table above. These programs had a total cost since inception of $3.1 billion and were complete at December 31, 2019. We incurred $307 million and $487 million in cash outflows resulting from these restructuring actions in the six months ended June 30, 2020 and 2019, primarily for employee separations payments, and $1.4 billion in cash outflows since program inception, primarily for employee separation payments and supplier-related payments. We expect additional cash outflows related to these activities of approximately $100 million to be substantially complete by the end of 2020.</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Stockholders' Equity and Noncontrolling Interests</w:t>
      </w:r>
    </w:p>
    <w:p>
      <w:pPr>
        <w:spacing w:after="0" w:line="121"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We have 2.0 billion shares of preferred stock and 5.0 billion shares of common stock authorized for issuance. We had no shares of preferred stock and 1.4 billion shares of common stock issued and outstanding at June 30, 2020 and December 31, 2019.</w:t>
      </w:r>
    </w:p>
    <w:p>
      <w:pPr>
        <w:spacing w:after="0" w:line="197" w:lineRule="exact"/>
        <w:rPr>
          <w:sz w:val="20"/>
          <w:szCs w:val="20"/>
          <w:color w:val="auto"/>
        </w:rPr>
      </w:pPr>
    </w:p>
    <w:p>
      <w:pPr>
        <w:jc w:val="both"/>
        <w:ind w:firstLine="162"/>
        <w:spacing w:after="0"/>
        <w:rPr>
          <w:sz w:val="20"/>
          <w:szCs w:val="20"/>
          <w:color w:val="auto"/>
        </w:rPr>
      </w:pPr>
      <w:r>
        <w:rPr>
          <w:rFonts w:ascii="Arial" w:cs="Arial" w:eastAsia="Arial" w:hAnsi="Arial"/>
          <w:sz w:val="18"/>
          <w:szCs w:val="18"/>
          <w:b w:val="1"/>
          <w:bCs w:val="1"/>
          <w:i w:val="1"/>
          <w:iCs w:val="1"/>
          <w:color w:val="auto"/>
        </w:rPr>
        <w:t xml:space="preserve">Cruise Preferred Shares </w:t>
      </w:r>
      <w:r>
        <w:rPr>
          <w:rFonts w:ascii="Arial" w:cs="Arial" w:eastAsia="Arial" w:hAnsi="Arial"/>
          <w:sz w:val="18"/>
          <w:szCs w:val="18"/>
          <w:color w:val="auto"/>
        </w:rPr>
        <w:t>In May 2019, GM Cruise Holdings LLC (Cruise Holdings) issued $1.1 billion of Cruise Class F Preferred Shares,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$687 million of Cruise Class F Preferred Shares to General Motors Holdings LLC. In August 2019, an additional insignificant amount of Cruise Class F Preferred Shares were issued to SoftBank Vision Fund (AIV M2), L.P. (The Vision Fund). All proceeds from these issuances are designated exclusively for working capital and general corporate purposes of Cruise. The Cruise Class F Preferred Shares only convert into common stock of Cruise Holdings, at specified exchange ratios, upon occurrence of an initial public offering. The Cruise Class F Preferred Shares are classified as noncontrolling interests in our condensed consolidated financial statements.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significant components of Accumulated other comprehensive loss:</w:t>
      </w:r>
    </w:p>
    <w:p>
      <w:pPr>
        <w:spacing w:after="0" w:line="149" w:lineRule="exact"/>
        <w:rPr>
          <w:sz w:val="20"/>
          <w:szCs w:val="20"/>
          <w:color w:val="auto"/>
        </w:rPr>
      </w:pPr>
    </w:p>
    <w:tbl>
      <w:tblPr>
        <w:tblLayout w:type="fixed"/>
        <w:tblInd w:w="5620" w:type="dxa"/>
        <w:tblCellMar>
          <w:top w:w="0" w:type="dxa"/>
          <w:left w:w="0" w:type="dxa"/>
          <w:bottom w:w="0" w:type="dxa"/>
          <w:right w:w="0" w:type="dxa"/>
        </w:tblCellMar>
      </w:tblPr>
      <w:tr>
        <w:trPr>
          <w:trHeight w:val="192"/>
        </w:trPr>
        <w:tc>
          <w:tcPr>
            <w:tcW w:w="2760" w:type="dxa"/>
            <w:vAlign w:val="bottom"/>
            <w:tcBorders>
              <w:bottom w:val="single" w:sz="8" w:color="auto"/>
            </w:tcBorders>
            <w:gridSpan w:val="2"/>
          </w:tcPr>
          <w:p>
            <w:pPr>
              <w:ind w:left="7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760" w:type="dxa"/>
            <w:vAlign w:val="bottom"/>
            <w:tcBorders>
              <w:bottom w:val="single" w:sz="8" w:color="auto"/>
            </w:tcBorders>
            <w:gridSpan w:val="2"/>
          </w:tcPr>
          <w:p>
            <w:pPr>
              <w:ind w:left="820"/>
              <w:spacing w:after="0"/>
              <w:rPr>
                <w:sz w:val="20"/>
                <w:szCs w:val="20"/>
                <w:color w:val="auto"/>
              </w:rPr>
            </w:pPr>
            <w:r>
              <w:rPr>
                <w:rFonts w:ascii="Arial" w:cs="Arial" w:eastAsia="Arial" w:hAnsi="Arial"/>
                <w:sz w:val="14"/>
                <w:szCs w:val="14"/>
                <w:b w:val="1"/>
                <w:bCs w:val="1"/>
                <w:color w:val="auto"/>
              </w:rPr>
              <w:t>Six Months Ended</w:t>
            </w:r>
          </w:p>
        </w:tc>
      </w:tr>
      <w:tr>
        <w:trPr>
          <w:trHeight w:val="190"/>
        </w:trPr>
        <w:tc>
          <w:tcPr>
            <w:tcW w:w="1380" w:type="dxa"/>
            <w:vAlign w:val="bottom"/>
          </w:tcPr>
          <w:p>
            <w:pPr>
              <w:ind w:left="240"/>
              <w:spacing w:after="0"/>
              <w:rPr>
                <w:sz w:val="20"/>
                <w:szCs w:val="20"/>
                <w:color w:val="auto"/>
              </w:rPr>
            </w:pPr>
            <w:r>
              <w:rPr>
                <w:rFonts w:ascii="Arial" w:cs="Arial" w:eastAsia="Arial" w:hAnsi="Arial"/>
                <w:sz w:val="14"/>
                <w:szCs w:val="14"/>
                <w:b w:val="1"/>
                <w:bCs w:val="1"/>
                <w:color w:val="auto"/>
              </w:rPr>
              <w:t>June 30, 2020</w:t>
            </w:r>
          </w:p>
        </w:tc>
        <w:tc>
          <w:tcPr>
            <w:tcW w:w="1480" w:type="dxa"/>
            <w:vAlign w:val="bottom"/>
            <w:gridSpan w:val="2"/>
          </w:tcPr>
          <w:p>
            <w:pPr>
              <w:ind w:left="300"/>
              <w:spacing w:after="0"/>
              <w:rPr>
                <w:sz w:val="20"/>
                <w:szCs w:val="20"/>
                <w:color w:val="auto"/>
              </w:rPr>
            </w:pPr>
            <w:r>
              <w:rPr>
                <w:rFonts w:ascii="Arial" w:cs="Arial" w:eastAsia="Arial" w:hAnsi="Arial"/>
                <w:sz w:val="14"/>
                <w:szCs w:val="14"/>
                <w:b w:val="1"/>
                <w:bCs w:val="1"/>
                <w:color w:val="auto"/>
              </w:rPr>
              <w:t>June 30, 2019</w:t>
            </w:r>
          </w:p>
        </w:tc>
        <w:tc>
          <w:tcPr>
            <w:tcW w:w="1380" w:type="dxa"/>
            <w:vAlign w:val="bottom"/>
          </w:tcPr>
          <w:p>
            <w:pPr>
              <w:ind w:left="240"/>
              <w:spacing w:after="0"/>
              <w:rPr>
                <w:sz w:val="20"/>
                <w:szCs w:val="20"/>
                <w:color w:val="auto"/>
              </w:rPr>
            </w:pPr>
            <w:r>
              <w:rPr>
                <w:rFonts w:ascii="Arial" w:cs="Arial" w:eastAsia="Arial" w:hAnsi="Arial"/>
                <w:sz w:val="14"/>
                <w:szCs w:val="14"/>
                <w:b w:val="1"/>
                <w:bCs w:val="1"/>
                <w:color w:val="auto"/>
              </w:rPr>
              <w:t>June 30, 2020</w:t>
            </w:r>
          </w:p>
        </w:tc>
        <w:tc>
          <w:tcPr>
            <w:tcW w:w="1380" w:type="dxa"/>
            <w:vAlign w:val="bottom"/>
          </w:tcPr>
          <w:p>
            <w:pPr>
              <w:ind w:left="300"/>
              <w:spacing w:after="0"/>
              <w:rPr>
                <w:sz w:val="20"/>
                <w:szCs w:val="20"/>
                <w:color w:val="auto"/>
              </w:rPr>
            </w:pPr>
            <w:r>
              <w:rPr>
                <w:rFonts w:ascii="Arial" w:cs="Arial" w:eastAsia="Arial" w:hAnsi="Arial"/>
                <w:sz w:val="14"/>
                <w:szCs w:val="14"/>
                <w:b w:val="1"/>
                <w:bCs w:val="1"/>
                <w:color w:val="auto"/>
              </w:rPr>
              <w:t>June 30, 2019</w:t>
            </w:r>
          </w:p>
        </w:tc>
      </w:tr>
    </w:tbl>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Foreign Currency Translation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-127635</wp:posOffset>
            </wp:positionV>
            <wp:extent cx="35661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40" w:lineRule="exact"/>
        <w:rPr>
          <w:sz w:val="20"/>
          <w:szCs w:val="20"/>
          <w:color w:val="auto"/>
        </w:rPr>
      </w:pPr>
    </w:p>
    <w:p>
      <w:pPr>
        <w:ind w:left="20"/>
        <w:spacing w:after="0"/>
        <w:tabs>
          <w:tab w:leader="none" w:pos="5620" w:val="left"/>
        </w:tabs>
        <w:rPr>
          <w:sz w:val="20"/>
          <w:szCs w:val="20"/>
          <w:color w:val="auto"/>
        </w:rPr>
      </w:pPr>
      <w:r>
        <w:rPr>
          <w:rFonts w:ascii="Arial" w:cs="Arial" w:eastAsia="Arial" w:hAnsi="Arial"/>
          <w:sz w:val="18"/>
          <w:szCs w:val="18"/>
          <w:color w:val="auto"/>
        </w:rPr>
        <w:t>Balance at beginning of period</w:t>
      </w:r>
      <w:r>
        <w:rPr>
          <w:sz w:val="20"/>
          <w:szCs w:val="20"/>
          <w:color w:val="auto"/>
        </w:rPr>
        <w:tab/>
      </w:r>
      <w:r>
        <w:rPr>
          <w:rFonts w:ascii="Arial" w:cs="Arial" w:eastAsia="Arial" w:hAnsi="Arial"/>
          <w:sz w:val="17"/>
          <w:szCs w:val="17"/>
          <w:color w:val="auto"/>
        </w:rPr>
        <w:t>$</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comprehensive income (loss) and noncontrolling interests, net of</w:t>
      </w:r>
    </w:p>
    <w:p>
      <w:pPr>
        <w:ind w:left="180"/>
        <w:spacing w:after="0"/>
        <w:rPr>
          <w:sz w:val="20"/>
          <w:szCs w:val="20"/>
          <w:color w:val="auto"/>
        </w:rPr>
      </w:pPr>
      <w:r>
        <w:rPr>
          <w:rFonts w:ascii="Arial" w:cs="Arial" w:eastAsia="Arial" w:hAnsi="Arial"/>
          <w:sz w:val="18"/>
          <w:szCs w:val="18"/>
          <w:color w:val="auto"/>
        </w:rPr>
        <w:t>reclassification adjustment and tax(a)(b)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1974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97485"/>
                    </a:xfrm>
                    <a:prstGeom prst="rect">
                      <a:avLst/>
                    </a:prstGeom>
                    <a:noFill/>
                  </pic:spPr>
                </pic:pic>
              </a:graphicData>
            </a:graphic>
          </wp:anchor>
        </w:drawing>
      </w:r>
    </w:p>
    <w:p>
      <w:pPr>
        <w:spacing w:after="0" w:line="14" w:lineRule="exact"/>
        <w:rPr>
          <w:sz w:val="20"/>
          <w:szCs w:val="20"/>
          <w:color w:val="auto"/>
        </w:rPr>
      </w:pPr>
    </w:p>
    <w:p>
      <w:pPr>
        <w:ind w:left="20"/>
        <w:spacing w:after="0"/>
        <w:tabs>
          <w:tab w:leader="none" w:pos="5620" w:val="left"/>
        </w:tabs>
        <w:rPr>
          <w:sz w:val="20"/>
          <w:szCs w:val="20"/>
          <w:color w:val="auto"/>
        </w:rPr>
      </w:pPr>
      <w:r>
        <w:rPr>
          <w:rFonts w:ascii="Arial" w:cs="Arial" w:eastAsia="Arial" w:hAnsi="Arial"/>
          <w:sz w:val="18"/>
          <w:szCs w:val="18"/>
          <w:color w:val="auto"/>
        </w:rPr>
        <w:t>Balance at end of period</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3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Defined Benefit Plans</w:t>
      </w:r>
    </w:p>
    <w:p>
      <w:pPr>
        <w:spacing w:after="0" w:line="67" w:lineRule="exact"/>
        <w:rPr>
          <w:sz w:val="20"/>
          <w:szCs w:val="20"/>
          <w:color w:val="auto"/>
        </w:rPr>
      </w:pPr>
    </w:p>
    <w:p>
      <w:pPr>
        <w:ind w:left="20"/>
        <w:spacing w:after="0"/>
        <w:tabs>
          <w:tab w:leader="none" w:pos="5620" w:val="left"/>
        </w:tabs>
        <w:rPr>
          <w:sz w:val="20"/>
          <w:szCs w:val="20"/>
          <w:color w:val="auto"/>
        </w:rPr>
      </w:pPr>
      <w:r>
        <w:rPr>
          <w:rFonts w:ascii="Arial" w:cs="Arial" w:eastAsia="Arial" w:hAnsi="Arial"/>
          <w:sz w:val="18"/>
          <w:szCs w:val="18"/>
          <w:color w:val="auto"/>
        </w:rPr>
        <w:t>Balance at beginning of period</w:t>
      </w:r>
      <w:r>
        <w:rPr>
          <w:sz w:val="20"/>
          <w:szCs w:val="20"/>
          <w:color w:val="auto"/>
        </w:rPr>
        <w:tab/>
      </w:r>
      <w:r>
        <w:rPr>
          <w:rFonts w:ascii="Arial" w:cs="Arial" w:eastAsia="Arial" w:hAnsi="Arial"/>
          <w:sz w:val="17"/>
          <w:szCs w:val="17"/>
          <w:color w:val="auto"/>
        </w:rPr>
        <w:t>$</w:t>
      </w:r>
    </w:p>
    <w:p>
      <w:pPr>
        <w:spacing w:after="0" w:line="50" w:lineRule="exact"/>
        <w:rPr>
          <w:sz w:val="20"/>
          <w:szCs w:val="20"/>
          <w:color w:val="auto"/>
        </w:rPr>
      </w:pPr>
    </w:p>
    <w:p>
      <w:pPr>
        <w:ind w:left="180" w:right="180" w:hanging="161"/>
        <w:spacing w:after="0" w:line="235" w:lineRule="auto"/>
        <w:rPr>
          <w:sz w:val="20"/>
          <w:szCs w:val="20"/>
          <w:color w:val="auto"/>
        </w:rPr>
      </w:pPr>
      <w:r>
        <w:rPr>
          <w:rFonts w:ascii="Arial" w:cs="Arial" w:eastAsia="Arial" w:hAnsi="Arial"/>
          <w:sz w:val="18"/>
          <w:szCs w:val="18"/>
          <w:color w:val="auto"/>
        </w:rPr>
        <w:t>Other comprehensive income (loss) before reclassification adjustment, net of tax(b)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7132320" cy="2571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Reclassification adjustment, net of tax(b)</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740" w:type="dxa"/>
            <w:vAlign w:val="bottom"/>
          </w:tcPr>
          <w:p>
            <w:pPr>
              <w:jc w:val="right"/>
              <w:ind w:right="130"/>
              <w:spacing w:after="0"/>
              <w:rPr>
                <w:sz w:val="20"/>
                <w:szCs w:val="20"/>
                <w:color w:val="auto"/>
              </w:rPr>
            </w:pPr>
            <w:r>
              <w:rPr>
                <w:rFonts w:ascii="Arial" w:cs="Arial" w:eastAsia="Arial" w:hAnsi="Arial"/>
                <w:sz w:val="18"/>
                <w:szCs w:val="18"/>
                <w:color w:val="auto"/>
                <w:w w:val="87"/>
              </w:rPr>
              <w:t>(3,091)</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(2,125)</w:t>
            </w:r>
          </w:p>
        </w:tc>
        <w:tc>
          <w:tcPr>
            <w:tcW w:w="10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(2,277)</w:t>
            </w:r>
          </w:p>
        </w:tc>
        <w:tc>
          <w:tcPr>
            <w:tcW w:w="12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(2,250)</w:t>
            </w:r>
          </w:p>
        </w:tc>
      </w:tr>
      <w:tr>
        <w:trPr>
          <w:trHeight w:val="405"/>
        </w:trPr>
        <w:tc>
          <w:tcPr>
            <w:tcW w:w="740" w:type="dxa"/>
            <w:vAlign w:val="bottom"/>
          </w:tcPr>
          <w:p>
            <w:pPr>
              <w:jc w:val="right"/>
              <w:ind w:right="130"/>
              <w:spacing w:after="0"/>
              <w:rPr>
                <w:sz w:val="20"/>
                <w:szCs w:val="20"/>
                <w:color w:val="auto"/>
              </w:rPr>
            </w:pPr>
            <w:r>
              <w:rPr>
                <w:rFonts w:ascii="Arial" w:cs="Arial" w:eastAsia="Arial" w:hAnsi="Arial"/>
                <w:sz w:val="18"/>
                <w:szCs w:val="18"/>
                <w:color w:val="auto"/>
              </w:rPr>
              <w:t>(101)</w:t>
            </w:r>
          </w:p>
        </w:tc>
        <w:tc>
          <w:tcPr>
            <w:tcW w:w="400" w:type="dxa"/>
            <w:vAlign w:val="bottom"/>
          </w:tcPr>
          <w:p>
            <w:pPr>
              <w:spacing w:after="0"/>
              <w:rPr>
                <w:sz w:val="24"/>
                <w:szCs w:val="24"/>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(915)</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172</w:t>
            </w:r>
          </w:p>
        </w:tc>
      </w:tr>
      <w:tr>
        <w:trPr>
          <w:trHeight w:val="27"/>
        </w:trPr>
        <w:tc>
          <w:tcPr>
            <w:tcW w:w="7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740" w:type="dxa"/>
            <w:vAlign w:val="bottom"/>
          </w:tcPr>
          <w:p>
            <w:pPr>
              <w:jc w:val="right"/>
              <w:ind w:right="130"/>
              <w:spacing w:after="0"/>
              <w:rPr>
                <w:sz w:val="20"/>
                <w:szCs w:val="20"/>
                <w:color w:val="auto"/>
              </w:rPr>
            </w:pPr>
            <w:r>
              <w:rPr>
                <w:rFonts w:ascii="Arial" w:cs="Arial" w:eastAsia="Arial" w:hAnsi="Arial"/>
                <w:sz w:val="18"/>
                <w:szCs w:val="18"/>
                <w:color w:val="auto"/>
                <w:w w:val="87"/>
              </w:rPr>
              <w:t>(3,192)</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(2,078)</w:t>
            </w:r>
          </w:p>
        </w:tc>
        <w:tc>
          <w:tcPr>
            <w:tcW w:w="10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(3,192)</w:t>
            </w:r>
          </w:p>
        </w:tc>
        <w:tc>
          <w:tcPr>
            <w:tcW w:w="12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(2,078)</w:t>
            </w:r>
          </w:p>
        </w:tc>
      </w:tr>
      <w:tr>
        <w:trPr>
          <w:trHeight w:val="27"/>
        </w:trPr>
        <w:tc>
          <w:tcPr>
            <w:tcW w:w="7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
        </w:trPr>
        <w:tc>
          <w:tcPr>
            <w:tcW w:w="7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749"/>
        </w:trPr>
        <w:tc>
          <w:tcPr>
            <w:tcW w:w="740" w:type="dxa"/>
            <w:vAlign w:val="bottom"/>
          </w:tcPr>
          <w:p>
            <w:pPr>
              <w:jc w:val="right"/>
              <w:ind w:right="130"/>
              <w:spacing w:after="0"/>
              <w:rPr>
                <w:sz w:val="20"/>
                <w:szCs w:val="20"/>
                <w:color w:val="auto"/>
              </w:rPr>
            </w:pPr>
            <w:r>
              <w:rPr>
                <w:rFonts w:ascii="Arial" w:cs="Arial" w:eastAsia="Arial" w:hAnsi="Arial"/>
                <w:sz w:val="18"/>
                <w:szCs w:val="18"/>
                <w:color w:val="auto"/>
                <w:w w:val="87"/>
              </w:rPr>
              <w:t>(8,540)</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(6,701)</w:t>
            </w:r>
          </w:p>
        </w:tc>
        <w:tc>
          <w:tcPr>
            <w:tcW w:w="100" w:type="dxa"/>
            <w:vAlign w:val="bottom"/>
          </w:tcPr>
          <w:p>
            <w:pPr>
              <w:spacing w:after="0"/>
              <w:rPr>
                <w:sz w:val="24"/>
                <w:szCs w:val="24"/>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(8,857)</w:t>
            </w:r>
          </w:p>
        </w:tc>
        <w:tc>
          <w:tcPr>
            <w:tcW w:w="120" w:type="dxa"/>
            <w:vAlign w:val="bottom"/>
          </w:tcPr>
          <w:p>
            <w:pPr>
              <w:spacing w:after="0"/>
              <w:rPr>
                <w:sz w:val="24"/>
                <w:szCs w:val="24"/>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(6,737)</w:t>
            </w:r>
          </w:p>
        </w:tc>
      </w:tr>
      <w:tr>
        <w:trPr>
          <w:trHeight w:val="405"/>
        </w:trPr>
        <w:tc>
          <w:tcPr>
            <w:tcW w:w="740" w:type="dxa"/>
            <w:vAlign w:val="bottom"/>
          </w:tcPr>
          <w:p>
            <w:pPr>
              <w:jc w:val="right"/>
              <w:ind w:right="130"/>
              <w:spacing w:after="0"/>
              <w:rPr>
                <w:sz w:val="20"/>
                <w:szCs w:val="20"/>
                <w:color w:val="auto"/>
              </w:rPr>
            </w:pPr>
            <w:r>
              <w:rPr>
                <w:rFonts w:ascii="Arial" w:cs="Arial" w:eastAsia="Arial" w:hAnsi="Arial"/>
                <w:sz w:val="18"/>
                <w:szCs w:val="18"/>
                <w:color w:val="auto"/>
              </w:rPr>
              <w:t>(97)</w:t>
            </w:r>
          </w:p>
        </w:tc>
        <w:tc>
          <w:tcPr>
            <w:tcW w:w="400" w:type="dxa"/>
            <w:vAlign w:val="bottom"/>
          </w:tcPr>
          <w:p>
            <w:pPr>
              <w:spacing w:after="0"/>
              <w:rPr>
                <w:sz w:val="24"/>
                <w:szCs w:val="24"/>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(29)</w:t>
            </w:r>
          </w:p>
        </w:tc>
      </w:tr>
      <w:tr>
        <w:trPr>
          <w:trHeight w:val="270"/>
        </w:trPr>
        <w:tc>
          <w:tcPr>
            <w:tcW w:w="740" w:type="dxa"/>
            <w:vAlign w:val="bottom"/>
          </w:tcPr>
          <w:p>
            <w:pPr>
              <w:jc w:val="right"/>
              <w:ind w:right="170"/>
              <w:spacing w:after="0"/>
              <w:rPr>
                <w:sz w:val="20"/>
                <w:szCs w:val="20"/>
                <w:color w:val="auto"/>
              </w:rPr>
            </w:pPr>
            <w:r>
              <w:rPr>
                <w:rFonts w:ascii="Arial" w:cs="Arial" w:eastAsia="Arial" w:hAnsi="Arial"/>
                <w:sz w:val="18"/>
                <w:szCs w:val="18"/>
                <w:color w:val="auto"/>
              </w:rPr>
              <w:t>58</w:t>
            </w:r>
          </w:p>
        </w:tc>
        <w:tc>
          <w:tcPr>
            <w:tcW w:w="400" w:type="dxa"/>
            <w:vAlign w:val="bottom"/>
          </w:tcPr>
          <w:p>
            <w:pPr>
              <w:spacing w:after="0"/>
              <w:rPr>
                <w:sz w:val="23"/>
                <w:szCs w:val="23"/>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wp:posOffset>
            </wp:positionH>
            <wp:positionV relativeFrom="paragraph">
              <wp:posOffset>-916305</wp:posOffset>
            </wp:positionV>
            <wp:extent cx="84010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7" w:lineRule="exact"/>
        <w:rPr>
          <w:sz w:val="20"/>
          <w:szCs w:val="20"/>
          <w:color w:val="auto"/>
        </w:rPr>
      </w:pPr>
    </w:p>
    <w:p>
      <w:pPr>
        <w:sectPr>
          <w:pgSz w:w="11900" w:h="16838" w:orient="portrait"/>
          <w:cols w:equalWidth="0" w:num="2">
            <w:col w:w="5740" w:space="580"/>
            <w:col w:w="492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84"/>
        </w:trPr>
        <w:tc>
          <w:tcPr>
            <w:tcW w:w="5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 net of tax(b)</w:t>
            </w:r>
          </w:p>
        </w:tc>
        <w:tc>
          <w:tcPr>
            <w:tcW w:w="400" w:type="dxa"/>
            <w:vAlign w:val="bottom"/>
            <w:tcBorders>
              <w:top w:val="single" w:sz="8" w:color="auto"/>
              <w:bottom w:val="single" w:sz="8" w:color="auto"/>
            </w:tcBorders>
            <w:shd w:val="clear" w:color="auto" w:fill="CCEEFF"/>
          </w:tcPr>
          <w:p>
            <w:pPr>
              <w:spacing w:after="0"/>
              <w:rPr>
                <w:sz w:val="24"/>
                <w:szCs w:val="24"/>
                <w:color w:val="auto"/>
              </w:rPr>
            </w:pPr>
          </w:p>
        </w:tc>
        <w:tc>
          <w:tcPr>
            <w:tcW w:w="9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c>
          <w:tcPr>
            <w:tcW w:w="120" w:type="dxa"/>
            <w:vAlign w:val="bottom"/>
            <w:tcBorders>
              <w:top w:val="single" w:sz="8" w:color="CCEEFF"/>
            </w:tcBorders>
            <w:shd w:val="clear" w:color="auto" w:fill="CCEEFF"/>
          </w:tcPr>
          <w:p>
            <w:pPr>
              <w:spacing w:after="0"/>
              <w:rPr>
                <w:sz w:val="24"/>
                <w:szCs w:val="24"/>
                <w:color w:val="auto"/>
              </w:rPr>
            </w:pPr>
          </w:p>
        </w:tc>
        <w:tc>
          <w:tcPr>
            <w:tcW w:w="400" w:type="dxa"/>
            <w:vAlign w:val="bottom"/>
            <w:tcBorders>
              <w:top w:val="single" w:sz="8" w:color="auto"/>
              <w:bottom w:val="single" w:sz="8" w:color="auto"/>
            </w:tcBorders>
            <w:shd w:val="clear" w:color="auto" w:fill="CCEEFF"/>
          </w:tcPr>
          <w:p>
            <w:pPr>
              <w:spacing w:after="0"/>
              <w:rPr>
                <w:sz w:val="24"/>
                <w:szCs w:val="24"/>
                <w:color w:val="auto"/>
              </w:rPr>
            </w:pPr>
          </w:p>
        </w:tc>
        <w:tc>
          <w:tcPr>
            <w:tcW w:w="92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w:t>
            </w:r>
          </w:p>
        </w:tc>
        <w:tc>
          <w:tcPr>
            <w:tcW w:w="100" w:type="dxa"/>
            <w:vAlign w:val="bottom"/>
            <w:tcBorders>
              <w:top w:val="single" w:sz="8" w:color="CCEEFF"/>
            </w:tcBorders>
            <w:shd w:val="clear" w:color="auto" w:fill="CCEEFF"/>
          </w:tcPr>
          <w:p>
            <w:pPr>
              <w:spacing w:after="0"/>
              <w:rPr>
                <w:sz w:val="24"/>
                <w:szCs w:val="24"/>
                <w:color w:val="auto"/>
              </w:rPr>
            </w:pPr>
          </w:p>
        </w:tc>
        <w:tc>
          <w:tcPr>
            <w:tcW w:w="400" w:type="dxa"/>
            <w:vAlign w:val="bottom"/>
            <w:tcBorders>
              <w:top w:val="single" w:sz="8" w:color="auto"/>
              <w:bottom w:val="single" w:sz="8" w:color="auto"/>
            </w:tcBorders>
            <w:shd w:val="clear" w:color="auto" w:fill="CCEEFF"/>
          </w:tcPr>
          <w:p>
            <w:pPr>
              <w:spacing w:after="0"/>
              <w:rPr>
                <w:sz w:val="24"/>
                <w:szCs w:val="24"/>
                <w:color w:val="auto"/>
              </w:rPr>
            </w:pPr>
          </w:p>
        </w:tc>
        <w:tc>
          <w:tcPr>
            <w:tcW w:w="9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278</w:t>
            </w:r>
          </w:p>
        </w:tc>
        <w:tc>
          <w:tcPr>
            <w:tcW w:w="120" w:type="dxa"/>
            <w:vAlign w:val="bottom"/>
            <w:tcBorders>
              <w:top w:val="single" w:sz="8" w:color="CCEEFF"/>
            </w:tcBorders>
            <w:shd w:val="clear" w:color="auto" w:fill="CCEEFF"/>
          </w:tcPr>
          <w:p>
            <w:pPr>
              <w:spacing w:after="0"/>
              <w:rPr>
                <w:sz w:val="24"/>
                <w:szCs w:val="24"/>
                <w:color w:val="auto"/>
              </w:rPr>
            </w:pPr>
          </w:p>
        </w:tc>
        <w:tc>
          <w:tcPr>
            <w:tcW w:w="400" w:type="dxa"/>
            <w:vAlign w:val="bottom"/>
            <w:tcBorders>
              <w:top w:val="single" w:sz="8" w:color="auto"/>
              <w:bottom w:val="single" w:sz="8" w:color="auto"/>
            </w:tcBorders>
            <w:shd w:val="clear" w:color="auto" w:fill="CCEEFF"/>
          </w:tcPr>
          <w:p>
            <w:pPr>
              <w:spacing w:after="0"/>
              <w:rPr>
                <w:sz w:val="24"/>
                <w:szCs w:val="24"/>
                <w:color w:val="auto"/>
              </w:rPr>
            </w:pPr>
          </w:p>
        </w:tc>
        <w:tc>
          <w:tcPr>
            <w:tcW w:w="92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42</w:t>
            </w:r>
          </w:p>
        </w:tc>
      </w:tr>
      <w:tr>
        <w:trPr>
          <w:trHeight w:val="263"/>
        </w:trPr>
        <w:tc>
          <w:tcPr>
            <w:tcW w:w="5620" w:type="dxa"/>
            <w:vAlign w:val="bottom"/>
          </w:tcPr>
          <w:p>
            <w:pPr>
              <w:ind w:left="20"/>
              <w:spacing w:after="0"/>
              <w:rPr>
                <w:sz w:val="20"/>
                <w:szCs w:val="20"/>
                <w:color w:val="auto"/>
              </w:rPr>
            </w:pPr>
            <w:r>
              <w:rPr>
                <w:rFonts w:ascii="Arial" w:cs="Arial" w:eastAsia="Arial" w:hAnsi="Arial"/>
                <w:sz w:val="18"/>
                <w:szCs w:val="18"/>
                <w:color w:val="auto"/>
              </w:rPr>
              <w:t>Balance at end of period(c)</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(8,579)</w:t>
            </w:r>
          </w:p>
        </w:tc>
        <w:tc>
          <w:tcPr>
            <w:tcW w:w="120" w:type="dxa"/>
            <w:vAlign w:val="bottom"/>
          </w:tcPr>
          <w:p>
            <w:pPr>
              <w:spacing w:after="0"/>
              <w:rPr>
                <w:sz w:val="22"/>
                <w:szCs w:val="22"/>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(6,695)</w:t>
            </w:r>
          </w:p>
        </w:tc>
        <w:tc>
          <w:tcPr>
            <w:tcW w:w="100" w:type="dxa"/>
            <w:vAlign w:val="bottom"/>
          </w:tcPr>
          <w:p>
            <w:pPr>
              <w:spacing w:after="0"/>
              <w:rPr>
                <w:sz w:val="22"/>
                <w:szCs w:val="22"/>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(8,579)</w:t>
            </w:r>
          </w:p>
        </w:tc>
        <w:tc>
          <w:tcPr>
            <w:tcW w:w="120" w:type="dxa"/>
            <w:vAlign w:val="bottom"/>
          </w:tcPr>
          <w:p>
            <w:pPr>
              <w:spacing w:after="0"/>
              <w:rPr>
                <w:sz w:val="22"/>
                <w:szCs w:val="22"/>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(6,695)</w:t>
            </w:r>
          </w:p>
        </w:tc>
      </w:tr>
      <w:tr>
        <w:trPr>
          <w:trHeight w:val="20"/>
        </w:trPr>
        <w:tc>
          <w:tcPr>
            <w:tcW w:w="56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9" w:lineRule="exact"/>
        <w:rPr>
          <w:sz w:val="20"/>
          <w:szCs w:val="20"/>
          <w:color w:val="auto"/>
        </w:rPr>
      </w:pPr>
    </w:p>
    <w:p>
      <w:pPr>
        <w:ind w:left="320" w:hanging="312"/>
        <w:spacing w:after="0"/>
        <w:tabs>
          <w:tab w:leader="none" w:pos="3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noncontrolling interests and reclassification adjustment were insignificant in the three and six months ended June 30, 2020 and 2019.</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income tax effect was insignificant in the three and six months ended June 30, 2020 and 2019.</w:t>
      </w:r>
    </w:p>
    <w:p>
      <w:pPr>
        <w:spacing w:after="0" w:line="5" w:lineRule="exact"/>
        <w:rPr>
          <w:rFonts w:ascii="Arial" w:cs="Arial" w:eastAsia="Arial" w:hAnsi="Arial"/>
          <w:sz w:val="16"/>
          <w:szCs w:val="16"/>
          <w:color w:val="auto"/>
        </w:rPr>
      </w:pPr>
    </w:p>
    <w:p>
      <w:pPr>
        <w:ind w:left="340" w:hanging="332"/>
        <w:spacing w:after="0" w:line="257" w:lineRule="auto"/>
        <w:tabs>
          <w:tab w:leader="none" w:pos="331" w:val="left"/>
        </w:tabs>
        <w:numPr>
          <w:ilvl w:val="0"/>
          <w:numId w:val="11"/>
        </w:numPr>
        <w:rPr>
          <w:rFonts w:ascii="Arial" w:cs="Arial" w:eastAsia="Arial" w:hAnsi="Arial"/>
          <w:sz w:val="16"/>
          <w:szCs w:val="16"/>
          <w:color w:val="auto"/>
        </w:rPr>
      </w:pPr>
      <w:r>
        <w:rPr>
          <w:rFonts w:ascii="Arial" w:cs="Arial" w:eastAsia="Arial" w:hAnsi="Arial"/>
          <w:sz w:val="16"/>
          <w:szCs w:val="16"/>
          <w:color w:val="auto"/>
        </w:rPr>
        <w:t>Primarily consists of unamortized actuarial loss on our defined benefit plans. Refer to Note 2. Significant Accounting Policies of our 2019 Form 10-K for additional information.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Earnings Per Share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73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832"/>
              <w:spacing w:after="0"/>
              <w:rPr>
                <w:sz w:val="20"/>
                <w:szCs w:val="20"/>
                <w:color w:val="auto"/>
              </w:rPr>
            </w:pPr>
            <w:r>
              <w:rPr>
                <w:rFonts w:ascii="Arial" w:cs="Arial" w:eastAsia="Arial" w:hAnsi="Arial"/>
                <w:sz w:val="14"/>
                <w:szCs w:val="14"/>
                <w:b w:val="1"/>
                <w:bCs w:val="1"/>
                <w:color w:val="auto"/>
              </w:rPr>
              <w:t>Six Months Ended</w:t>
            </w:r>
          </w:p>
        </w:tc>
      </w:tr>
      <w:tr>
        <w:trPr>
          <w:trHeight w:val="195"/>
        </w:trPr>
        <w:tc>
          <w:tcPr>
            <w:tcW w:w="5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 2020</w:t>
            </w:r>
          </w:p>
        </w:tc>
        <w:tc>
          <w:tcPr>
            <w:tcW w:w="200" w:type="dxa"/>
            <w:vAlign w:val="bottom"/>
          </w:tcPr>
          <w:p>
            <w:pPr>
              <w:spacing w:after="0"/>
              <w:rPr>
                <w:sz w:val="17"/>
                <w:szCs w:val="17"/>
                <w:color w:val="auto"/>
              </w:rPr>
            </w:pPr>
          </w:p>
        </w:tc>
        <w:tc>
          <w:tcPr>
            <w:tcW w:w="132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 2019</w:t>
            </w:r>
          </w:p>
        </w:tc>
        <w:tc>
          <w:tcPr>
            <w:tcW w:w="220" w:type="dxa"/>
            <w:vAlign w:val="bottom"/>
          </w:tcPr>
          <w:p>
            <w:pPr>
              <w:spacing w:after="0"/>
              <w:rPr>
                <w:sz w:val="17"/>
                <w:szCs w:val="17"/>
                <w:color w:val="auto"/>
              </w:rPr>
            </w:pPr>
          </w:p>
        </w:tc>
        <w:tc>
          <w:tcPr>
            <w:tcW w:w="132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 2020</w:t>
            </w:r>
          </w:p>
        </w:tc>
        <w:tc>
          <w:tcPr>
            <w:tcW w:w="220" w:type="dxa"/>
            <w:vAlign w:val="bottom"/>
          </w:tcPr>
          <w:p>
            <w:pPr>
              <w:spacing w:after="0"/>
              <w:rPr>
                <w:sz w:val="17"/>
                <w:szCs w:val="17"/>
                <w:color w:val="auto"/>
              </w:rPr>
            </w:pPr>
          </w:p>
        </w:tc>
        <w:tc>
          <w:tcPr>
            <w:tcW w:w="1220" w:type="dxa"/>
            <w:vAlign w:val="bottom"/>
          </w:tcPr>
          <w:p>
            <w:pPr>
              <w:jc w:val="right"/>
              <w:ind w:right="212"/>
              <w:spacing w:after="0"/>
              <w:rPr>
                <w:sz w:val="20"/>
                <w:szCs w:val="20"/>
                <w:color w:val="auto"/>
              </w:rPr>
            </w:pPr>
            <w:r>
              <w:rPr>
                <w:rFonts w:ascii="Arial" w:cs="Arial" w:eastAsia="Arial" w:hAnsi="Arial"/>
                <w:sz w:val="14"/>
                <w:szCs w:val="14"/>
                <w:b w:val="1"/>
                <w:bCs w:val="1"/>
                <w:color w:val="auto"/>
                <w:w w:val="98"/>
              </w:rPr>
              <w:t>June 30, 2019</w:t>
            </w:r>
          </w:p>
        </w:tc>
      </w:tr>
      <w:tr>
        <w:trPr>
          <w:trHeight w:val="216"/>
        </w:trPr>
        <w:tc>
          <w:tcPr>
            <w:tcW w:w="5200" w:type="dxa"/>
            <w:vAlign w:val="bottom"/>
          </w:tcPr>
          <w:p>
            <w:pPr>
              <w:ind w:left="20"/>
              <w:spacing w:after="0"/>
              <w:rPr>
                <w:sz w:val="20"/>
                <w:szCs w:val="20"/>
                <w:color w:val="auto"/>
              </w:rPr>
            </w:pPr>
            <w:r>
              <w:rPr>
                <w:rFonts w:ascii="Arial" w:cs="Arial" w:eastAsia="Arial" w:hAnsi="Arial"/>
                <w:sz w:val="18"/>
                <w:szCs w:val="18"/>
                <w:b w:val="1"/>
                <w:bCs w:val="1"/>
                <w:color w:val="auto"/>
              </w:rPr>
              <w:t>Basic earnings per share</w:t>
            </w:r>
          </w:p>
        </w:tc>
        <w:tc>
          <w:tcPr>
            <w:tcW w:w="2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r>
      <w:tr>
        <w:trPr>
          <w:trHeight w:val="27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stockholders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(758)</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2,418</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(464)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4,575</w:t>
            </w:r>
          </w:p>
        </w:tc>
      </w:tr>
      <w:tr>
        <w:trPr>
          <w:trHeight w:val="270"/>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cumulative dividends on subsidiary preferred stock</w:t>
            </w:r>
          </w:p>
        </w:tc>
        <w:tc>
          <w:tcPr>
            <w:tcW w:w="20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(75)</w:t>
            </w:r>
          </w:p>
        </w:tc>
      </w:tr>
      <w:tr>
        <w:trPr>
          <w:trHeight w:val="28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common stockholders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(806)</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2,381</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(559)</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4,500</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7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common shares outstanding</w:t>
            </w:r>
          </w:p>
        </w:tc>
        <w:tc>
          <w:tcPr>
            <w:tcW w:w="2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1,432</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1,420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1,432</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1,419</w:t>
            </w:r>
          </w:p>
        </w:tc>
      </w:tr>
      <w:tr>
        <w:trPr>
          <w:trHeight w:val="54"/>
        </w:trPr>
        <w:tc>
          <w:tcPr>
            <w:tcW w:w="5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20" w:type="dxa"/>
            <w:vAlign w:val="bottom"/>
          </w:tcPr>
          <w:p>
            <w:pPr>
              <w:spacing w:after="0"/>
              <w:rPr>
                <w:sz w:val="4"/>
                <w:szCs w:val="4"/>
                <w:color w:val="auto"/>
              </w:rPr>
            </w:pPr>
          </w:p>
        </w:tc>
      </w:tr>
      <w:tr>
        <w:trPr>
          <w:trHeight w:val="27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earnings (loss) per common share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(0.56)</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(0.39)</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3.17</w:t>
            </w: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b w:val="1"/>
                <w:bCs w:val="1"/>
                <w:color w:val="auto"/>
              </w:rPr>
              <w:t>Diluted earnings per share</w:t>
            </w: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5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common stockholders – diluted</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(806)</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2,381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(559)</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4,500</w:t>
            </w:r>
          </w:p>
        </w:tc>
      </w:tr>
      <w:tr>
        <w:trPr>
          <w:trHeight w:val="54"/>
        </w:trPr>
        <w:tc>
          <w:tcPr>
            <w:tcW w:w="5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20" w:type="dxa"/>
            <w:vAlign w:val="bottom"/>
          </w:tcPr>
          <w:p>
            <w:pPr>
              <w:spacing w:after="0"/>
              <w:rPr>
                <w:sz w:val="4"/>
                <w:szCs w:val="4"/>
                <w:color w:val="auto"/>
              </w:rPr>
            </w:pPr>
          </w:p>
        </w:tc>
      </w:tr>
      <w:tr>
        <w:trPr>
          <w:trHeight w:val="27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common shares outstanding – basic</w:t>
            </w:r>
          </w:p>
        </w:tc>
        <w:tc>
          <w:tcPr>
            <w:tcW w:w="2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1,432</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1,420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1,432</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1,419</w:t>
            </w:r>
          </w:p>
        </w:tc>
      </w:tr>
      <w:tr>
        <w:trPr>
          <w:trHeight w:val="270"/>
        </w:trPr>
        <w:tc>
          <w:tcPr>
            <w:tcW w:w="5200" w:type="dxa"/>
            <w:vAlign w:val="bottom"/>
          </w:tcPr>
          <w:p>
            <w:pPr>
              <w:ind w:left="20"/>
              <w:spacing w:after="0"/>
              <w:rPr>
                <w:sz w:val="20"/>
                <w:szCs w:val="20"/>
                <w:color w:val="auto"/>
              </w:rPr>
            </w:pPr>
            <w:r>
              <w:rPr>
                <w:rFonts w:ascii="Arial" w:cs="Arial" w:eastAsia="Arial" w:hAnsi="Arial"/>
                <w:sz w:val="18"/>
                <w:szCs w:val="18"/>
                <w:color w:val="auto"/>
                <w:w w:val="98"/>
              </w:rPr>
              <w:t>Dilutive effect of warrants and awards under stock incentive plans</w:t>
            </w:r>
          </w:p>
        </w:tc>
        <w:tc>
          <w:tcPr>
            <w:tcW w:w="200" w:type="dxa"/>
            <w:vAlign w:val="bottom"/>
          </w:tcPr>
          <w:p>
            <w:pPr>
              <w:spacing w:after="0"/>
              <w:rPr>
                <w:sz w:val="23"/>
                <w:szCs w:val="23"/>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18</w:t>
            </w:r>
          </w:p>
        </w:tc>
      </w:tr>
      <w:tr>
        <w:trPr>
          <w:trHeight w:val="289"/>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common shares outstanding – diluted</w:t>
            </w:r>
          </w:p>
        </w:tc>
        <w:tc>
          <w:tcPr>
            <w:tcW w:w="200" w:type="dxa"/>
            <w:vAlign w:val="bottom"/>
            <w:tcBorders>
              <w:top w:val="single" w:sz="8" w:color="auto"/>
              <w:bottom w:val="single" w:sz="8" w:color="auto"/>
            </w:tcBorders>
            <w:shd w:val="clear" w:color="auto" w:fill="CCEEFF"/>
          </w:tcPr>
          <w:p>
            <w:pPr>
              <w:spacing w:after="0"/>
              <w:rPr>
                <w:sz w:val="24"/>
                <w:szCs w:val="24"/>
                <w:color w:val="auto"/>
              </w:rPr>
            </w:pPr>
          </w:p>
        </w:tc>
        <w:tc>
          <w:tcPr>
            <w:tcW w:w="122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1,432</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200" w:type="dxa"/>
            <w:vAlign w:val="bottom"/>
            <w:tcBorders>
              <w:top w:val="single" w:sz="8" w:color="auto"/>
              <w:bottom w:val="single" w:sz="8" w:color="auto"/>
            </w:tcBorders>
            <w:shd w:val="clear" w:color="auto" w:fill="CCEEFF"/>
          </w:tcPr>
          <w:p>
            <w:pPr>
              <w:spacing w:after="0"/>
              <w:rPr>
                <w:sz w:val="24"/>
                <w:szCs w:val="24"/>
                <w:color w:val="auto"/>
              </w:rPr>
            </w:pPr>
          </w:p>
        </w:tc>
        <w:tc>
          <w:tcPr>
            <w:tcW w:w="122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1,438</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20" w:type="dxa"/>
            <w:vAlign w:val="bottom"/>
            <w:tcBorders>
              <w:top w:val="single" w:sz="8" w:color="auto"/>
              <w:bottom w:val="single" w:sz="8" w:color="auto"/>
            </w:tcBorders>
            <w:shd w:val="clear" w:color="auto" w:fill="CCEEFF"/>
          </w:tcPr>
          <w:p>
            <w:pPr>
              <w:spacing w:after="0"/>
              <w:rPr>
                <w:sz w:val="24"/>
                <w:szCs w:val="24"/>
                <w:color w:val="auto"/>
              </w:rPr>
            </w:pPr>
          </w:p>
        </w:tc>
        <w:tc>
          <w:tcPr>
            <w:tcW w:w="122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1,432</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20" w:type="dxa"/>
            <w:vAlign w:val="bottom"/>
            <w:tcBorders>
              <w:top w:val="single" w:sz="8" w:color="auto"/>
              <w:bottom w:val="single" w:sz="8" w:color="auto"/>
            </w:tcBorders>
            <w:shd w:val="clear" w:color="auto" w:fill="CCEEFF"/>
          </w:tcPr>
          <w:p>
            <w:pPr>
              <w:spacing w:after="0"/>
              <w:rPr>
                <w:sz w:val="24"/>
                <w:szCs w:val="24"/>
                <w:color w:val="auto"/>
              </w:rPr>
            </w:pPr>
          </w:p>
        </w:tc>
        <w:tc>
          <w:tcPr>
            <w:tcW w:w="122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1,437</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earnings (loss) per common share</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(0.56)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3.13</w:t>
            </w: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Potentially dilutive securities(a)</w:t>
            </w:r>
          </w:p>
        </w:tc>
        <w:tc>
          <w:tcPr>
            <w:tcW w:w="200" w:type="dxa"/>
            <w:vAlign w:val="bottom"/>
          </w:tcPr>
          <w:p>
            <w:pPr>
              <w:spacing w:after="0"/>
              <w:rPr>
                <w:sz w:val="21"/>
                <w:szCs w:val="21"/>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7</w:t>
            </w:r>
          </w:p>
        </w:tc>
      </w:tr>
    </w:tbl>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9" w:lineRule="exact"/>
        <w:rPr>
          <w:sz w:val="20"/>
          <w:szCs w:val="20"/>
          <w:color w:val="auto"/>
        </w:rPr>
      </w:pPr>
    </w:p>
    <w:p>
      <w:pPr>
        <w:ind w:left="340" w:right="20" w:hanging="332"/>
        <w:spacing w:after="0" w:line="257" w:lineRule="auto"/>
        <w:tabs>
          <w:tab w:leader="none" w:pos="331" w:val="left"/>
        </w:tabs>
        <w:numPr>
          <w:ilvl w:val="0"/>
          <w:numId w:val="12"/>
        </w:numPr>
        <w:rPr>
          <w:rFonts w:ascii="Arial" w:cs="Arial" w:eastAsia="Arial" w:hAnsi="Arial"/>
          <w:sz w:val="16"/>
          <w:szCs w:val="16"/>
          <w:color w:val="auto"/>
        </w:rPr>
      </w:pPr>
      <w:r>
        <w:rPr>
          <w:rFonts w:ascii="Arial" w:cs="Arial" w:eastAsia="Arial" w:hAnsi="Arial"/>
          <w:sz w:val="16"/>
          <w:szCs w:val="16"/>
          <w:color w:val="auto"/>
        </w:rPr>
        <w:t>Potentially dilutive securities attributable to outstanding stock options, Performance Share Units (PSUs) and Restricted Stock Units (RSUs) were excluded from the computation of diluted earnings per share (EPS) because the securities would have had an antidilutive effect.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Segment Reporting</w:t>
      </w:r>
    </w:p>
    <w:p>
      <w:pPr>
        <w:spacing w:after="0" w:line="256"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We analyze the results of our business through the following reportable segments: GMNA, GMI, Cruise and GM Financial. The chief operating decision maker evaluates the operating results and performance of our automotive segments and Cruise</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through earnings before interest and income taxes (EBIT)-adjusted, which is presented net of noncontrolling interests. The chief operating decision maker evaluates GM Financial through earnings before income taxes (EBT)-adjusted because interest income and interest expense are part of operating results when assessing and measuring the operational and financial performance of the segment. Each segment has a manager responsible for executing our strategic initiatives. While not all vehicles within a segment are individually profitable on a fully allocated cost basis, those vehicles attract customers to dealer showrooms and help maintain sales volumes for other, more profitable vehicles and contribute towards meeting required fuel efficiency standards. As a result of these and other factors, we do not manage our business on an individual brand or vehicle basis.</w:t>
      </w:r>
    </w:p>
    <w:p>
      <w:pPr>
        <w:spacing w:after="0" w:line="191"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Substantially all of the trucks, crossovers, cars and automobile parts produced are marketed through retail dealers in North America and through distributors and dealers outside of North America, the substantial majority of which are independently owned. In addition to the products sold to dealers for consumer retail sales, trucks, crossovers and cars are also sold to fleet customers, including daily rental car companies, commercial fleet customers, leasing companies and governments. Fleet sales are completed through the dealer network and in some cases directly with fleet customers. Retail and fleet customers can obtain a wide range of after-sale vehicle services and products through the dealer network, such as maintenance, light repairs, collision repairs, vehicle accessories and extended service warranties.</w:t>
      </w:r>
    </w:p>
    <w:p>
      <w:pPr>
        <w:spacing w:after="0" w:line="219"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GMNA meets the demands of customers in North America with vehicles developed, manufactured and/or marketed under the Buick, Cadillac, Chevrolet and GMC brands. GMI primarily meets the demands of customers outside North America with vehicles developed, manufactured and/or marketed under the Buick, Cadillac, Chevrolet, GMC and Holden brands. We also have equity ownership stakes in entities that meet the demands of customers in other countries, primarily China, with vehicles developed, manufactured and/or marketed under the Baojun, Buick, Cadillac, Chevrolet and Wuling brands. Cruise, formerly GM Cruise, is our global segment responsible for the development and commercialization of autonomous vehicle technology, and includes autonomous vehicle-related engineering and other costs.</w:t>
      </w:r>
    </w:p>
    <w:p>
      <w:pPr>
        <w:spacing w:after="0" w:line="205"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Our automotive interest income and interest expense, legacy costs from the Opel/Vauxhall Business (primarily pension costs), corporate expenditures and certain nonsegment-specific revenues and expenses are recorded centrally in Corporate. Corporate assets primarily consist of cash and cash equivalents, marketable debt securities, PSA warrants and intercompany balances. Retained net underfunded pension liabilities related to the European Business are also recorded in Corporate. All intersegment balances and transactions have been eliminated in consolidation.</w:t>
      </w:r>
    </w:p>
    <w:p>
      <w:pPr>
        <w:spacing w:after="0" w:line="19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tables summarize key financial information by segment:</w:t>
      </w:r>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174"/>
        </w:trPr>
        <w:tc>
          <w:tcPr>
            <w:tcW w:w="24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760" w:type="dxa"/>
            <w:vAlign w:val="bottom"/>
            <w:tcBorders>
              <w:bottom w:val="single" w:sz="8" w:color="auto"/>
            </w:tcBorders>
            <w:gridSpan w:val="11"/>
          </w:tcPr>
          <w:p>
            <w:pPr>
              <w:ind w:left="460"/>
              <w:spacing w:after="0"/>
              <w:rPr>
                <w:sz w:val="20"/>
                <w:szCs w:val="20"/>
                <w:color w:val="auto"/>
              </w:rPr>
            </w:pPr>
            <w:r>
              <w:rPr>
                <w:rFonts w:ascii="Arial" w:cs="Arial" w:eastAsia="Arial" w:hAnsi="Arial"/>
                <w:sz w:val="13"/>
                <w:szCs w:val="13"/>
                <w:b w:val="1"/>
                <w:bCs w:val="1"/>
                <w:color w:val="auto"/>
              </w:rPr>
              <w:t>At and For the Three Months Ended June 30, 2020</w:t>
            </w:r>
          </w:p>
        </w:tc>
        <w:tc>
          <w:tcPr>
            <w:tcW w:w="5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89"/>
              </w:rPr>
              <w:t>Total</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200"/>
              <w:spacing w:after="0" w:line="144" w:lineRule="exact"/>
              <w:rPr>
                <w:sz w:val="20"/>
                <w:szCs w:val="20"/>
                <w:color w:val="auto"/>
              </w:rPr>
            </w:pPr>
            <w:r>
              <w:rPr>
                <w:rFonts w:ascii="Arial" w:cs="Arial" w:eastAsia="Arial" w:hAnsi="Arial"/>
                <w:sz w:val="13"/>
                <w:szCs w:val="13"/>
                <w:b w:val="1"/>
                <w:bCs w:val="1"/>
                <w:color w:val="auto"/>
              </w:rPr>
              <w:t>GM</w:t>
            </w:r>
          </w:p>
        </w:tc>
        <w:tc>
          <w:tcPr>
            <w:tcW w:w="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GMNA</w:t>
            </w:r>
          </w:p>
        </w:tc>
        <w:tc>
          <w:tcPr>
            <w:tcW w:w="12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3"/>
                <w:szCs w:val="13"/>
                <w:b w:val="1"/>
                <w:bCs w:val="1"/>
                <w:color w:val="auto"/>
              </w:rPr>
              <w:t>GMI</w:t>
            </w:r>
          </w:p>
        </w:tc>
        <w:tc>
          <w:tcPr>
            <w:tcW w:w="100" w:type="dxa"/>
            <w:vAlign w:val="bottom"/>
          </w:tcPr>
          <w:p>
            <w:pPr>
              <w:spacing w:after="0"/>
              <w:rPr>
                <w:sz w:val="15"/>
                <w:szCs w:val="15"/>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b w:val="1"/>
                <w:bCs w:val="1"/>
                <w:color w:val="auto"/>
              </w:rPr>
              <w:t>Corporate</w:t>
            </w:r>
          </w:p>
        </w:tc>
        <w:tc>
          <w:tcPr>
            <w:tcW w:w="100" w:type="dxa"/>
            <w:vAlign w:val="bottom"/>
          </w:tcPr>
          <w:p>
            <w:pPr>
              <w:spacing w:after="0"/>
              <w:rPr>
                <w:sz w:val="15"/>
                <w:szCs w:val="15"/>
                <w:color w:val="auto"/>
              </w:rPr>
            </w:pPr>
          </w:p>
        </w:tc>
        <w:tc>
          <w:tcPr>
            <w:tcW w:w="960" w:type="dxa"/>
            <w:vAlign w:val="bottom"/>
            <w:gridSpan w:val="2"/>
          </w:tcPr>
          <w:p>
            <w:pPr>
              <w:ind w:left="40"/>
              <w:spacing w:after="0"/>
              <w:rPr>
                <w:sz w:val="20"/>
                <w:szCs w:val="20"/>
                <w:color w:val="auto"/>
              </w:rPr>
            </w:pPr>
            <w:r>
              <w:rPr>
                <w:rFonts w:ascii="Arial" w:cs="Arial" w:eastAsia="Arial" w:hAnsi="Arial"/>
                <w:sz w:val="13"/>
                <w:szCs w:val="13"/>
                <w:b w:val="1"/>
                <w:bCs w:val="1"/>
                <w:color w:val="auto"/>
              </w:rPr>
              <w:t>Eliminations</w:t>
            </w:r>
          </w:p>
        </w:tc>
        <w:tc>
          <w:tcPr>
            <w:tcW w:w="10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6"/>
              </w:rPr>
              <w:t>Automotive</w:t>
            </w:r>
          </w:p>
        </w:tc>
        <w:tc>
          <w:tcPr>
            <w:tcW w:w="16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3"/>
                <w:szCs w:val="13"/>
                <w:b w:val="1"/>
                <w:bCs w:val="1"/>
                <w:color w:val="auto"/>
              </w:rPr>
              <w:t>Cruise</w:t>
            </w:r>
          </w:p>
        </w:tc>
        <w:tc>
          <w:tcPr>
            <w:tcW w:w="80" w:type="dxa"/>
            <w:vAlign w:val="bottom"/>
          </w:tcPr>
          <w:p>
            <w:pPr>
              <w:spacing w:after="0"/>
              <w:rPr>
                <w:sz w:val="15"/>
                <w:szCs w:val="15"/>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8"/>
              </w:rPr>
              <w:t>Financial</w:t>
            </w:r>
          </w:p>
        </w:tc>
        <w:tc>
          <w:tcPr>
            <w:tcW w:w="1740" w:type="dxa"/>
            <w:vAlign w:val="bottom"/>
            <w:gridSpan w:val="3"/>
          </w:tcPr>
          <w:p>
            <w:pPr>
              <w:spacing w:after="0"/>
              <w:rPr>
                <w:sz w:val="20"/>
                <w:szCs w:val="20"/>
                <w:color w:val="auto"/>
              </w:rPr>
            </w:pPr>
            <w:r>
              <w:rPr>
                <w:rFonts w:ascii="Arial" w:cs="Arial" w:eastAsia="Arial" w:hAnsi="Arial"/>
                <w:sz w:val="13"/>
                <w:szCs w:val="13"/>
                <w:b w:val="1"/>
                <w:bCs w:val="1"/>
                <w:color w:val="auto"/>
                <w:w w:val="91"/>
              </w:rPr>
              <w:t>Eliminations/Reclassifications</w:t>
            </w:r>
          </w:p>
        </w:tc>
        <w:tc>
          <w:tcPr>
            <w:tcW w:w="120" w:type="dxa"/>
            <w:vAlign w:val="bottom"/>
          </w:tcPr>
          <w:p>
            <w:pPr>
              <w:spacing w:after="0"/>
              <w:rPr>
                <w:sz w:val="15"/>
                <w:szCs w:val="15"/>
                <w:color w:val="auto"/>
              </w:rPr>
            </w:pPr>
          </w:p>
        </w:tc>
        <w:tc>
          <w:tcPr>
            <w:tcW w:w="600" w:type="dxa"/>
            <w:vAlign w:val="bottom"/>
          </w:tcPr>
          <w:p>
            <w:pPr>
              <w:jc w:val="right"/>
              <w:ind w:right="15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9"/>
        </w:trPr>
        <w:tc>
          <w:tcPr>
            <w:tcW w:w="2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Net sales and revenue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11,604</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1,677</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80</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13,361</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28</w:t>
            </w: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3,423</w:t>
            </w:r>
          </w:p>
        </w:tc>
        <w:tc>
          <w:tcPr>
            <w:tcW w:w="12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104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(34)</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16,778</w:t>
            </w:r>
          </w:p>
        </w:tc>
        <w:tc>
          <w:tcPr>
            <w:tcW w:w="0" w:type="dxa"/>
            <w:vAlign w:val="bottom"/>
          </w:tcPr>
          <w:p>
            <w:pPr>
              <w:spacing w:after="0"/>
              <w:rPr>
                <w:sz w:val="1"/>
                <w:szCs w:val="1"/>
                <w:color w:val="auto"/>
              </w:rPr>
            </w:pPr>
          </w:p>
        </w:tc>
      </w:tr>
      <w:tr>
        <w:trPr>
          <w:trHeight w:val="122"/>
        </w:trPr>
        <w:tc>
          <w:tcPr>
            <w:tcW w:w="2400" w:type="dxa"/>
            <w:vAlign w:val="bottom"/>
          </w:tcPr>
          <w:p>
            <w:pPr>
              <w:spacing w:after="0" w:line="122" w:lineRule="exact"/>
              <w:rPr>
                <w:sz w:val="20"/>
                <w:szCs w:val="20"/>
                <w:color w:val="auto"/>
              </w:rPr>
            </w:pPr>
            <w:r>
              <w:rPr>
                <w:rFonts w:ascii="Arial" w:cs="Arial" w:eastAsia="Arial" w:hAnsi="Arial"/>
                <w:sz w:val="13"/>
                <w:szCs w:val="13"/>
                <w:color w:val="auto"/>
              </w:rPr>
              <w:t>Earnings (loss) before interest and taxes-</w:t>
            </w: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vMerge w:val="restart"/>
          </w:tcPr>
          <w:p>
            <w:pPr>
              <w:jc w:val="right"/>
              <w:ind w:right="37"/>
              <w:spacing w:after="0"/>
              <w:rPr>
                <w:sz w:val="20"/>
                <w:szCs w:val="20"/>
                <w:color w:val="auto"/>
              </w:rPr>
            </w:pPr>
            <w:r>
              <w:rPr>
                <w:rFonts w:ascii="Arial" w:cs="Arial" w:eastAsia="Arial" w:hAnsi="Arial"/>
                <w:sz w:val="13"/>
                <w:szCs w:val="13"/>
                <w:color w:val="auto"/>
              </w:rPr>
              <w:t>(101)</w:t>
            </w:r>
          </w:p>
        </w:tc>
        <w:tc>
          <w:tcPr>
            <w:tcW w:w="120" w:type="dxa"/>
            <w:vAlign w:val="bottom"/>
          </w:tcPr>
          <w:p>
            <w:pPr>
              <w:spacing w:after="0"/>
              <w:rPr>
                <w:sz w:val="10"/>
                <w:szCs w:val="10"/>
                <w:color w:val="auto"/>
              </w:rPr>
            </w:pPr>
          </w:p>
        </w:tc>
        <w:tc>
          <w:tcPr>
            <w:tcW w:w="120" w:type="dxa"/>
            <w:vAlign w:val="bottom"/>
            <w:vMerge w:val="restart"/>
          </w:tcPr>
          <w:p>
            <w:pPr>
              <w:jc w:val="right"/>
              <w:ind w:right="8"/>
              <w:spacing w:after="0"/>
              <w:rPr>
                <w:sz w:val="20"/>
                <w:szCs w:val="20"/>
                <w:color w:val="auto"/>
              </w:rPr>
            </w:pPr>
            <w:r>
              <w:rPr>
                <w:rFonts w:ascii="Arial" w:cs="Arial" w:eastAsia="Arial" w:hAnsi="Arial"/>
                <w:sz w:val="10"/>
                <w:szCs w:val="10"/>
                <w:color w:val="auto"/>
                <w:w w:val="71"/>
              </w:rPr>
              <w:t>$</w:t>
            </w:r>
          </w:p>
        </w:tc>
        <w:tc>
          <w:tcPr>
            <w:tcW w:w="540" w:type="dxa"/>
            <w:vAlign w:val="bottom"/>
            <w:vMerge w:val="restart"/>
          </w:tcPr>
          <w:p>
            <w:pPr>
              <w:jc w:val="right"/>
              <w:ind w:right="57"/>
              <w:spacing w:after="0"/>
              <w:rPr>
                <w:sz w:val="20"/>
                <w:szCs w:val="20"/>
                <w:color w:val="auto"/>
              </w:rPr>
            </w:pPr>
            <w:r>
              <w:rPr>
                <w:rFonts w:ascii="Arial" w:cs="Arial" w:eastAsia="Arial" w:hAnsi="Arial"/>
                <w:sz w:val="13"/>
                <w:szCs w:val="13"/>
                <w:color w:val="auto"/>
              </w:rPr>
              <w:t>(270)</w:t>
            </w:r>
          </w:p>
        </w:tc>
        <w:tc>
          <w:tcPr>
            <w:tcW w:w="10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vMerge w:val="restart"/>
          </w:tcPr>
          <w:p>
            <w:pPr>
              <w:jc w:val="right"/>
              <w:ind w:right="57"/>
              <w:spacing w:after="0"/>
              <w:rPr>
                <w:sz w:val="20"/>
                <w:szCs w:val="20"/>
                <w:color w:val="auto"/>
              </w:rPr>
            </w:pPr>
            <w:r>
              <w:rPr>
                <w:rFonts w:ascii="Arial" w:cs="Arial" w:eastAsia="Arial" w:hAnsi="Arial"/>
                <w:sz w:val="13"/>
                <w:szCs w:val="13"/>
                <w:color w:val="auto"/>
              </w:rPr>
              <w:t>(182)</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vMerge w:val="restart"/>
          </w:tcPr>
          <w:p>
            <w:pPr>
              <w:jc w:val="right"/>
              <w:ind w:right="37"/>
              <w:spacing w:after="0"/>
              <w:rPr>
                <w:sz w:val="20"/>
                <w:szCs w:val="20"/>
                <w:color w:val="auto"/>
              </w:rPr>
            </w:pPr>
            <w:r>
              <w:rPr>
                <w:rFonts w:ascii="Arial" w:cs="Arial" w:eastAsia="Arial" w:hAnsi="Arial"/>
                <w:sz w:val="13"/>
                <w:szCs w:val="13"/>
                <w:color w:val="auto"/>
              </w:rPr>
              <w:t>(553)</w:t>
            </w:r>
          </w:p>
        </w:tc>
        <w:tc>
          <w:tcPr>
            <w:tcW w:w="120" w:type="dxa"/>
            <w:vAlign w:val="bottom"/>
          </w:tcPr>
          <w:p>
            <w:pPr>
              <w:spacing w:after="0"/>
              <w:rPr>
                <w:sz w:val="10"/>
                <w:szCs w:val="10"/>
                <w:color w:val="auto"/>
              </w:rPr>
            </w:pPr>
          </w:p>
        </w:tc>
        <w:tc>
          <w:tcPr>
            <w:tcW w:w="160" w:type="dxa"/>
            <w:vAlign w:val="bottom"/>
            <w:vMerge w:val="restart"/>
          </w:tcPr>
          <w:p>
            <w:pPr>
              <w:jc w:val="right"/>
              <w:ind w:right="48"/>
              <w:spacing w:after="0"/>
              <w:rPr>
                <w:sz w:val="20"/>
                <w:szCs w:val="20"/>
                <w:color w:val="auto"/>
              </w:rPr>
            </w:pPr>
            <w:r>
              <w:rPr>
                <w:rFonts w:ascii="Arial" w:cs="Arial" w:eastAsia="Arial" w:hAnsi="Arial"/>
                <w:sz w:val="10"/>
                <w:szCs w:val="10"/>
                <w:color w:val="auto"/>
                <w:w w:val="71"/>
              </w:rPr>
              <w:t>$</w:t>
            </w:r>
          </w:p>
        </w:tc>
        <w:tc>
          <w:tcPr>
            <w:tcW w:w="680" w:type="dxa"/>
            <w:vAlign w:val="bottom"/>
            <w:vMerge w:val="restart"/>
          </w:tcPr>
          <w:p>
            <w:pPr>
              <w:jc w:val="right"/>
              <w:ind w:right="57"/>
              <w:spacing w:after="0"/>
              <w:rPr>
                <w:sz w:val="20"/>
                <w:szCs w:val="20"/>
                <w:color w:val="auto"/>
              </w:rPr>
            </w:pPr>
            <w:r>
              <w:rPr>
                <w:rFonts w:ascii="Arial" w:cs="Arial" w:eastAsia="Arial" w:hAnsi="Arial"/>
                <w:sz w:val="13"/>
                <w:szCs w:val="13"/>
                <w:color w:val="auto"/>
              </w:rPr>
              <w:t>(195)</w:t>
            </w:r>
          </w:p>
        </w:tc>
        <w:tc>
          <w:tcPr>
            <w:tcW w:w="120" w:type="dxa"/>
            <w:vAlign w:val="bottom"/>
          </w:tcPr>
          <w:p>
            <w:pPr>
              <w:spacing w:after="0"/>
              <w:rPr>
                <w:sz w:val="10"/>
                <w:szCs w:val="10"/>
                <w:color w:val="auto"/>
              </w:rPr>
            </w:pPr>
          </w:p>
        </w:tc>
        <w:tc>
          <w:tcPr>
            <w:tcW w:w="8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vMerge w:val="restart"/>
          </w:tcPr>
          <w:p>
            <w:pPr>
              <w:jc w:val="right"/>
              <w:ind w:right="77"/>
              <w:spacing w:after="0"/>
              <w:rPr>
                <w:sz w:val="20"/>
                <w:szCs w:val="20"/>
                <w:color w:val="auto"/>
              </w:rPr>
            </w:pPr>
            <w:r>
              <w:rPr>
                <w:rFonts w:ascii="Arial" w:cs="Arial" w:eastAsia="Arial" w:hAnsi="Arial"/>
                <w:sz w:val="13"/>
                <w:szCs w:val="13"/>
                <w:color w:val="auto"/>
              </w:rPr>
              <w:t>226</w:t>
            </w:r>
          </w:p>
        </w:tc>
        <w:tc>
          <w:tcPr>
            <w:tcW w:w="120" w:type="dxa"/>
            <w:vAlign w:val="bottom"/>
          </w:tcPr>
          <w:p>
            <w:pPr>
              <w:spacing w:after="0"/>
              <w:rPr>
                <w:sz w:val="10"/>
                <w:szCs w:val="10"/>
                <w:color w:val="auto"/>
              </w:rPr>
            </w:pPr>
          </w:p>
        </w:tc>
        <w:tc>
          <w:tcPr>
            <w:tcW w:w="580" w:type="dxa"/>
            <w:vAlign w:val="bottom"/>
            <w:vMerge w:val="restart"/>
          </w:tcPr>
          <w:p>
            <w:pPr>
              <w:spacing w:after="0"/>
              <w:rPr>
                <w:sz w:val="20"/>
                <w:szCs w:val="20"/>
                <w:color w:val="auto"/>
              </w:rPr>
            </w:pPr>
            <w:r>
              <w:rPr>
                <w:rFonts w:ascii="Arial" w:cs="Arial" w:eastAsia="Arial" w:hAnsi="Arial"/>
                <w:sz w:val="13"/>
                <w:szCs w:val="13"/>
                <w:color w:val="auto"/>
              </w:rPr>
              <w:t>$</w:t>
            </w:r>
          </w:p>
        </w:tc>
        <w:tc>
          <w:tcPr>
            <w:tcW w:w="1040" w:type="dxa"/>
            <w:vAlign w:val="bottom"/>
            <w:vMerge w:val="restart"/>
          </w:tcPr>
          <w:p>
            <w:pPr>
              <w:jc w:val="right"/>
              <w:ind w:right="77"/>
              <w:spacing w:after="0"/>
              <w:rPr>
                <w:sz w:val="20"/>
                <w:szCs w:val="20"/>
                <w:color w:val="auto"/>
              </w:rPr>
            </w:pPr>
            <w:r>
              <w:rPr>
                <w:rFonts w:ascii="Arial" w:cs="Arial" w:eastAsia="Arial" w:hAnsi="Arial"/>
                <w:sz w:val="13"/>
                <w:szCs w:val="13"/>
                <w:color w:val="auto"/>
              </w:rPr>
              <w:t>(14)</w:t>
            </w:r>
          </w:p>
        </w:tc>
        <w:tc>
          <w:tcPr>
            <w:tcW w:w="12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vMerge w:val="restart"/>
          </w:tcPr>
          <w:p>
            <w:pPr>
              <w:jc w:val="right"/>
              <w:ind w:right="37"/>
              <w:spacing w:after="0"/>
              <w:rPr>
                <w:sz w:val="20"/>
                <w:szCs w:val="20"/>
                <w:color w:val="auto"/>
              </w:rPr>
            </w:pPr>
            <w:r>
              <w:rPr>
                <w:rFonts w:ascii="Arial" w:cs="Arial" w:eastAsia="Arial" w:hAnsi="Arial"/>
                <w:sz w:val="13"/>
                <w:szCs w:val="13"/>
                <w:color w:val="auto"/>
              </w:rPr>
              <w:t>(536)</w:t>
            </w:r>
          </w:p>
        </w:tc>
        <w:tc>
          <w:tcPr>
            <w:tcW w:w="0" w:type="dxa"/>
            <w:vAlign w:val="bottom"/>
          </w:tcPr>
          <w:p>
            <w:pPr>
              <w:spacing w:after="0"/>
              <w:rPr>
                <w:sz w:val="1"/>
                <w:szCs w:val="1"/>
                <w:color w:val="auto"/>
              </w:rPr>
            </w:pPr>
          </w:p>
        </w:tc>
      </w:tr>
      <w:tr>
        <w:trPr>
          <w:trHeight w:val="168"/>
        </w:trPr>
        <w:tc>
          <w:tcPr>
            <w:tcW w:w="2400" w:type="dxa"/>
            <w:vAlign w:val="bottom"/>
          </w:tcPr>
          <w:p>
            <w:pPr>
              <w:ind w:left="160"/>
              <w:spacing w:after="0"/>
              <w:rPr>
                <w:sz w:val="20"/>
                <w:szCs w:val="20"/>
                <w:color w:val="auto"/>
              </w:rPr>
            </w:pPr>
            <w:r>
              <w:rPr>
                <w:rFonts w:ascii="Arial" w:cs="Arial" w:eastAsia="Arial" w:hAnsi="Arial"/>
                <w:sz w:val="13"/>
                <w:szCs w:val="13"/>
                <w:color w:val="auto"/>
              </w:rPr>
              <w:t>adjusted</w:t>
            </w:r>
          </w:p>
        </w:tc>
        <w:tc>
          <w:tcPr>
            <w:tcW w:w="10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400" w:type="dxa"/>
            <w:vAlign w:val="bottom"/>
            <w:shd w:val="clear" w:color="auto" w:fill="CCEEFF"/>
          </w:tcPr>
          <w:p>
            <w:pPr>
              <w:spacing w:after="0"/>
              <w:rPr>
                <w:sz w:val="20"/>
                <w:szCs w:val="20"/>
                <w:color w:val="auto"/>
              </w:rPr>
            </w:pPr>
            <w:r>
              <w:rPr>
                <w:rFonts w:ascii="Arial" w:cs="Arial" w:eastAsia="Arial" w:hAnsi="Arial"/>
                <w:sz w:val="13"/>
                <w:szCs w:val="13"/>
                <w:color w:val="auto"/>
              </w:rPr>
              <w:t>Adjustments(a)</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1160" w:type="dxa"/>
            <w:vAlign w:val="bottom"/>
            <w:gridSpan w:val="2"/>
            <w:shd w:val="clear" w:color="auto" w:fill="CCEEFF"/>
          </w:tcPr>
          <w:p>
            <w:pPr>
              <w:ind w:left="7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(92)</w:t>
            </w:r>
          </w:p>
        </w:tc>
        <w:tc>
          <w:tcPr>
            <w:tcW w:w="0" w:type="dxa"/>
            <w:vAlign w:val="bottom"/>
          </w:tcPr>
          <w:p>
            <w:pPr>
              <w:spacing w:after="0"/>
              <w:rPr>
                <w:sz w:val="1"/>
                <w:szCs w:val="1"/>
                <w:color w:val="auto"/>
              </w:rPr>
            </w:pPr>
          </w:p>
        </w:tc>
      </w:tr>
      <w:tr>
        <w:trPr>
          <w:trHeight w:val="181"/>
        </w:trPr>
        <w:tc>
          <w:tcPr>
            <w:tcW w:w="2400" w:type="dxa"/>
            <w:vAlign w:val="bottom"/>
          </w:tcPr>
          <w:p>
            <w:pPr>
              <w:spacing w:after="0"/>
              <w:rPr>
                <w:sz w:val="20"/>
                <w:szCs w:val="20"/>
                <w:color w:val="auto"/>
              </w:rPr>
            </w:pPr>
            <w:r>
              <w:rPr>
                <w:rFonts w:ascii="Arial" w:cs="Arial" w:eastAsia="Arial" w:hAnsi="Arial"/>
                <w:sz w:val="13"/>
                <w:szCs w:val="13"/>
                <w:color w:val="auto"/>
              </w:rPr>
              <w:t>Automotive interest income</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ind w:right="77"/>
              <w:spacing w:after="0"/>
              <w:rPr>
                <w:sz w:val="20"/>
                <w:szCs w:val="20"/>
                <w:color w:val="auto"/>
              </w:rPr>
            </w:pPr>
            <w:r>
              <w:rPr>
                <w:rFonts w:ascii="Arial" w:cs="Arial" w:eastAsia="Arial" w:hAnsi="Arial"/>
                <w:sz w:val="13"/>
                <w:szCs w:val="13"/>
                <w:color w:val="auto"/>
              </w:rPr>
              <w:t>61</w:t>
            </w:r>
          </w:p>
        </w:tc>
        <w:tc>
          <w:tcPr>
            <w:tcW w:w="0" w:type="dxa"/>
            <w:vAlign w:val="bottom"/>
          </w:tcPr>
          <w:p>
            <w:pPr>
              <w:spacing w:after="0"/>
              <w:rPr>
                <w:sz w:val="1"/>
                <w:szCs w:val="1"/>
                <w:color w:val="auto"/>
              </w:rPr>
            </w:pPr>
          </w:p>
        </w:tc>
      </w:tr>
      <w:tr>
        <w:trPr>
          <w:trHeight w:val="197"/>
        </w:trPr>
        <w:tc>
          <w:tcPr>
            <w:tcW w:w="2400" w:type="dxa"/>
            <w:vAlign w:val="bottom"/>
            <w:shd w:val="clear" w:color="auto" w:fill="CCEEFF"/>
          </w:tcPr>
          <w:p>
            <w:pPr>
              <w:spacing w:after="0"/>
              <w:rPr>
                <w:sz w:val="20"/>
                <w:szCs w:val="20"/>
                <w:color w:val="auto"/>
              </w:rPr>
            </w:pPr>
            <w:r>
              <w:rPr>
                <w:rFonts w:ascii="Arial" w:cs="Arial" w:eastAsia="Arial" w:hAnsi="Arial"/>
                <w:sz w:val="13"/>
                <w:szCs w:val="13"/>
                <w:color w:val="auto"/>
              </w:rPr>
              <w:t>Automotive interest expense</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(303)</w:t>
            </w:r>
          </w:p>
        </w:tc>
        <w:tc>
          <w:tcPr>
            <w:tcW w:w="0" w:type="dxa"/>
            <w:vAlign w:val="bottom"/>
          </w:tcPr>
          <w:p>
            <w:pPr>
              <w:spacing w:after="0"/>
              <w:rPr>
                <w:sz w:val="1"/>
                <w:szCs w:val="1"/>
                <w:color w:val="auto"/>
              </w:rPr>
            </w:pPr>
          </w:p>
        </w:tc>
      </w:tr>
      <w:tr>
        <w:trPr>
          <w:trHeight w:val="121"/>
        </w:trPr>
        <w:tc>
          <w:tcPr>
            <w:tcW w:w="2400" w:type="dxa"/>
            <w:vAlign w:val="bottom"/>
          </w:tcPr>
          <w:p>
            <w:pPr>
              <w:spacing w:after="0" w:line="122" w:lineRule="exact"/>
              <w:rPr>
                <w:sz w:val="20"/>
                <w:szCs w:val="20"/>
                <w:color w:val="auto"/>
              </w:rPr>
            </w:pPr>
            <w:r>
              <w:rPr>
                <w:rFonts w:ascii="Arial" w:cs="Arial" w:eastAsia="Arial" w:hAnsi="Arial"/>
                <w:sz w:val="13"/>
                <w:szCs w:val="13"/>
                <w:color w:val="auto"/>
              </w:rPr>
              <w:t>Net (loss) attributable to noncontrolling</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vMerge w:val="restart"/>
          </w:tcPr>
          <w:p>
            <w:pPr>
              <w:jc w:val="right"/>
              <w:ind w:right="37"/>
              <w:spacing w:after="0"/>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169"/>
        </w:trPr>
        <w:tc>
          <w:tcPr>
            <w:tcW w:w="2400" w:type="dxa"/>
            <w:vAlign w:val="bottom"/>
            <w:tcBorders>
              <w:bottom w:val="single" w:sz="8" w:color="CCEEFF"/>
            </w:tcBorders>
          </w:tcPr>
          <w:p>
            <w:pPr>
              <w:ind w:left="160"/>
              <w:spacing w:after="0"/>
              <w:rPr>
                <w:sz w:val="20"/>
                <w:szCs w:val="20"/>
                <w:color w:val="auto"/>
              </w:rPr>
            </w:pPr>
            <w:r>
              <w:rPr>
                <w:rFonts w:ascii="Arial" w:cs="Arial" w:eastAsia="Arial" w:hAnsi="Arial"/>
                <w:sz w:val="13"/>
                <w:szCs w:val="13"/>
                <w:color w:val="auto"/>
              </w:rPr>
              <w:t>interests</w:t>
            </w:r>
          </w:p>
        </w:tc>
        <w:tc>
          <w:tcPr>
            <w:tcW w:w="10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0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400" w:type="dxa"/>
            <w:vAlign w:val="bottom"/>
            <w:shd w:val="clear" w:color="auto" w:fill="CCEEFF"/>
          </w:tcPr>
          <w:p>
            <w:pPr>
              <w:spacing w:after="0"/>
              <w:rPr>
                <w:sz w:val="20"/>
                <w:szCs w:val="20"/>
                <w:color w:val="auto"/>
              </w:rPr>
            </w:pPr>
            <w:r>
              <w:rPr>
                <w:rFonts w:ascii="Arial" w:cs="Arial" w:eastAsia="Arial" w:hAnsi="Arial"/>
                <w:sz w:val="13"/>
                <w:szCs w:val="13"/>
                <w:color w:val="auto"/>
              </w:rPr>
              <w:t>Loss before income taxes</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(892)</w:t>
            </w:r>
          </w:p>
        </w:tc>
        <w:tc>
          <w:tcPr>
            <w:tcW w:w="0" w:type="dxa"/>
            <w:vAlign w:val="bottom"/>
          </w:tcPr>
          <w:p>
            <w:pPr>
              <w:spacing w:after="0"/>
              <w:rPr>
                <w:sz w:val="1"/>
                <w:szCs w:val="1"/>
                <w:color w:val="auto"/>
              </w:rPr>
            </w:pPr>
          </w:p>
        </w:tc>
      </w:tr>
      <w:tr>
        <w:trPr>
          <w:trHeight w:val="183"/>
        </w:trPr>
        <w:tc>
          <w:tcPr>
            <w:tcW w:w="240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Income tax benefit</w:t>
            </w: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580" w:type="dxa"/>
            <w:vAlign w:val="bottom"/>
            <w:tcBorders>
              <w:bottom w:val="single" w:sz="8" w:color="CCEEFF"/>
            </w:tcBorders>
          </w:tcPr>
          <w:p>
            <w:pPr>
              <w:spacing w:after="0"/>
              <w:rPr>
                <w:sz w:val="15"/>
                <w:szCs w:val="15"/>
                <w:color w:val="auto"/>
              </w:rPr>
            </w:pPr>
          </w:p>
        </w:tc>
        <w:tc>
          <w:tcPr>
            <w:tcW w:w="10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112</w:t>
            </w:r>
          </w:p>
        </w:tc>
        <w:tc>
          <w:tcPr>
            <w:tcW w:w="0" w:type="dxa"/>
            <w:vAlign w:val="bottom"/>
          </w:tcPr>
          <w:p>
            <w:pPr>
              <w:spacing w:after="0"/>
              <w:rPr>
                <w:sz w:val="1"/>
                <w:szCs w:val="1"/>
                <w:color w:val="auto"/>
              </w:rPr>
            </w:pPr>
          </w:p>
        </w:tc>
      </w:tr>
      <w:tr>
        <w:trPr>
          <w:trHeight w:val="189"/>
        </w:trPr>
        <w:tc>
          <w:tcPr>
            <w:tcW w:w="2400" w:type="dxa"/>
            <w:vAlign w:val="bottom"/>
            <w:shd w:val="clear" w:color="auto" w:fill="CCEEFF"/>
          </w:tcPr>
          <w:p>
            <w:pPr>
              <w:spacing w:after="0"/>
              <w:rPr>
                <w:sz w:val="20"/>
                <w:szCs w:val="20"/>
                <w:color w:val="auto"/>
              </w:rPr>
            </w:pPr>
            <w:r>
              <w:rPr>
                <w:rFonts w:ascii="Arial" w:cs="Arial" w:eastAsia="Arial" w:hAnsi="Arial"/>
                <w:sz w:val="13"/>
                <w:szCs w:val="13"/>
                <w:color w:val="auto"/>
              </w:rPr>
              <w:t>Net loss</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(780)</w:t>
            </w:r>
          </w:p>
        </w:tc>
        <w:tc>
          <w:tcPr>
            <w:tcW w:w="0" w:type="dxa"/>
            <w:vAlign w:val="bottom"/>
          </w:tcPr>
          <w:p>
            <w:pPr>
              <w:spacing w:after="0"/>
              <w:rPr>
                <w:sz w:val="1"/>
                <w:szCs w:val="1"/>
                <w:color w:val="auto"/>
              </w:rPr>
            </w:pPr>
          </w:p>
        </w:tc>
      </w:tr>
      <w:tr>
        <w:trPr>
          <w:trHeight w:val="121"/>
        </w:trPr>
        <w:tc>
          <w:tcPr>
            <w:tcW w:w="2400" w:type="dxa"/>
            <w:vAlign w:val="bottom"/>
          </w:tcPr>
          <w:p>
            <w:pPr>
              <w:spacing w:after="0" w:line="122" w:lineRule="exact"/>
              <w:rPr>
                <w:sz w:val="20"/>
                <w:szCs w:val="20"/>
                <w:color w:val="auto"/>
              </w:rPr>
            </w:pPr>
            <w:r>
              <w:rPr>
                <w:rFonts w:ascii="Arial" w:cs="Arial" w:eastAsia="Arial" w:hAnsi="Arial"/>
                <w:sz w:val="13"/>
                <w:szCs w:val="13"/>
                <w:color w:val="auto"/>
              </w:rPr>
              <w:t>Net loss attributable to noncontrolling</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vMerge w:val="restart"/>
          </w:tcPr>
          <w:p>
            <w:pPr>
              <w:jc w:val="right"/>
              <w:ind w:right="77"/>
              <w:spacing w:after="0"/>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169"/>
        </w:trPr>
        <w:tc>
          <w:tcPr>
            <w:tcW w:w="2400" w:type="dxa"/>
            <w:vAlign w:val="bottom"/>
            <w:tcBorders>
              <w:bottom w:val="single" w:sz="8" w:color="CCEEFF"/>
            </w:tcBorders>
          </w:tcPr>
          <w:p>
            <w:pPr>
              <w:ind w:left="160"/>
              <w:spacing w:after="0"/>
              <w:rPr>
                <w:sz w:val="20"/>
                <w:szCs w:val="20"/>
                <w:color w:val="auto"/>
              </w:rPr>
            </w:pPr>
            <w:r>
              <w:rPr>
                <w:rFonts w:ascii="Arial" w:cs="Arial" w:eastAsia="Arial" w:hAnsi="Arial"/>
                <w:sz w:val="13"/>
                <w:szCs w:val="13"/>
                <w:color w:val="auto"/>
              </w:rPr>
              <w:t>interests</w:t>
            </w:r>
          </w:p>
        </w:tc>
        <w:tc>
          <w:tcPr>
            <w:tcW w:w="10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0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Net loss attributable to stockholders</w:t>
            </w:r>
          </w:p>
        </w:tc>
        <w:tc>
          <w:tcPr>
            <w:tcW w:w="1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(758)</w:t>
            </w:r>
          </w:p>
        </w:tc>
        <w:tc>
          <w:tcPr>
            <w:tcW w:w="0" w:type="dxa"/>
            <w:vAlign w:val="bottom"/>
          </w:tcPr>
          <w:p>
            <w:pPr>
              <w:spacing w:after="0"/>
              <w:rPr>
                <w:sz w:val="1"/>
                <w:szCs w:val="1"/>
                <w:color w:val="auto"/>
              </w:rPr>
            </w:pPr>
          </w:p>
        </w:tc>
      </w:tr>
      <w:tr>
        <w:trPr>
          <w:trHeight w:val="20"/>
        </w:trPr>
        <w:tc>
          <w:tcPr>
            <w:tcW w:w="2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2"/>
        </w:trPr>
        <w:tc>
          <w:tcPr>
            <w:tcW w:w="2400" w:type="dxa"/>
            <w:vAlign w:val="bottom"/>
            <w:shd w:val="clear" w:color="auto" w:fill="CCEEFF"/>
          </w:tcPr>
          <w:p>
            <w:pPr>
              <w:spacing w:after="0" w:line="122" w:lineRule="exact"/>
              <w:rPr>
                <w:sz w:val="20"/>
                <w:szCs w:val="20"/>
                <w:color w:val="auto"/>
              </w:rPr>
            </w:pPr>
            <w:r>
              <w:rPr>
                <w:rFonts w:ascii="Arial" w:cs="Arial" w:eastAsia="Arial" w:hAnsi="Arial"/>
                <w:sz w:val="13"/>
                <w:szCs w:val="13"/>
                <w:color w:val="auto"/>
              </w:rPr>
              <w:t>Equity in net assets of nonconsolidated</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vMerge w:val="restart"/>
            <w:shd w:val="clear" w:color="auto" w:fill="CCEEFF"/>
          </w:tcPr>
          <w:p>
            <w:pPr>
              <w:jc w:val="right"/>
              <w:ind w:right="77"/>
              <w:spacing w:after="0"/>
              <w:rPr>
                <w:sz w:val="20"/>
                <w:szCs w:val="20"/>
                <w:color w:val="auto"/>
              </w:rPr>
            </w:pPr>
            <w:r>
              <w:rPr>
                <w:rFonts w:ascii="Arial" w:cs="Arial" w:eastAsia="Arial" w:hAnsi="Arial"/>
                <w:sz w:val="13"/>
                <w:szCs w:val="13"/>
                <w:color w:val="auto"/>
              </w:rPr>
              <w:t>133</w:t>
            </w:r>
          </w:p>
        </w:tc>
        <w:tc>
          <w:tcPr>
            <w:tcW w:w="12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540" w:type="dxa"/>
            <w:vAlign w:val="bottom"/>
            <w:vMerge w:val="restart"/>
            <w:shd w:val="clear" w:color="auto" w:fill="CCEEFF"/>
          </w:tcPr>
          <w:p>
            <w:pPr>
              <w:jc w:val="right"/>
              <w:ind w:right="97"/>
              <w:spacing w:after="0"/>
              <w:rPr>
                <w:sz w:val="20"/>
                <w:szCs w:val="20"/>
                <w:color w:val="auto"/>
              </w:rPr>
            </w:pPr>
            <w:r>
              <w:rPr>
                <w:rFonts w:ascii="Arial" w:cs="Arial" w:eastAsia="Arial" w:hAnsi="Arial"/>
                <w:sz w:val="13"/>
                <w:szCs w:val="13"/>
                <w:color w:val="auto"/>
              </w:rPr>
              <w:t>6,107</w:t>
            </w:r>
          </w:p>
        </w:tc>
        <w:tc>
          <w:tcPr>
            <w:tcW w:w="10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vMerge w:val="restart"/>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vMerge w:val="restart"/>
            <w:shd w:val="clear" w:color="auto" w:fill="CCEEFF"/>
          </w:tcPr>
          <w:p>
            <w:pPr>
              <w:jc w:val="right"/>
              <w:ind w:right="77"/>
              <w:spacing w:after="0"/>
              <w:rPr>
                <w:sz w:val="20"/>
                <w:szCs w:val="20"/>
                <w:color w:val="auto"/>
              </w:rPr>
            </w:pPr>
            <w:r>
              <w:rPr>
                <w:rFonts w:ascii="Arial" w:cs="Arial" w:eastAsia="Arial" w:hAnsi="Arial"/>
                <w:sz w:val="13"/>
                <w:szCs w:val="13"/>
                <w:color w:val="auto"/>
              </w:rPr>
              <w:t>6,240</w:t>
            </w:r>
          </w:p>
        </w:tc>
        <w:tc>
          <w:tcPr>
            <w:tcW w:w="120" w:type="dxa"/>
            <w:vAlign w:val="bottom"/>
            <w:shd w:val="clear" w:color="auto" w:fill="CCEEFF"/>
          </w:tcPr>
          <w:p>
            <w:pPr>
              <w:spacing w:after="0"/>
              <w:rPr>
                <w:sz w:val="10"/>
                <w:szCs w:val="10"/>
                <w:color w:val="auto"/>
              </w:rPr>
            </w:pPr>
          </w:p>
        </w:tc>
        <w:tc>
          <w:tcPr>
            <w:tcW w:w="160" w:type="dxa"/>
            <w:vAlign w:val="bottom"/>
            <w:vMerge w:val="restart"/>
            <w:shd w:val="clear" w:color="auto" w:fill="CCEEFF"/>
          </w:tcPr>
          <w:p>
            <w:pPr>
              <w:jc w:val="right"/>
              <w:ind w:right="48"/>
              <w:spacing w:after="0"/>
              <w:rPr>
                <w:sz w:val="20"/>
                <w:szCs w:val="20"/>
                <w:color w:val="auto"/>
              </w:rPr>
            </w:pPr>
            <w:r>
              <w:rPr>
                <w:rFonts w:ascii="Arial" w:cs="Arial" w:eastAsia="Arial" w:hAnsi="Arial"/>
                <w:sz w:val="10"/>
                <w:szCs w:val="10"/>
                <w:color w:val="auto"/>
                <w:w w:val="71"/>
              </w:rPr>
              <w:t>$</w:t>
            </w:r>
          </w:p>
        </w:tc>
        <w:tc>
          <w:tcPr>
            <w:tcW w:w="80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vMerge w:val="restart"/>
            <w:shd w:val="clear" w:color="auto" w:fill="CCEEFF"/>
          </w:tcPr>
          <w:p>
            <w:pPr>
              <w:jc w:val="right"/>
              <w:ind w:right="77"/>
              <w:spacing w:after="0"/>
              <w:rPr>
                <w:sz w:val="20"/>
                <w:szCs w:val="20"/>
                <w:color w:val="auto"/>
              </w:rPr>
            </w:pPr>
            <w:r>
              <w:rPr>
                <w:rFonts w:ascii="Arial" w:cs="Arial" w:eastAsia="Arial" w:hAnsi="Arial"/>
                <w:sz w:val="13"/>
                <w:szCs w:val="13"/>
                <w:color w:val="auto"/>
              </w:rPr>
              <w:t>1,484</w:t>
            </w:r>
          </w:p>
        </w:tc>
        <w:tc>
          <w:tcPr>
            <w:tcW w:w="12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spacing w:after="0"/>
              <w:rPr>
                <w:sz w:val="20"/>
                <w:szCs w:val="20"/>
                <w:color w:val="auto"/>
              </w:rPr>
            </w:pPr>
            <w:r>
              <w:rPr>
                <w:rFonts w:ascii="Arial" w:cs="Arial" w:eastAsia="Arial" w:hAnsi="Arial"/>
                <w:sz w:val="13"/>
                <w:szCs w:val="13"/>
                <w:color w:val="auto"/>
              </w:rPr>
              <w:t>$</w:t>
            </w:r>
          </w:p>
        </w:tc>
        <w:tc>
          <w:tcPr>
            <w:tcW w:w="1160" w:type="dxa"/>
            <w:vAlign w:val="bottom"/>
            <w:gridSpan w:val="2"/>
            <w:vMerge w:val="restart"/>
            <w:shd w:val="clear" w:color="auto" w:fill="CCEEFF"/>
          </w:tcPr>
          <w:p>
            <w:pPr>
              <w:ind w:left="740"/>
              <w:spacing w:after="0"/>
              <w:rPr>
                <w:sz w:val="20"/>
                <w:szCs w:val="20"/>
                <w:color w:val="auto"/>
              </w:rPr>
            </w:pPr>
            <w:r>
              <w:rPr>
                <w:rFonts w:ascii="Arial" w:cs="Arial" w:eastAsia="Arial" w:hAnsi="Arial"/>
                <w:sz w:val="13"/>
                <w:szCs w:val="13"/>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vMerge w:val="restart"/>
            <w:shd w:val="clear" w:color="auto" w:fill="CCEEFF"/>
          </w:tcPr>
          <w:p>
            <w:pPr>
              <w:jc w:val="right"/>
              <w:ind w:right="77"/>
              <w:spacing w:after="0"/>
              <w:rPr>
                <w:sz w:val="20"/>
                <w:szCs w:val="20"/>
                <w:color w:val="auto"/>
              </w:rPr>
            </w:pPr>
            <w:r>
              <w:rPr>
                <w:rFonts w:ascii="Arial" w:cs="Arial" w:eastAsia="Arial" w:hAnsi="Arial"/>
                <w:sz w:val="13"/>
                <w:szCs w:val="13"/>
                <w:color w:val="auto"/>
              </w:rPr>
              <w:t>7,724</w:t>
            </w:r>
          </w:p>
        </w:tc>
        <w:tc>
          <w:tcPr>
            <w:tcW w:w="0" w:type="dxa"/>
            <w:vAlign w:val="bottom"/>
          </w:tcPr>
          <w:p>
            <w:pPr>
              <w:spacing w:after="0"/>
              <w:rPr>
                <w:sz w:val="1"/>
                <w:szCs w:val="1"/>
                <w:color w:val="auto"/>
              </w:rPr>
            </w:pPr>
          </w:p>
        </w:tc>
      </w:tr>
      <w:tr>
        <w:trPr>
          <w:trHeight w:val="175"/>
        </w:trPr>
        <w:tc>
          <w:tcPr>
            <w:tcW w:w="2400" w:type="dxa"/>
            <w:vAlign w:val="bottom"/>
            <w:shd w:val="clear" w:color="auto" w:fill="CCEEFF"/>
          </w:tcPr>
          <w:p>
            <w:pPr>
              <w:ind w:left="160"/>
              <w:spacing w:after="0"/>
              <w:rPr>
                <w:sz w:val="20"/>
                <w:szCs w:val="20"/>
                <w:color w:val="auto"/>
              </w:rPr>
            </w:pPr>
            <w:r>
              <w:rPr>
                <w:rFonts w:ascii="Arial" w:cs="Arial" w:eastAsia="Arial" w:hAnsi="Arial"/>
                <w:sz w:val="13"/>
                <w:szCs w:val="13"/>
                <w:color w:val="auto"/>
              </w:rPr>
              <w:t>affiliates</w:t>
            </w:r>
          </w:p>
        </w:tc>
        <w:tc>
          <w:tcPr>
            <w:tcW w:w="100" w:type="dxa"/>
            <w:vAlign w:val="bottom"/>
            <w:vMerge w:val="continue"/>
            <w:shd w:val="clear" w:color="auto" w:fill="CCEEFF"/>
          </w:tcPr>
          <w:p>
            <w:pPr>
              <w:spacing w:after="0"/>
              <w:rPr>
                <w:sz w:val="15"/>
                <w:szCs w:val="15"/>
                <w:color w:val="auto"/>
              </w:rPr>
            </w:pPr>
          </w:p>
        </w:tc>
        <w:tc>
          <w:tcPr>
            <w:tcW w:w="58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80" w:type="dxa"/>
            <w:vAlign w:val="bottom"/>
            <w:vMerge w:val="continue"/>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vMerge w:val="continue"/>
            <w:shd w:val="clear" w:color="auto" w:fill="CCEEFF"/>
          </w:tcPr>
          <w:p>
            <w:pPr>
              <w:spacing w:after="0"/>
              <w:rPr>
                <w:sz w:val="15"/>
                <w:szCs w:val="15"/>
                <w:color w:val="auto"/>
              </w:rPr>
            </w:pPr>
          </w:p>
        </w:tc>
        <w:tc>
          <w:tcPr>
            <w:tcW w:w="1160" w:type="dxa"/>
            <w:vAlign w:val="bottom"/>
            <w:gridSpan w:val="2"/>
            <w:vMerge w:val="continue"/>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400" w:type="dxa"/>
            <w:vAlign w:val="bottom"/>
          </w:tcPr>
          <w:p>
            <w:pPr>
              <w:spacing w:after="0"/>
              <w:rPr>
                <w:sz w:val="20"/>
                <w:szCs w:val="20"/>
                <w:color w:val="auto"/>
              </w:rPr>
            </w:pPr>
            <w:r>
              <w:rPr>
                <w:rFonts w:ascii="Arial" w:cs="Arial" w:eastAsia="Arial" w:hAnsi="Arial"/>
                <w:sz w:val="13"/>
                <w:szCs w:val="13"/>
                <w:color w:val="auto"/>
              </w:rPr>
              <w:t>Goodwill and intangibles</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77"/>
              <w:spacing w:after="0"/>
              <w:rPr>
                <w:sz w:val="20"/>
                <w:szCs w:val="20"/>
                <w:color w:val="auto"/>
              </w:rPr>
            </w:pPr>
            <w:r>
              <w:rPr>
                <w:rFonts w:ascii="Arial" w:cs="Arial" w:eastAsia="Arial" w:hAnsi="Arial"/>
                <w:sz w:val="13"/>
                <w:szCs w:val="13"/>
                <w:color w:val="auto"/>
              </w:rPr>
              <w:t>2,399</w:t>
            </w:r>
          </w:p>
        </w:tc>
        <w:tc>
          <w:tcPr>
            <w:tcW w:w="120" w:type="dxa"/>
            <w:vAlign w:val="bottom"/>
          </w:tcPr>
          <w:p>
            <w:pPr>
              <w:spacing w:after="0"/>
              <w:rPr>
                <w:sz w:val="15"/>
                <w:szCs w:val="15"/>
                <w:color w:val="auto"/>
              </w:rPr>
            </w:pPr>
          </w:p>
        </w:tc>
        <w:tc>
          <w:tcPr>
            <w:tcW w:w="120" w:type="dxa"/>
            <w:vAlign w:val="bottom"/>
          </w:tcPr>
          <w:p>
            <w:pPr>
              <w:jc w:val="right"/>
              <w:ind w:right="8"/>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ind w:right="77"/>
              <w:spacing w:after="0"/>
              <w:rPr>
                <w:sz w:val="20"/>
                <w:szCs w:val="20"/>
                <w:color w:val="auto"/>
              </w:rPr>
            </w:pPr>
            <w:r>
              <w:rPr>
                <w:rFonts w:ascii="Arial" w:cs="Arial" w:eastAsia="Arial" w:hAnsi="Arial"/>
                <w:sz w:val="13"/>
                <w:szCs w:val="13"/>
                <w:color w:val="auto"/>
              </w:rPr>
              <w:t>819</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ind w:left="5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ind w:right="77"/>
              <w:spacing w:after="0"/>
              <w:rPr>
                <w:sz w:val="20"/>
                <w:szCs w:val="20"/>
                <w:color w:val="auto"/>
              </w:rPr>
            </w:pPr>
            <w:r>
              <w:rPr>
                <w:rFonts w:ascii="Arial" w:cs="Arial" w:eastAsia="Arial" w:hAnsi="Arial"/>
                <w:sz w:val="13"/>
                <w:szCs w:val="13"/>
                <w:color w:val="auto"/>
              </w:rPr>
              <w:t>3,219</w:t>
            </w:r>
          </w:p>
        </w:tc>
        <w:tc>
          <w:tcPr>
            <w:tcW w:w="120" w:type="dxa"/>
            <w:vAlign w:val="bottom"/>
          </w:tcPr>
          <w:p>
            <w:pPr>
              <w:spacing w:after="0"/>
              <w:rPr>
                <w:sz w:val="15"/>
                <w:szCs w:val="15"/>
                <w:color w:val="auto"/>
              </w:rPr>
            </w:pPr>
          </w:p>
        </w:tc>
        <w:tc>
          <w:tcPr>
            <w:tcW w:w="160" w:type="dxa"/>
            <w:vAlign w:val="bottom"/>
          </w:tcPr>
          <w:p>
            <w:pPr>
              <w:jc w:val="right"/>
              <w:ind w:right="48"/>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726</w:t>
            </w:r>
          </w:p>
        </w:tc>
        <w:tc>
          <w:tcPr>
            <w:tcW w:w="1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1,337</w:t>
            </w:r>
          </w:p>
        </w:tc>
        <w:tc>
          <w:tcPr>
            <w:tcW w:w="120" w:type="dxa"/>
            <w:vAlign w:val="bottom"/>
          </w:tcPr>
          <w:p>
            <w:pPr>
              <w:spacing w:after="0"/>
              <w:rPr>
                <w:sz w:val="15"/>
                <w:szCs w:val="15"/>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w:t>
            </w:r>
          </w:p>
        </w:tc>
        <w:tc>
          <w:tcPr>
            <w:tcW w:w="1160" w:type="dxa"/>
            <w:vAlign w:val="bottom"/>
            <w:gridSpan w:val="2"/>
          </w:tcPr>
          <w:p>
            <w:pPr>
              <w:ind w:left="74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ind w:right="77"/>
              <w:spacing w:after="0"/>
              <w:rPr>
                <w:sz w:val="20"/>
                <w:szCs w:val="20"/>
                <w:color w:val="auto"/>
              </w:rPr>
            </w:pPr>
            <w:r>
              <w:rPr>
                <w:rFonts w:ascii="Arial" w:cs="Arial" w:eastAsia="Arial" w:hAnsi="Arial"/>
                <w:sz w:val="13"/>
                <w:szCs w:val="13"/>
                <w:color w:val="auto"/>
              </w:rPr>
              <w:t>5,282</w:t>
            </w:r>
          </w:p>
        </w:tc>
        <w:tc>
          <w:tcPr>
            <w:tcW w:w="0" w:type="dxa"/>
            <w:vAlign w:val="bottom"/>
          </w:tcPr>
          <w:p>
            <w:pPr>
              <w:spacing w:after="0"/>
              <w:rPr>
                <w:sz w:val="1"/>
                <w:szCs w:val="1"/>
                <w:color w:val="auto"/>
              </w:rPr>
            </w:pPr>
          </w:p>
        </w:tc>
      </w:tr>
      <w:tr>
        <w:trPr>
          <w:trHeight w:val="197"/>
        </w:trPr>
        <w:tc>
          <w:tcPr>
            <w:tcW w:w="2400" w:type="dxa"/>
            <w:vAlign w:val="bottom"/>
            <w:shd w:val="clear" w:color="auto" w:fill="CCEEFF"/>
          </w:tcPr>
          <w:p>
            <w:pPr>
              <w:spacing w:after="0"/>
              <w:rPr>
                <w:sz w:val="20"/>
                <w:szCs w:val="20"/>
                <w:color w:val="auto"/>
              </w:rPr>
            </w:pPr>
            <w:r>
              <w:rPr>
                <w:rFonts w:ascii="Arial" w:cs="Arial" w:eastAsia="Arial" w:hAnsi="Arial"/>
                <w:sz w:val="13"/>
                <w:szCs w:val="13"/>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w w:val="89"/>
              </w:rPr>
              <w:t>101,521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w w:val="90"/>
              </w:rPr>
              <w:t>21,494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43,258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ind w:left="300"/>
              <w:spacing w:after="0"/>
              <w:rPr>
                <w:sz w:val="20"/>
                <w:szCs w:val="20"/>
                <w:color w:val="auto"/>
              </w:rPr>
            </w:pPr>
            <w:r>
              <w:rPr>
                <w:rFonts w:ascii="Arial" w:cs="Arial" w:eastAsia="Arial" w:hAnsi="Arial"/>
                <w:sz w:val="13"/>
                <w:szCs w:val="13"/>
                <w:color w:val="auto"/>
              </w:rPr>
              <w:t>(41,700)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124,573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3,963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111,154</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(2,155)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w w:val="93"/>
              </w:rPr>
              <w:t>237,535</w:t>
            </w:r>
          </w:p>
        </w:tc>
        <w:tc>
          <w:tcPr>
            <w:tcW w:w="0" w:type="dxa"/>
            <w:vAlign w:val="bottom"/>
          </w:tcPr>
          <w:p>
            <w:pPr>
              <w:spacing w:after="0"/>
              <w:rPr>
                <w:sz w:val="1"/>
                <w:szCs w:val="1"/>
                <w:color w:val="auto"/>
              </w:rPr>
            </w:pPr>
          </w:p>
        </w:tc>
      </w:tr>
      <w:tr>
        <w:trPr>
          <w:trHeight w:val="181"/>
        </w:trPr>
        <w:tc>
          <w:tcPr>
            <w:tcW w:w="2400" w:type="dxa"/>
            <w:vAlign w:val="bottom"/>
          </w:tcPr>
          <w:p>
            <w:pPr>
              <w:spacing w:after="0"/>
              <w:rPr>
                <w:sz w:val="20"/>
                <w:szCs w:val="20"/>
                <w:color w:val="auto"/>
              </w:rPr>
            </w:pPr>
            <w:r>
              <w:rPr>
                <w:rFonts w:ascii="Arial" w:cs="Arial" w:eastAsia="Arial" w:hAnsi="Arial"/>
                <w:sz w:val="13"/>
                <w:szCs w:val="13"/>
                <w:color w:val="auto"/>
              </w:rPr>
              <w:t>Depreciation and amortization</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77"/>
              <w:spacing w:after="0"/>
              <w:rPr>
                <w:sz w:val="20"/>
                <w:szCs w:val="20"/>
                <w:color w:val="auto"/>
              </w:rPr>
            </w:pPr>
            <w:r>
              <w:rPr>
                <w:rFonts w:ascii="Arial" w:cs="Arial" w:eastAsia="Arial" w:hAnsi="Arial"/>
                <w:sz w:val="13"/>
                <w:szCs w:val="13"/>
                <w:color w:val="auto"/>
              </w:rPr>
              <w:t>1,127</w:t>
            </w:r>
          </w:p>
        </w:tc>
        <w:tc>
          <w:tcPr>
            <w:tcW w:w="120" w:type="dxa"/>
            <w:vAlign w:val="bottom"/>
          </w:tcPr>
          <w:p>
            <w:pPr>
              <w:spacing w:after="0"/>
              <w:rPr>
                <w:sz w:val="15"/>
                <w:szCs w:val="15"/>
                <w:color w:val="auto"/>
              </w:rPr>
            </w:pPr>
          </w:p>
        </w:tc>
        <w:tc>
          <w:tcPr>
            <w:tcW w:w="120" w:type="dxa"/>
            <w:vAlign w:val="bottom"/>
          </w:tcPr>
          <w:p>
            <w:pPr>
              <w:jc w:val="right"/>
              <w:ind w:right="8"/>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ind w:right="77"/>
              <w:spacing w:after="0"/>
              <w:rPr>
                <w:sz w:val="20"/>
                <w:szCs w:val="20"/>
                <w:color w:val="auto"/>
              </w:rPr>
            </w:pPr>
            <w:r>
              <w:rPr>
                <w:rFonts w:ascii="Arial" w:cs="Arial" w:eastAsia="Arial" w:hAnsi="Arial"/>
                <w:sz w:val="13"/>
                <w:szCs w:val="13"/>
                <w:color w:val="auto"/>
              </w:rPr>
              <w:t>149</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ind w:left="5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ind w:right="77"/>
              <w:spacing w:after="0"/>
              <w:rPr>
                <w:sz w:val="20"/>
                <w:szCs w:val="20"/>
                <w:color w:val="auto"/>
              </w:rPr>
            </w:pPr>
            <w:r>
              <w:rPr>
                <w:rFonts w:ascii="Arial" w:cs="Arial" w:eastAsia="Arial" w:hAnsi="Arial"/>
                <w:sz w:val="13"/>
                <w:szCs w:val="13"/>
                <w:color w:val="auto"/>
              </w:rPr>
              <w:t>1,282</w:t>
            </w:r>
          </w:p>
        </w:tc>
        <w:tc>
          <w:tcPr>
            <w:tcW w:w="120" w:type="dxa"/>
            <w:vAlign w:val="bottom"/>
          </w:tcPr>
          <w:p>
            <w:pPr>
              <w:spacing w:after="0"/>
              <w:rPr>
                <w:sz w:val="15"/>
                <w:szCs w:val="15"/>
                <w:color w:val="auto"/>
              </w:rPr>
            </w:pPr>
          </w:p>
        </w:tc>
        <w:tc>
          <w:tcPr>
            <w:tcW w:w="160" w:type="dxa"/>
            <w:vAlign w:val="bottom"/>
          </w:tcPr>
          <w:p>
            <w:pPr>
              <w:jc w:val="right"/>
              <w:ind w:right="48"/>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11</w:t>
            </w:r>
          </w:p>
        </w:tc>
        <w:tc>
          <w:tcPr>
            <w:tcW w:w="1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1,965</w:t>
            </w:r>
          </w:p>
        </w:tc>
        <w:tc>
          <w:tcPr>
            <w:tcW w:w="120" w:type="dxa"/>
            <w:vAlign w:val="bottom"/>
          </w:tcPr>
          <w:p>
            <w:pPr>
              <w:spacing w:after="0"/>
              <w:rPr>
                <w:sz w:val="15"/>
                <w:szCs w:val="15"/>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w:t>
            </w:r>
          </w:p>
        </w:tc>
        <w:tc>
          <w:tcPr>
            <w:tcW w:w="1160" w:type="dxa"/>
            <w:vAlign w:val="bottom"/>
            <w:gridSpan w:val="2"/>
          </w:tcPr>
          <w:p>
            <w:pPr>
              <w:ind w:left="74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ind w:right="77"/>
              <w:spacing w:after="0"/>
              <w:rPr>
                <w:sz w:val="20"/>
                <w:szCs w:val="20"/>
                <w:color w:val="auto"/>
              </w:rPr>
            </w:pPr>
            <w:r>
              <w:rPr>
                <w:rFonts w:ascii="Arial" w:cs="Arial" w:eastAsia="Arial" w:hAnsi="Arial"/>
                <w:sz w:val="13"/>
                <w:szCs w:val="13"/>
                <w:color w:val="auto"/>
              </w:rPr>
              <w:t>3,258</w:t>
            </w:r>
          </w:p>
        </w:tc>
        <w:tc>
          <w:tcPr>
            <w:tcW w:w="0" w:type="dxa"/>
            <w:vAlign w:val="bottom"/>
          </w:tcPr>
          <w:p>
            <w:pPr>
              <w:spacing w:after="0"/>
              <w:rPr>
                <w:sz w:val="1"/>
                <w:szCs w:val="1"/>
                <w:color w:val="auto"/>
              </w:rPr>
            </w:pPr>
          </w:p>
        </w:tc>
      </w:tr>
      <w:tr>
        <w:trPr>
          <w:trHeight w:val="197"/>
        </w:trPr>
        <w:tc>
          <w:tcPr>
            <w:tcW w:w="2400" w:type="dxa"/>
            <w:vAlign w:val="bottom"/>
            <w:shd w:val="clear" w:color="auto" w:fill="CCEEFF"/>
          </w:tcPr>
          <w:p>
            <w:pPr>
              <w:spacing w:after="0"/>
              <w:rPr>
                <w:sz w:val="20"/>
                <w:szCs w:val="20"/>
                <w:color w:val="auto"/>
              </w:rPr>
            </w:pPr>
            <w:r>
              <w:rPr>
                <w:rFonts w:ascii="Arial" w:cs="Arial" w:eastAsia="Arial" w:hAnsi="Arial"/>
                <w:sz w:val="13"/>
                <w:szCs w:val="13"/>
                <w:color w:val="auto"/>
              </w:rPr>
              <w:t>Impairment charges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1160" w:type="dxa"/>
            <w:vAlign w:val="bottom"/>
            <w:gridSpan w:val="2"/>
            <w:shd w:val="clear" w:color="auto" w:fill="CCEEFF"/>
          </w:tcPr>
          <w:p>
            <w:pPr>
              <w:ind w:left="7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73"/>
        </w:trPr>
        <w:tc>
          <w:tcPr>
            <w:tcW w:w="2400" w:type="dxa"/>
            <w:vAlign w:val="bottom"/>
          </w:tcPr>
          <w:p>
            <w:pPr>
              <w:spacing w:after="0"/>
              <w:rPr>
                <w:sz w:val="20"/>
                <w:szCs w:val="20"/>
                <w:color w:val="auto"/>
              </w:rPr>
            </w:pPr>
            <w:r>
              <w:rPr>
                <w:rFonts w:ascii="Arial" w:cs="Arial" w:eastAsia="Arial" w:hAnsi="Arial"/>
                <w:sz w:val="13"/>
                <w:szCs w:val="13"/>
                <w:color w:val="auto"/>
              </w:rPr>
              <w:t>Equity income</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77"/>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15"/>
                <w:szCs w:val="15"/>
                <w:color w:val="auto"/>
              </w:rPr>
            </w:pPr>
          </w:p>
        </w:tc>
        <w:tc>
          <w:tcPr>
            <w:tcW w:w="120" w:type="dxa"/>
            <w:vAlign w:val="bottom"/>
          </w:tcPr>
          <w:p>
            <w:pPr>
              <w:jc w:val="right"/>
              <w:ind w:right="8"/>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ind w:right="77"/>
              <w:spacing w:after="0"/>
              <w:rPr>
                <w:sz w:val="20"/>
                <w:szCs w:val="20"/>
                <w:color w:val="auto"/>
              </w:rPr>
            </w:pPr>
            <w:r>
              <w:rPr>
                <w:rFonts w:ascii="Arial" w:cs="Arial" w:eastAsia="Arial" w:hAnsi="Arial"/>
                <w:sz w:val="13"/>
                <w:szCs w:val="13"/>
                <w:color w:val="auto"/>
              </w:rPr>
              <w:t>165</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ind w:left="5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ind w:right="77"/>
              <w:spacing w:after="0"/>
              <w:rPr>
                <w:sz w:val="20"/>
                <w:szCs w:val="20"/>
                <w:color w:val="auto"/>
              </w:rPr>
            </w:pPr>
            <w:r>
              <w:rPr>
                <w:rFonts w:ascii="Arial" w:cs="Arial" w:eastAsia="Arial" w:hAnsi="Arial"/>
                <w:sz w:val="13"/>
                <w:szCs w:val="13"/>
                <w:color w:val="auto"/>
              </w:rPr>
              <w:t>170</w:t>
            </w:r>
          </w:p>
        </w:tc>
        <w:tc>
          <w:tcPr>
            <w:tcW w:w="120" w:type="dxa"/>
            <w:vAlign w:val="bottom"/>
          </w:tcPr>
          <w:p>
            <w:pPr>
              <w:spacing w:after="0"/>
              <w:rPr>
                <w:sz w:val="15"/>
                <w:szCs w:val="15"/>
                <w:color w:val="auto"/>
              </w:rPr>
            </w:pPr>
          </w:p>
        </w:tc>
        <w:tc>
          <w:tcPr>
            <w:tcW w:w="160" w:type="dxa"/>
            <w:vAlign w:val="bottom"/>
          </w:tcPr>
          <w:p>
            <w:pPr>
              <w:jc w:val="right"/>
              <w:ind w:right="48"/>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42</w:t>
            </w:r>
          </w:p>
        </w:tc>
        <w:tc>
          <w:tcPr>
            <w:tcW w:w="120" w:type="dxa"/>
            <w:vAlign w:val="bottom"/>
          </w:tcPr>
          <w:p>
            <w:pPr>
              <w:spacing w:after="0"/>
              <w:rPr>
                <w:sz w:val="15"/>
                <w:szCs w:val="15"/>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w:t>
            </w:r>
          </w:p>
        </w:tc>
        <w:tc>
          <w:tcPr>
            <w:tcW w:w="1160" w:type="dxa"/>
            <w:vAlign w:val="bottom"/>
            <w:gridSpan w:val="2"/>
          </w:tcPr>
          <w:p>
            <w:pPr>
              <w:ind w:left="74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ind w:right="77"/>
              <w:spacing w:after="0"/>
              <w:rPr>
                <w:sz w:val="20"/>
                <w:szCs w:val="20"/>
                <w:color w:val="auto"/>
              </w:rPr>
            </w:pPr>
            <w:r>
              <w:rPr>
                <w:rFonts w:ascii="Arial" w:cs="Arial" w:eastAsia="Arial" w:hAnsi="Arial"/>
                <w:sz w:val="13"/>
                <w:szCs w:val="13"/>
                <w:color w:val="auto"/>
              </w:rPr>
              <w:t>212</w:t>
            </w:r>
          </w:p>
        </w:tc>
        <w:tc>
          <w:tcPr>
            <w:tcW w:w="0" w:type="dxa"/>
            <w:vAlign w:val="bottom"/>
          </w:tcPr>
          <w:p>
            <w:pPr>
              <w:spacing w:after="0"/>
              <w:rPr>
                <w:sz w:val="1"/>
                <w:szCs w:val="1"/>
                <w:color w:val="auto"/>
              </w:rPr>
            </w:pPr>
          </w:p>
        </w:tc>
      </w:tr>
    </w:tbl>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1" w:lineRule="exact"/>
        <w:rPr>
          <w:sz w:val="20"/>
          <w:szCs w:val="20"/>
          <w:color w:val="auto"/>
        </w:rPr>
      </w:pPr>
    </w:p>
    <w:p>
      <w:pPr>
        <w:ind w:left="320" w:hanging="312"/>
        <w:spacing w:after="0"/>
        <w:tabs>
          <w:tab w:leader="none" w:pos="320" w:val="left"/>
        </w:tabs>
        <w:numPr>
          <w:ilvl w:val="0"/>
          <w:numId w:val="13"/>
        </w:numPr>
        <w:rPr>
          <w:rFonts w:ascii="Arial" w:cs="Arial" w:eastAsia="Arial" w:hAnsi="Arial"/>
          <w:sz w:val="13"/>
          <w:szCs w:val="13"/>
          <w:color w:val="auto"/>
        </w:rPr>
      </w:pPr>
      <w:r>
        <w:rPr>
          <w:rFonts w:ascii="Arial" w:cs="Arial" w:eastAsia="Arial" w:hAnsi="Arial"/>
          <w:sz w:val="13"/>
          <w:szCs w:val="13"/>
          <w:color w:val="auto"/>
        </w:rPr>
        <w:t>Consists of restructuring and other charges in Australia, New Zealand and Thailand.</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4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740" w:type="dxa"/>
            <w:vAlign w:val="bottom"/>
            <w:tcBorders>
              <w:bottom w:val="single" w:sz="8" w:color="auto"/>
            </w:tcBorders>
            <w:gridSpan w:val="11"/>
          </w:tcPr>
          <w:p>
            <w:pPr>
              <w:ind w:left="460"/>
              <w:spacing w:after="0"/>
              <w:rPr>
                <w:sz w:val="20"/>
                <w:szCs w:val="20"/>
                <w:color w:val="auto"/>
              </w:rPr>
            </w:pPr>
            <w:r>
              <w:rPr>
                <w:rFonts w:ascii="Arial" w:cs="Arial" w:eastAsia="Arial" w:hAnsi="Arial"/>
                <w:sz w:val="13"/>
                <w:szCs w:val="13"/>
                <w:b w:val="1"/>
                <w:bCs w:val="1"/>
                <w:color w:val="auto"/>
              </w:rPr>
              <w:t>At and For the Three Months Ended June 30, 2019</w:t>
            </w:r>
          </w:p>
        </w:tc>
        <w:tc>
          <w:tcPr>
            <w:tcW w:w="6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89"/>
              </w:rPr>
              <w:t>Total</w:t>
            </w: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80"/>
              <w:spacing w:after="0" w:line="144" w:lineRule="exact"/>
              <w:rPr>
                <w:sz w:val="20"/>
                <w:szCs w:val="20"/>
                <w:color w:val="auto"/>
              </w:rPr>
            </w:pPr>
            <w:r>
              <w:rPr>
                <w:rFonts w:ascii="Arial" w:cs="Arial" w:eastAsia="Arial" w:hAnsi="Arial"/>
                <w:sz w:val="13"/>
                <w:szCs w:val="13"/>
                <w:b w:val="1"/>
                <w:bCs w:val="1"/>
                <w:color w:val="auto"/>
              </w:rPr>
              <w:t>GM</w:t>
            </w:r>
          </w:p>
        </w:tc>
        <w:tc>
          <w:tcPr>
            <w:tcW w:w="6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ind w:left="40"/>
              <w:spacing w:after="0"/>
              <w:rPr>
                <w:sz w:val="20"/>
                <w:szCs w:val="20"/>
                <w:color w:val="auto"/>
              </w:rPr>
            </w:pPr>
            <w:r>
              <w:rPr>
                <w:rFonts w:ascii="Arial" w:cs="Arial" w:eastAsia="Arial" w:hAnsi="Arial"/>
                <w:sz w:val="13"/>
                <w:szCs w:val="13"/>
                <w:b w:val="1"/>
                <w:bCs w:val="1"/>
                <w:color w:val="auto"/>
              </w:rPr>
              <w:t>GMNA</w:t>
            </w:r>
          </w:p>
        </w:tc>
        <w:tc>
          <w:tcPr>
            <w:tcW w:w="14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3"/>
                <w:szCs w:val="13"/>
                <w:b w:val="1"/>
                <w:bCs w:val="1"/>
                <w:color w:val="auto"/>
              </w:rPr>
              <w:t>GMI</w:t>
            </w:r>
          </w:p>
        </w:tc>
        <w:tc>
          <w:tcPr>
            <w:tcW w:w="100" w:type="dxa"/>
            <w:vAlign w:val="bottom"/>
          </w:tcPr>
          <w:p>
            <w:pPr>
              <w:spacing w:after="0"/>
              <w:rPr>
                <w:sz w:val="15"/>
                <w:szCs w:val="15"/>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b w:val="1"/>
                <w:bCs w:val="1"/>
                <w:color w:val="auto"/>
              </w:rPr>
              <w:t>Corporate</w:t>
            </w:r>
          </w:p>
        </w:tc>
        <w:tc>
          <w:tcPr>
            <w:tcW w:w="100" w:type="dxa"/>
            <w:vAlign w:val="bottom"/>
          </w:tcPr>
          <w:p>
            <w:pPr>
              <w:spacing w:after="0"/>
              <w:rPr>
                <w:sz w:val="15"/>
                <w:szCs w:val="15"/>
                <w:color w:val="auto"/>
              </w:rPr>
            </w:pPr>
          </w:p>
        </w:tc>
        <w:tc>
          <w:tcPr>
            <w:tcW w:w="960" w:type="dxa"/>
            <w:vAlign w:val="bottom"/>
            <w:gridSpan w:val="2"/>
          </w:tcPr>
          <w:p>
            <w:pPr>
              <w:ind w:left="40"/>
              <w:spacing w:after="0"/>
              <w:rPr>
                <w:sz w:val="20"/>
                <w:szCs w:val="20"/>
                <w:color w:val="auto"/>
              </w:rPr>
            </w:pPr>
            <w:r>
              <w:rPr>
                <w:rFonts w:ascii="Arial" w:cs="Arial" w:eastAsia="Arial" w:hAnsi="Arial"/>
                <w:sz w:val="13"/>
                <w:szCs w:val="13"/>
                <w:b w:val="1"/>
                <w:bCs w:val="1"/>
                <w:color w:val="auto"/>
              </w:rPr>
              <w:t>Eliminations</w:t>
            </w:r>
          </w:p>
        </w:tc>
        <w:tc>
          <w:tcPr>
            <w:tcW w:w="100" w:type="dxa"/>
            <w:vAlign w:val="bottom"/>
          </w:tcPr>
          <w:p>
            <w:pPr>
              <w:spacing w:after="0"/>
              <w:rPr>
                <w:sz w:val="15"/>
                <w:szCs w:val="15"/>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6"/>
              </w:rPr>
              <w:t>Automotive</w:t>
            </w:r>
          </w:p>
        </w:tc>
        <w:tc>
          <w:tcPr>
            <w:tcW w:w="180" w:type="dxa"/>
            <w:vAlign w:val="bottom"/>
          </w:tcPr>
          <w:p>
            <w:pPr>
              <w:spacing w:after="0"/>
              <w:rPr>
                <w:sz w:val="15"/>
                <w:szCs w:val="15"/>
                <w:color w:val="auto"/>
              </w:rPr>
            </w:pPr>
          </w:p>
        </w:tc>
        <w:tc>
          <w:tcPr>
            <w:tcW w:w="780" w:type="dxa"/>
            <w:vAlign w:val="bottom"/>
            <w:gridSpan w:val="2"/>
          </w:tcPr>
          <w:p>
            <w:pPr>
              <w:ind w:left="80"/>
              <w:spacing w:after="0"/>
              <w:rPr>
                <w:sz w:val="20"/>
                <w:szCs w:val="20"/>
                <w:color w:val="auto"/>
              </w:rPr>
            </w:pPr>
            <w:r>
              <w:rPr>
                <w:rFonts w:ascii="Arial" w:cs="Arial" w:eastAsia="Arial" w:hAnsi="Arial"/>
                <w:sz w:val="13"/>
                <w:szCs w:val="13"/>
                <w:b w:val="1"/>
                <w:bCs w:val="1"/>
                <w:color w:val="auto"/>
              </w:rPr>
              <w:t>Cruise</w:t>
            </w:r>
          </w:p>
        </w:tc>
        <w:tc>
          <w:tcPr>
            <w:tcW w:w="100" w:type="dxa"/>
            <w:vAlign w:val="bottom"/>
          </w:tcPr>
          <w:p>
            <w:pPr>
              <w:spacing w:after="0"/>
              <w:rPr>
                <w:sz w:val="15"/>
                <w:szCs w:val="15"/>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8"/>
              </w:rPr>
              <w:t>Financial</w:t>
            </w:r>
          </w:p>
        </w:tc>
        <w:tc>
          <w:tcPr>
            <w:tcW w:w="1760" w:type="dxa"/>
            <w:vAlign w:val="bottom"/>
            <w:gridSpan w:val="3"/>
          </w:tcPr>
          <w:p>
            <w:pPr>
              <w:ind w:left="20"/>
              <w:spacing w:after="0"/>
              <w:rPr>
                <w:sz w:val="20"/>
                <w:szCs w:val="20"/>
                <w:color w:val="auto"/>
              </w:rPr>
            </w:pPr>
            <w:r>
              <w:rPr>
                <w:rFonts w:ascii="Arial" w:cs="Arial" w:eastAsia="Arial" w:hAnsi="Arial"/>
                <w:sz w:val="13"/>
                <w:szCs w:val="13"/>
                <w:b w:val="1"/>
                <w:bCs w:val="1"/>
                <w:color w:val="auto"/>
                <w:w w:val="91"/>
              </w:rPr>
              <w:t>Eliminations/Reclassifications</w:t>
            </w:r>
          </w:p>
        </w:tc>
        <w:tc>
          <w:tcPr>
            <w:tcW w:w="120" w:type="dxa"/>
            <w:vAlign w:val="bottom"/>
          </w:tcPr>
          <w:p>
            <w:pPr>
              <w:spacing w:after="0"/>
              <w:rPr>
                <w:sz w:val="15"/>
                <w:szCs w:val="15"/>
                <w:color w:val="auto"/>
              </w:rPr>
            </w:pPr>
          </w:p>
        </w:tc>
        <w:tc>
          <w:tcPr>
            <w:tcW w:w="600" w:type="dxa"/>
            <w:vAlign w:val="bottom"/>
          </w:tcPr>
          <w:p>
            <w:pPr>
              <w:jc w:val="right"/>
              <w:ind w:right="15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9"/>
        </w:trPr>
        <w:tc>
          <w:tcPr>
            <w:tcW w:w="2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sales and revenue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28,324</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4,047</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54</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32,425</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25</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3,639</w:t>
            </w:r>
          </w:p>
        </w:tc>
        <w:tc>
          <w:tcPr>
            <w:tcW w:w="10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4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(29)</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36,060</w:t>
            </w:r>
          </w:p>
        </w:tc>
        <w:tc>
          <w:tcPr>
            <w:tcW w:w="0" w:type="dxa"/>
            <w:vAlign w:val="bottom"/>
          </w:tcPr>
          <w:p>
            <w:pPr>
              <w:spacing w:after="0"/>
              <w:rPr>
                <w:sz w:val="1"/>
                <w:szCs w:val="1"/>
                <w:color w:val="auto"/>
              </w:rPr>
            </w:pPr>
          </w:p>
        </w:tc>
      </w:tr>
      <w:tr>
        <w:trPr>
          <w:trHeight w:val="122"/>
        </w:trPr>
        <w:tc>
          <w:tcPr>
            <w:tcW w:w="2420" w:type="dxa"/>
            <w:vAlign w:val="bottom"/>
          </w:tcPr>
          <w:p>
            <w:pPr>
              <w:ind w:left="20"/>
              <w:spacing w:after="0" w:line="122" w:lineRule="exact"/>
              <w:rPr>
                <w:sz w:val="20"/>
                <w:szCs w:val="20"/>
                <w:color w:val="auto"/>
              </w:rPr>
            </w:pPr>
            <w:r>
              <w:rPr>
                <w:rFonts w:ascii="Arial" w:cs="Arial" w:eastAsia="Arial" w:hAnsi="Arial"/>
                <w:sz w:val="13"/>
                <w:szCs w:val="13"/>
                <w:color w:val="auto"/>
              </w:rPr>
              <w:t>Earnings (loss) before interest and taxes-</w:t>
            </w: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vMerge w:val="restart"/>
          </w:tcPr>
          <w:p>
            <w:pPr>
              <w:jc w:val="right"/>
              <w:ind w:right="77"/>
              <w:spacing w:after="0"/>
              <w:rPr>
                <w:sz w:val="20"/>
                <w:szCs w:val="20"/>
                <w:color w:val="auto"/>
              </w:rPr>
            </w:pPr>
            <w:r>
              <w:rPr>
                <w:rFonts w:ascii="Arial" w:cs="Arial" w:eastAsia="Arial" w:hAnsi="Arial"/>
                <w:sz w:val="13"/>
                <w:szCs w:val="13"/>
                <w:color w:val="auto"/>
              </w:rPr>
              <w:t>3,022</w:t>
            </w:r>
          </w:p>
        </w:tc>
        <w:tc>
          <w:tcPr>
            <w:tcW w:w="100" w:type="dxa"/>
            <w:vAlign w:val="bottom"/>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vMerge w:val="restart"/>
          </w:tcPr>
          <w:p>
            <w:pPr>
              <w:jc w:val="right"/>
              <w:ind w:right="37"/>
              <w:spacing w:after="0"/>
              <w:rPr>
                <w:sz w:val="20"/>
                <w:szCs w:val="20"/>
                <w:color w:val="auto"/>
              </w:rPr>
            </w:pPr>
            <w:r>
              <w:rPr>
                <w:rFonts w:ascii="Arial" w:cs="Arial" w:eastAsia="Arial" w:hAnsi="Arial"/>
                <w:sz w:val="13"/>
                <w:szCs w:val="13"/>
                <w:color w:val="auto"/>
              </w:rPr>
              <w:t>(48)</w:t>
            </w:r>
          </w:p>
        </w:tc>
        <w:tc>
          <w:tcPr>
            <w:tcW w:w="12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vMerge w:val="restart"/>
          </w:tcPr>
          <w:p>
            <w:pPr>
              <w:jc w:val="right"/>
              <w:ind w:right="57"/>
              <w:spacing w:after="0"/>
              <w:rPr>
                <w:sz w:val="20"/>
                <w:szCs w:val="20"/>
                <w:color w:val="auto"/>
              </w:rPr>
            </w:pPr>
            <w:r>
              <w:rPr>
                <w:rFonts w:ascii="Arial" w:cs="Arial" w:eastAsia="Arial" w:hAnsi="Arial"/>
                <w:sz w:val="13"/>
                <w:szCs w:val="13"/>
                <w:color w:val="auto"/>
              </w:rPr>
              <w:t>(216)</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vMerge w:val="restart"/>
          </w:tcPr>
          <w:p>
            <w:pPr>
              <w:jc w:val="right"/>
              <w:ind w:right="77"/>
              <w:spacing w:after="0"/>
              <w:rPr>
                <w:sz w:val="20"/>
                <w:szCs w:val="20"/>
                <w:color w:val="auto"/>
              </w:rPr>
            </w:pPr>
            <w:r>
              <w:rPr>
                <w:rFonts w:ascii="Arial" w:cs="Arial" w:eastAsia="Arial" w:hAnsi="Arial"/>
                <w:sz w:val="13"/>
                <w:szCs w:val="13"/>
                <w:color w:val="auto"/>
              </w:rPr>
              <w:t>2,758</w:t>
            </w:r>
          </w:p>
        </w:tc>
        <w:tc>
          <w:tcPr>
            <w:tcW w:w="100" w:type="dxa"/>
            <w:vAlign w:val="bottom"/>
          </w:tcPr>
          <w:p>
            <w:pPr>
              <w:spacing w:after="0"/>
              <w:rPr>
                <w:sz w:val="10"/>
                <w:szCs w:val="10"/>
                <w:color w:val="auto"/>
              </w:rPr>
            </w:pPr>
          </w:p>
        </w:tc>
        <w:tc>
          <w:tcPr>
            <w:tcW w:w="180" w:type="dxa"/>
            <w:vAlign w:val="bottom"/>
            <w:vMerge w:val="restart"/>
          </w:tcPr>
          <w:p>
            <w:pPr>
              <w:jc w:val="right"/>
              <w:ind w:right="37"/>
              <w:spacing w:after="0"/>
              <w:rPr>
                <w:sz w:val="20"/>
                <w:szCs w:val="20"/>
                <w:color w:val="auto"/>
              </w:rPr>
            </w:pPr>
            <w:r>
              <w:rPr>
                <w:rFonts w:ascii="Arial" w:cs="Arial" w:eastAsia="Arial" w:hAnsi="Arial"/>
                <w:sz w:val="13"/>
                <w:szCs w:val="13"/>
                <w:color w:val="auto"/>
                <w:w w:val="82"/>
              </w:rPr>
              <w:t>$</w:t>
            </w:r>
          </w:p>
        </w:tc>
        <w:tc>
          <w:tcPr>
            <w:tcW w:w="680" w:type="dxa"/>
            <w:vAlign w:val="bottom"/>
            <w:vMerge w:val="restart"/>
          </w:tcPr>
          <w:p>
            <w:pPr>
              <w:jc w:val="right"/>
              <w:ind w:right="57"/>
              <w:spacing w:after="0"/>
              <w:rPr>
                <w:sz w:val="20"/>
                <w:szCs w:val="20"/>
                <w:color w:val="auto"/>
              </w:rPr>
            </w:pPr>
            <w:r>
              <w:rPr>
                <w:rFonts w:ascii="Arial" w:cs="Arial" w:eastAsia="Arial" w:hAnsi="Arial"/>
                <w:sz w:val="13"/>
                <w:szCs w:val="13"/>
                <w:color w:val="auto"/>
              </w:rPr>
              <w:t>(279)</w:t>
            </w:r>
          </w:p>
        </w:tc>
        <w:tc>
          <w:tcPr>
            <w:tcW w:w="10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vMerge w:val="restart"/>
          </w:tcPr>
          <w:p>
            <w:pPr>
              <w:jc w:val="right"/>
              <w:ind w:right="77"/>
              <w:spacing w:after="0"/>
              <w:rPr>
                <w:sz w:val="20"/>
                <w:szCs w:val="20"/>
                <w:color w:val="auto"/>
              </w:rPr>
            </w:pPr>
            <w:r>
              <w:rPr>
                <w:rFonts w:ascii="Arial" w:cs="Arial" w:eastAsia="Arial" w:hAnsi="Arial"/>
                <w:sz w:val="13"/>
                <w:szCs w:val="13"/>
                <w:color w:val="auto"/>
              </w:rPr>
              <w:t>536</w:t>
            </w:r>
          </w:p>
        </w:tc>
        <w:tc>
          <w:tcPr>
            <w:tcW w:w="100" w:type="dxa"/>
            <w:vAlign w:val="bottom"/>
          </w:tcPr>
          <w:p>
            <w:pPr>
              <w:spacing w:after="0"/>
              <w:rPr>
                <w:sz w:val="10"/>
                <w:szCs w:val="10"/>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w:t>
            </w:r>
          </w:p>
        </w:tc>
        <w:tc>
          <w:tcPr>
            <w:tcW w:w="1040" w:type="dxa"/>
            <w:vAlign w:val="bottom"/>
            <w:vMerge w:val="restart"/>
          </w:tcPr>
          <w:p>
            <w:pPr>
              <w:jc w:val="right"/>
              <w:ind w:right="77"/>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vMerge w:val="restart"/>
          </w:tcPr>
          <w:p>
            <w:pPr>
              <w:jc w:val="right"/>
              <w:ind w:right="77"/>
              <w:spacing w:after="0"/>
              <w:rPr>
                <w:sz w:val="20"/>
                <w:szCs w:val="20"/>
                <w:color w:val="auto"/>
              </w:rPr>
            </w:pPr>
            <w:r>
              <w:rPr>
                <w:rFonts w:ascii="Arial" w:cs="Arial" w:eastAsia="Arial" w:hAnsi="Arial"/>
                <w:sz w:val="13"/>
                <w:szCs w:val="13"/>
                <w:color w:val="auto"/>
              </w:rPr>
              <w:t>3,012</w:t>
            </w:r>
          </w:p>
        </w:tc>
        <w:tc>
          <w:tcPr>
            <w:tcW w:w="0" w:type="dxa"/>
            <w:vAlign w:val="bottom"/>
          </w:tcPr>
          <w:p>
            <w:pPr>
              <w:spacing w:after="0"/>
              <w:rPr>
                <w:sz w:val="1"/>
                <w:szCs w:val="1"/>
                <w:color w:val="auto"/>
              </w:rPr>
            </w:pPr>
          </w:p>
        </w:tc>
      </w:tr>
      <w:tr>
        <w:trPr>
          <w:trHeight w:val="168"/>
        </w:trPr>
        <w:tc>
          <w:tcPr>
            <w:tcW w:w="2420" w:type="dxa"/>
            <w:vAlign w:val="bottom"/>
          </w:tcPr>
          <w:p>
            <w:pPr>
              <w:ind w:left="180"/>
              <w:spacing w:after="0"/>
              <w:rPr>
                <w:sz w:val="20"/>
                <w:szCs w:val="20"/>
                <w:color w:val="auto"/>
              </w:rPr>
            </w:pPr>
            <w:r>
              <w:rPr>
                <w:rFonts w:ascii="Arial" w:cs="Arial" w:eastAsia="Arial" w:hAnsi="Arial"/>
                <w:sz w:val="13"/>
                <w:szCs w:val="13"/>
                <w:color w:val="auto"/>
              </w:rPr>
              <w:t>adjusted</w:t>
            </w:r>
          </w:p>
        </w:tc>
        <w:tc>
          <w:tcPr>
            <w:tcW w:w="10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Adjustments(a)</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(336)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357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160" w:type="dxa"/>
            <w:vAlign w:val="bottom"/>
            <w:gridSpan w:val="2"/>
            <w:shd w:val="clear" w:color="auto" w:fill="CCEEFF"/>
          </w:tcPr>
          <w:p>
            <w:pPr>
              <w:ind w:left="7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81"/>
        </w:trPr>
        <w:tc>
          <w:tcPr>
            <w:tcW w:w="2420" w:type="dxa"/>
            <w:vAlign w:val="bottom"/>
          </w:tcPr>
          <w:p>
            <w:pPr>
              <w:ind w:left="20"/>
              <w:spacing w:after="0"/>
              <w:rPr>
                <w:sz w:val="20"/>
                <w:szCs w:val="20"/>
                <w:color w:val="auto"/>
              </w:rPr>
            </w:pPr>
            <w:r>
              <w:rPr>
                <w:rFonts w:ascii="Arial" w:cs="Arial" w:eastAsia="Arial" w:hAnsi="Arial"/>
                <w:sz w:val="13"/>
                <w:szCs w:val="13"/>
                <w:color w:val="auto"/>
              </w:rPr>
              <w:t>Automotive interest income</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ind w:right="77"/>
              <w:spacing w:after="0"/>
              <w:rPr>
                <w:sz w:val="20"/>
                <w:szCs w:val="20"/>
                <w:color w:val="auto"/>
              </w:rPr>
            </w:pPr>
            <w:r>
              <w:rPr>
                <w:rFonts w:ascii="Arial" w:cs="Arial" w:eastAsia="Arial" w:hAnsi="Arial"/>
                <w:sz w:val="13"/>
                <w:szCs w:val="13"/>
                <w:color w:val="auto"/>
              </w:rPr>
              <w:t>106</w:t>
            </w:r>
          </w:p>
        </w:tc>
        <w:tc>
          <w:tcPr>
            <w:tcW w:w="0" w:type="dxa"/>
            <w:vAlign w:val="bottom"/>
          </w:tcPr>
          <w:p>
            <w:pPr>
              <w:spacing w:after="0"/>
              <w:rPr>
                <w:sz w:val="1"/>
                <w:szCs w:val="1"/>
                <w:color w:val="auto"/>
              </w:rPr>
            </w:pPr>
          </w:p>
        </w:tc>
      </w:tr>
      <w:tr>
        <w:trPr>
          <w:trHeight w:val="197"/>
        </w:trPr>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Automotive interest expense</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(195)</w:t>
            </w:r>
          </w:p>
        </w:tc>
        <w:tc>
          <w:tcPr>
            <w:tcW w:w="0" w:type="dxa"/>
            <w:vAlign w:val="bottom"/>
          </w:tcPr>
          <w:p>
            <w:pPr>
              <w:spacing w:after="0"/>
              <w:rPr>
                <w:sz w:val="1"/>
                <w:szCs w:val="1"/>
                <w:color w:val="auto"/>
              </w:rPr>
            </w:pPr>
          </w:p>
        </w:tc>
      </w:tr>
      <w:tr>
        <w:trPr>
          <w:trHeight w:val="122"/>
        </w:trPr>
        <w:tc>
          <w:tcPr>
            <w:tcW w:w="2420" w:type="dxa"/>
            <w:vAlign w:val="bottom"/>
          </w:tcPr>
          <w:p>
            <w:pPr>
              <w:ind w:left="20"/>
              <w:spacing w:after="0" w:line="122" w:lineRule="exact"/>
              <w:rPr>
                <w:sz w:val="20"/>
                <w:szCs w:val="20"/>
                <w:color w:val="auto"/>
              </w:rPr>
            </w:pPr>
            <w:r>
              <w:rPr>
                <w:rFonts w:ascii="Arial" w:cs="Arial" w:eastAsia="Arial" w:hAnsi="Arial"/>
                <w:sz w:val="13"/>
                <w:szCs w:val="13"/>
                <w:color w:val="auto"/>
              </w:rPr>
              <w:t>Net (loss) attributable to noncontrolling</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vMerge w:val="restart"/>
          </w:tcPr>
          <w:p>
            <w:pPr>
              <w:jc w:val="right"/>
              <w:ind w:right="37"/>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69"/>
        </w:trPr>
        <w:tc>
          <w:tcPr>
            <w:tcW w:w="242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interests</w:t>
            </w:r>
          </w:p>
        </w:tc>
        <w:tc>
          <w:tcPr>
            <w:tcW w:w="10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10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before income taxes</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2,927</w:t>
            </w:r>
          </w:p>
        </w:tc>
        <w:tc>
          <w:tcPr>
            <w:tcW w:w="0" w:type="dxa"/>
            <w:vAlign w:val="bottom"/>
          </w:tcPr>
          <w:p>
            <w:pPr>
              <w:spacing w:after="0"/>
              <w:rPr>
                <w:sz w:val="1"/>
                <w:szCs w:val="1"/>
                <w:color w:val="auto"/>
              </w:rPr>
            </w:pPr>
          </w:p>
        </w:tc>
      </w:tr>
      <w:tr>
        <w:trPr>
          <w:trHeight w:val="183"/>
        </w:trPr>
        <w:tc>
          <w:tcPr>
            <w:tcW w:w="24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Income tax expense</w:t>
            </w: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00" w:type="dxa"/>
            <w:vAlign w:val="bottom"/>
            <w:tcBorders>
              <w:bottom w:val="single" w:sz="8" w:color="CCEEFF"/>
            </w:tcBorders>
          </w:tcPr>
          <w:p>
            <w:pPr>
              <w:spacing w:after="0"/>
              <w:rPr>
                <w:sz w:val="15"/>
                <w:szCs w:val="15"/>
                <w:color w:val="auto"/>
              </w:rPr>
            </w:pPr>
          </w:p>
        </w:tc>
        <w:tc>
          <w:tcPr>
            <w:tcW w:w="10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(524)</w:t>
            </w:r>
          </w:p>
        </w:tc>
        <w:tc>
          <w:tcPr>
            <w:tcW w:w="0" w:type="dxa"/>
            <w:vAlign w:val="bottom"/>
          </w:tcPr>
          <w:p>
            <w:pPr>
              <w:spacing w:after="0"/>
              <w:rPr>
                <w:sz w:val="1"/>
                <w:szCs w:val="1"/>
                <w:color w:val="auto"/>
              </w:rPr>
            </w:pPr>
          </w:p>
        </w:tc>
      </w:tr>
      <w:tr>
        <w:trPr>
          <w:trHeight w:val="189"/>
        </w:trPr>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2,403</w:t>
            </w:r>
          </w:p>
        </w:tc>
        <w:tc>
          <w:tcPr>
            <w:tcW w:w="0" w:type="dxa"/>
            <w:vAlign w:val="bottom"/>
          </w:tcPr>
          <w:p>
            <w:pPr>
              <w:spacing w:after="0"/>
              <w:rPr>
                <w:sz w:val="1"/>
                <w:szCs w:val="1"/>
                <w:color w:val="auto"/>
              </w:rPr>
            </w:pPr>
          </w:p>
        </w:tc>
      </w:tr>
      <w:tr>
        <w:trPr>
          <w:trHeight w:val="122"/>
        </w:trPr>
        <w:tc>
          <w:tcPr>
            <w:tcW w:w="2420" w:type="dxa"/>
            <w:vAlign w:val="bottom"/>
          </w:tcPr>
          <w:p>
            <w:pPr>
              <w:ind w:left="20"/>
              <w:spacing w:after="0" w:line="122" w:lineRule="exact"/>
              <w:rPr>
                <w:sz w:val="20"/>
                <w:szCs w:val="20"/>
                <w:color w:val="auto"/>
              </w:rPr>
            </w:pPr>
            <w:r>
              <w:rPr>
                <w:rFonts w:ascii="Arial" w:cs="Arial" w:eastAsia="Arial" w:hAnsi="Arial"/>
                <w:sz w:val="13"/>
                <w:szCs w:val="13"/>
                <w:color w:val="auto"/>
              </w:rPr>
              <w:t>Net loss attributable to noncontrolling</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vMerge w:val="restart"/>
          </w:tcPr>
          <w:p>
            <w:pPr>
              <w:jc w:val="right"/>
              <w:ind w:right="77"/>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69"/>
        </w:trPr>
        <w:tc>
          <w:tcPr>
            <w:tcW w:w="242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interests</w:t>
            </w:r>
          </w:p>
        </w:tc>
        <w:tc>
          <w:tcPr>
            <w:tcW w:w="10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10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income attributable to stockholders</w:t>
            </w:r>
          </w:p>
        </w:tc>
        <w:tc>
          <w:tcPr>
            <w:tcW w:w="1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2,418</w:t>
            </w:r>
          </w:p>
        </w:tc>
        <w:tc>
          <w:tcPr>
            <w:tcW w:w="0" w:type="dxa"/>
            <w:vAlign w:val="bottom"/>
          </w:tcPr>
          <w:p>
            <w:pPr>
              <w:spacing w:after="0"/>
              <w:rPr>
                <w:sz w:val="1"/>
                <w:szCs w:val="1"/>
                <w:color w:val="auto"/>
              </w:rPr>
            </w:pPr>
          </w:p>
        </w:tc>
      </w:tr>
      <w:tr>
        <w:trPr>
          <w:trHeight w:val="21"/>
        </w:trPr>
        <w:tc>
          <w:tcPr>
            <w:tcW w:w="2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2"/>
        </w:trPr>
        <w:tc>
          <w:tcPr>
            <w:tcW w:w="2420" w:type="dxa"/>
            <w:vAlign w:val="bottom"/>
            <w:shd w:val="clear" w:color="auto" w:fill="CCEEFF"/>
          </w:tcPr>
          <w:p>
            <w:pPr>
              <w:ind w:left="20"/>
              <w:spacing w:after="0" w:line="122" w:lineRule="exact"/>
              <w:rPr>
                <w:sz w:val="20"/>
                <w:szCs w:val="20"/>
                <w:color w:val="auto"/>
              </w:rPr>
            </w:pPr>
            <w:r>
              <w:rPr>
                <w:rFonts w:ascii="Arial" w:cs="Arial" w:eastAsia="Arial" w:hAnsi="Arial"/>
                <w:sz w:val="13"/>
                <w:szCs w:val="13"/>
                <w:color w:val="auto"/>
              </w:rPr>
              <w:t>Equity in net assets of nonconsolidated</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vMerge w:val="restart"/>
            <w:shd w:val="clear" w:color="auto" w:fill="CCEEFF"/>
          </w:tcPr>
          <w:p>
            <w:pPr>
              <w:jc w:val="right"/>
              <w:ind w:right="77"/>
              <w:spacing w:after="0"/>
              <w:rPr>
                <w:sz w:val="20"/>
                <w:szCs w:val="20"/>
                <w:color w:val="auto"/>
              </w:rPr>
            </w:pPr>
            <w:r>
              <w:rPr>
                <w:rFonts w:ascii="Arial" w:cs="Arial" w:eastAsia="Arial" w:hAnsi="Arial"/>
                <w:sz w:val="13"/>
                <w:szCs w:val="13"/>
                <w:color w:val="auto"/>
              </w:rPr>
              <w:t>82</w:t>
            </w:r>
          </w:p>
        </w:tc>
        <w:tc>
          <w:tcPr>
            <w:tcW w:w="10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vMerge w:val="restart"/>
            <w:shd w:val="clear" w:color="auto" w:fill="CCEEFF"/>
          </w:tcPr>
          <w:p>
            <w:pPr>
              <w:jc w:val="right"/>
              <w:ind w:right="77"/>
              <w:spacing w:after="0"/>
              <w:rPr>
                <w:sz w:val="20"/>
                <w:szCs w:val="20"/>
                <w:color w:val="auto"/>
              </w:rPr>
            </w:pPr>
            <w:r>
              <w:rPr>
                <w:rFonts w:ascii="Arial" w:cs="Arial" w:eastAsia="Arial" w:hAnsi="Arial"/>
                <w:sz w:val="13"/>
                <w:szCs w:val="13"/>
                <w:color w:val="auto"/>
              </w:rPr>
              <w:t>6,800</w:t>
            </w:r>
          </w:p>
        </w:tc>
        <w:tc>
          <w:tcPr>
            <w:tcW w:w="12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vMerge w:val="restart"/>
            <w:shd w:val="clear" w:color="auto" w:fill="CCEEFF"/>
          </w:tcPr>
          <w:p>
            <w:pPr>
              <w:jc w:val="right"/>
              <w:ind w:right="77"/>
              <w:spacing w:after="0"/>
              <w:rPr>
                <w:sz w:val="20"/>
                <w:szCs w:val="20"/>
                <w:color w:val="auto"/>
              </w:rPr>
            </w:pPr>
            <w:r>
              <w:rPr>
                <w:rFonts w:ascii="Arial" w:cs="Arial" w:eastAsia="Arial" w:hAnsi="Arial"/>
                <w:sz w:val="13"/>
                <w:szCs w:val="13"/>
                <w:color w:val="auto"/>
              </w:rPr>
              <w:t>12</w:t>
            </w:r>
          </w:p>
        </w:tc>
        <w:tc>
          <w:tcPr>
            <w:tcW w:w="10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vMerge w:val="restart"/>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vMerge w:val="restart"/>
            <w:shd w:val="clear" w:color="auto" w:fill="CCEEFF"/>
          </w:tcPr>
          <w:p>
            <w:pPr>
              <w:jc w:val="right"/>
              <w:ind w:right="77"/>
              <w:spacing w:after="0"/>
              <w:rPr>
                <w:sz w:val="20"/>
                <w:szCs w:val="20"/>
                <w:color w:val="auto"/>
              </w:rPr>
            </w:pPr>
            <w:r>
              <w:rPr>
                <w:rFonts w:ascii="Arial" w:cs="Arial" w:eastAsia="Arial" w:hAnsi="Arial"/>
                <w:sz w:val="13"/>
                <w:szCs w:val="13"/>
                <w:color w:val="auto"/>
              </w:rPr>
              <w:t>6,894</w:t>
            </w:r>
          </w:p>
        </w:tc>
        <w:tc>
          <w:tcPr>
            <w:tcW w:w="100" w:type="dxa"/>
            <w:vAlign w:val="bottom"/>
            <w:shd w:val="clear" w:color="auto" w:fill="CCEEFF"/>
          </w:tcPr>
          <w:p>
            <w:pPr>
              <w:spacing w:after="0"/>
              <w:rPr>
                <w:sz w:val="10"/>
                <w:szCs w:val="10"/>
                <w:color w:val="auto"/>
              </w:rPr>
            </w:pPr>
          </w:p>
        </w:tc>
        <w:tc>
          <w:tcPr>
            <w:tcW w:w="18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7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vMerge w:val="restart"/>
            <w:shd w:val="clear" w:color="auto" w:fill="CCEEFF"/>
          </w:tcPr>
          <w:p>
            <w:pPr>
              <w:jc w:val="right"/>
              <w:ind w:right="77"/>
              <w:spacing w:after="0"/>
              <w:rPr>
                <w:sz w:val="20"/>
                <w:szCs w:val="20"/>
                <w:color w:val="auto"/>
              </w:rPr>
            </w:pPr>
            <w:r>
              <w:rPr>
                <w:rFonts w:ascii="Arial" w:cs="Arial" w:eastAsia="Arial" w:hAnsi="Arial"/>
                <w:sz w:val="13"/>
                <w:szCs w:val="13"/>
                <w:color w:val="auto"/>
              </w:rPr>
              <w:t>1,446</w:t>
            </w:r>
          </w:p>
        </w:tc>
        <w:tc>
          <w:tcPr>
            <w:tcW w:w="10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160" w:type="dxa"/>
            <w:vAlign w:val="bottom"/>
            <w:gridSpan w:val="2"/>
            <w:vMerge w:val="restart"/>
            <w:shd w:val="clear" w:color="auto" w:fill="CCEEFF"/>
          </w:tcPr>
          <w:p>
            <w:pPr>
              <w:ind w:left="740"/>
              <w:spacing w:after="0"/>
              <w:rPr>
                <w:sz w:val="20"/>
                <w:szCs w:val="20"/>
                <w:color w:val="auto"/>
              </w:rPr>
            </w:pPr>
            <w:r>
              <w:rPr>
                <w:rFonts w:ascii="Arial" w:cs="Arial" w:eastAsia="Arial" w:hAnsi="Arial"/>
                <w:sz w:val="13"/>
                <w:szCs w:val="13"/>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vMerge w:val="restart"/>
            <w:shd w:val="clear" w:color="auto" w:fill="CCEEFF"/>
          </w:tcPr>
          <w:p>
            <w:pPr>
              <w:jc w:val="right"/>
              <w:ind w:right="77"/>
              <w:spacing w:after="0"/>
              <w:rPr>
                <w:sz w:val="20"/>
                <w:szCs w:val="20"/>
                <w:color w:val="auto"/>
              </w:rPr>
            </w:pPr>
            <w:r>
              <w:rPr>
                <w:rFonts w:ascii="Arial" w:cs="Arial" w:eastAsia="Arial" w:hAnsi="Arial"/>
                <w:sz w:val="13"/>
                <w:szCs w:val="13"/>
                <w:color w:val="auto"/>
              </w:rPr>
              <w:t>8,340</w:t>
            </w:r>
          </w:p>
        </w:tc>
        <w:tc>
          <w:tcPr>
            <w:tcW w:w="0" w:type="dxa"/>
            <w:vAlign w:val="bottom"/>
          </w:tcPr>
          <w:p>
            <w:pPr>
              <w:spacing w:after="0"/>
              <w:rPr>
                <w:sz w:val="1"/>
                <w:szCs w:val="1"/>
                <w:color w:val="auto"/>
              </w:rPr>
            </w:pPr>
          </w:p>
        </w:tc>
      </w:tr>
      <w:tr>
        <w:trPr>
          <w:trHeight w:val="176"/>
        </w:trPr>
        <w:tc>
          <w:tcPr>
            <w:tcW w:w="24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affiliates</w:t>
            </w:r>
          </w:p>
        </w:tc>
        <w:tc>
          <w:tcPr>
            <w:tcW w:w="100" w:type="dxa"/>
            <w:vAlign w:val="bottom"/>
            <w:vMerge w:val="continue"/>
            <w:shd w:val="clear" w:color="auto" w:fill="CCEEFF"/>
          </w:tcPr>
          <w:p>
            <w:pPr>
              <w:spacing w:after="0"/>
              <w:rPr>
                <w:sz w:val="15"/>
                <w:szCs w:val="15"/>
                <w:color w:val="auto"/>
              </w:rPr>
            </w:pPr>
          </w:p>
        </w:tc>
        <w:tc>
          <w:tcPr>
            <w:tcW w:w="5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5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vMerge w:val="continue"/>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1160" w:type="dxa"/>
            <w:vAlign w:val="bottom"/>
            <w:gridSpan w:val="2"/>
            <w:vMerge w:val="continue"/>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420" w:type="dxa"/>
            <w:vAlign w:val="bottom"/>
          </w:tcPr>
          <w:p>
            <w:pPr>
              <w:ind w:left="20"/>
              <w:spacing w:after="0"/>
              <w:rPr>
                <w:sz w:val="20"/>
                <w:szCs w:val="20"/>
                <w:color w:val="auto"/>
              </w:rPr>
            </w:pPr>
            <w:r>
              <w:rPr>
                <w:rFonts w:ascii="Arial" w:cs="Arial" w:eastAsia="Arial" w:hAnsi="Arial"/>
                <w:sz w:val="13"/>
                <w:szCs w:val="13"/>
                <w:color w:val="auto"/>
              </w:rPr>
              <w:t>Goodwill and intangibles</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77"/>
              <w:spacing w:after="0"/>
              <w:rPr>
                <w:sz w:val="20"/>
                <w:szCs w:val="20"/>
                <w:color w:val="auto"/>
              </w:rPr>
            </w:pPr>
            <w:r>
              <w:rPr>
                <w:rFonts w:ascii="Arial" w:cs="Arial" w:eastAsia="Arial" w:hAnsi="Arial"/>
                <w:sz w:val="13"/>
                <w:szCs w:val="13"/>
                <w:color w:val="auto"/>
              </w:rPr>
              <w:t>2,520</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ind w:right="77"/>
              <w:spacing w:after="0"/>
              <w:rPr>
                <w:sz w:val="20"/>
                <w:szCs w:val="20"/>
                <w:color w:val="auto"/>
              </w:rPr>
            </w:pPr>
            <w:r>
              <w:rPr>
                <w:rFonts w:ascii="Arial" w:cs="Arial" w:eastAsia="Arial" w:hAnsi="Arial"/>
                <w:sz w:val="13"/>
                <w:szCs w:val="13"/>
                <w:color w:val="auto"/>
              </w:rPr>
              <w:t>908</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ind w:left="5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ind w:right="77"/>
              <w:spacing w:after="0"/>
              <w:rPr>
                <w:sz w:val="20"/>
                <w:szCs w:val="20"/>
                <w:color w:val="auto"/>
              </w:rPr>
            </w:pPr>
            <w:r>
              <w:rPr>
                <w:rFonts w:ascii="Arial" w:cs="Arial" w:eastAsia="Arial" w:hAnsi="Arial"/>
                <w:sz w:val="13"/>
                <w:szCs w:val="13"/>
                <w:color w:val="auto"/>
              </w:rPr>
              <w:t>3,429</w:t>
            </w:r>
          </w:p>
        </w:tc>
        <w:tc>
          <w:tcPr>
            <w:tcW w:w="100" w:type="dxa"/>
            <w:vAlign w:val="bottom"/>
          </w:tcPr>
          <w:p>
            <w:pPr>
              <w:spacing w:after="0"/>
              <w:rPr>
                <w:sz w:val="15"/>
                <w:szCs w:val="15"/>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670</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1,358</w:t>
            </w:r>
          </w:p>
        </w:tc>
        <w:tc>
          <w:tcPr>
            <w:tcW w:w="100" w:type="dxa"/>
            <w:vAlign w:val="bottom"/>
          </w:tcPr>
          <w:p>
            <w:pPr>
              <w:spacing w:after="0"/>
              <w:rPr>
                <w:sz w:val="15"/>
                <w:szCs w:val="15"/>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w:t>
            </w:r>
          </w:p>
        </w:tc>
        <w:tc>
          <w:tcPr>
            <w:tcW w:w="1160" w:type="dxa"/>
            <w:vAlign w:val="bottom"/>
            <w:gridSpan w:val="2"/>
          </w:tcPr>
          <w:p>
            <w:pPr>
              <w:ind w:left="74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ind w:right="77"/>
              <w:spacing w:after="0"/>
              <w:rPr>
                <w:sz w:val="20"/>
                <w:szCs w:val="20"/>
                <w:color w:val="auto"/>
              </w:rPr>
            </w:pPr>
            <w:r>
              <w:rPr>
                <w:rFonts w:ascii="Arial" w:cs="Arial" w:eastAsia="Arial" w:hAnsi="Arial"/>
                <w:sz w:val="13"/>
                <w:szCs w:val="13"/>
                <w:color w:val="auto"/>
              </w:rPr>
              <w:t>5,457</w:t>
            </w:r>
          </w:p>
        </w:tc>
        <w:tc>
          <w:tcPr>
            <w:tcW w:w="0" w:type="dxa"/>
            <w:vAlign w:val="bottom"/>
          </w:tcPr>
          <w:p>
            <w:pPr>
              <w:spacing w:after="0"/>
              <w:rPr>
                <w:sz w:val="1"/>
                <w:szCs w:val="1"/>
                <w:color w:val="auto"/>
              </w:rPr>
            </w:pPr>
          </w:p>
        </w:tc>
      </w:tr>
      <w:tr>
        <w:trPr>
          <w:trHeight w:val="197"/>
        </w:trPr>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w w:val="89"/>
              </w:rPr>
              <w:t>114,515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w w:val="90"/>
              </w:rPr>
              <w:t>26,681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29,597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ind w:left="300"/>
              <w:spacing w:after="0"/>
              <w:rPr>
                <w:sz w:val="20"/>
                <w:szCs w:val="20"/>
                <w:color w:val="auto"/>
              </w:rPr>
            </w:pPr>
            <w:r>
              <w:rPr>
                <w:rFonts w:ascii="Arial" w:cs="Arial" w:eastAsia="Arial" w:hAnsi="Arial"/>
                <w:sz w:val="13"/>
                <w:szCs w:val="13"/>
                <w:color w:val="auto"/>
              </w:rPr>
              <w:t>(50,446)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120,347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4,212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110,711</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(1,533)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w w:val="93"/>
              </w:rPr>
              <w:t>233,737</w:t>
            </w:r>
          </w:p>
        </w:tc>
        <w:tc>
          <w:tcPr>
            <w:tcW w:w="0" w:type="dxa"/>
            <w:vAlign w:val="bottom"/>
          </w:tcPr>
          <w:p>
            <w:pPr>
              <w:spacing w:after="0"/>
              <w:rPr>
                <w:sz w:val="1"/>
                <w:szCs w:val="1"/>
                <w:color w:val="auto"/>
              </w:rPr>
            </w:pPr>
          </w:p>
        </w:tc>
      </w:tr>
      <w:tr>
        <w:trPr>
          <w:trHeight w:val="181"/>
        </w:trPr>
        <w:tc>
          <w:tcPr>
            <w:tcW w:w="2420" w:type="dxa"/>
            <w:vAlign w:val="bottom"/>
          </w:tcPr>
          <w:p>
            <w:pPr>
              <w:ind w:left="20"/>
              <w:spacing w:after="0"/>
              <w:rPr>
                <w:sz w:val="20"/>
                <w:szCs w:val="20"/>
                <w:color w:val="auto"/>
              </w:rPr>
            </w:pPr>
            <w:r>
              <w:rPr>
                <w:rFonts w:ascii="Arial" w:cs="Arial" w:eastAsia="Arial" w:hAnsi="Arial"/>
                <w:sz w:val="13"/>
                <w:szCs w:val="13"/>
                <w:color w:val="auto"/>
              </w:rPr>
              <w:t>Depreciation and amortization</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77"/>
              <w:spacing w:after="0"/>
              <w:rPr>
                <w:sz w:val="20"/>
                <w:szCs w:val="20"/>
                <w:color w:val="auto"/>
              </w:rPr>
            </w:pPr>
            <w:r>
              <w:rPr>
                <w:rFonts w:ascii="Arial" w:cs="Arial" w:eastAsia="Arial" w:hAnsi="Arial"/>
                <w:sz w:val="13"/>
                <w:szCs w:val="13"/>
                <w:color w:val="auto"/>
              </w:rPr>
              <w:t>1,409</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ind w:right="77"/>
              <w:spacing w:after="0"/>
              <w:rPr>
                <w:sz w:val="20"/>
                <w:szCs w:val="20"/>
                <w:color w:val="auto"/>
              </w:rPr>
            </w:pPr>
            <w:r>
              <w:rPr>
                <w:rFonts w:ascii="Arial" w:cs="Arial" w:eastAsia="Arial" w:hAnsi="Arial"/>
                <w:sz w:val="13"/>
                <w:szCs w:val="13"/>
                <w:color w:val="auto"/>
              </w:rPr>
              <w:t>119</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ind w:left="5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ind w:right="77"/>
              <w:spacing w:after="0"/>
              <w:rPr>
                <w:sz w:val="20"/>
                <w:szCs w:val="20"/>
                <w:color w:val="auto"/>
              </w:rPr>
            </w:pPr>
            <w:r>
              <w:rPr>
                <w:rFonts w:ascii="Arial" w:cs="Arial" w:eastAsia="Arial" w:hAnsi="Arial"/>
                <w:sz w:val="13"/>
                <w:szCs w:val="13"/>
                <w:color w:val="auto"/>
              </w:rPr>
              <w:t>1,541</w:t>
            </w:r>
          </w:p>
        </w:tc>
        <w:tc>
          <w:tcPr>
            <w:tcW w:w="100" w:type="dxa"/>
            <w:vAlign w:val="bottom"/>
          </w:tcPr>
          <w:p>
            <w:pPr>
              <w:spacing w:after="0"/>
              <w:rPr>
                <w:sz w:val="15"/>
                <w:szCs w:val="15"/>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1,848</w:t>
            </w:r>
          </w:p>
        </w:tc>
        <w:tc>
          <w:tcPr>
            <w:tcW w:w="100" w:type="dxa"/>
            <w:vAlign w:val="bottom"/>
          </w:tcPr>
          <w:p>
            <w:pPr>
              <w:spacing w:after="0"/>
              <w:rPr>
                <w:sz w:val="15"/>
                <w:szCs w:val="15"/>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w:t>
            </w:r>
          </w:p>
        </w:tc>
        <w:tc>
          <w:tcPr>
            <w:tcW w:w="1160" w:type="dxa"/>
            <w:vAlign w:val="bottom"/>
            <w:gridSpan w:val="2"/>
          </w:tcPr>
          <w:p>
            <w:pPr>
              <w:ind w:left="74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ind w:right="77"/>
              <w:spacing w:after="0"/>
              <w:rPr>
                <w:sz w:val="20"/>
                <w:szCs w:val="20"/>
                <w:color w:val="auto"/>
              </w:rPr>
            </w:pPr>
            <w:r>
              <w:rPr>
                <w:rFonts w:ascii="Arial" w:cs="Arial" w:eastAsia="Arial" w:hAnsi="Arial"/>
                <w:sz w:val="13"/>
                <w:szCs w:val="13"/>
                <w:color w:val="auto"/>
              </w:rPr>
              <w:t>3,396</w:t>
            </w:r>
          </w:p>
        </w:tc>
        <w:tc>
          <w:tcPr>
            <w:tcW w:w="0" w:type="dxa"/>
            <w:vAlign w:val="bottom"/>
          </w:tcPr>
          <w:p>
            <w:pPr>
              <w:spacing w:after="0"/>
              <w:rPr>
                <w:sz w:val="1"/>
                <w:szCs w:val="1"/>
                <w:color w:val="auto"/>
              </w:rPr>
            </w:pPr>
          </w:p>
        </w:tc>
      </w:tr>
      <w:tr>
        <w:trPr>
          <w:trHeight w:val="197"/>
        </w:trPr>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Impairment charges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160" w:type="dxa"/>
            <w:vAlign w:val="bottom"/>
            <w:gridSpan w:val="2"/>
            <w:shd w:val="clear" w:color="auto" w:fill="CCEEFF"/>
          </w:tcPr>
          <w:p>
            <w:pPr>
              <w:ind w:left="7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73"/>
        </w:trPr>
        <w:tc>
          <w:tcPr>
            <w:tcW w:w="2420" w:type="dxa"/>
            <w:vAlign w:val="bottom"/>
          </w:tcPr>
          <w:p>
            <w:pPr>
              <w:ind w:left="20"/>
              <w:spacing w:after="0"/>
              <w:rPr>
                <w:sz w:val="20"/>
                <w:szCs w:val="20"/>
                <w:color w:val="auto"/>
              </w:rPr>
            </w:pPr>
            <w:r>
              <w:rPr>
                <w:rFonts w:ascii="Arial" w:cs="Arial" w:eastAsia="Arial" w:hAnsi="Arial"/>
                <w:sz w:val="13"/>
                <w:szCs w:val="13"/>
                <w:color w:val="auto"/>
              </w:rPr>
              <w:t>Equity income (loss)</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77"/>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ind w:right="77"/>
              <w:spacing w:after="0"/>
              <w:rPr>
                <w:sz w:val="20"/>
                <w:szCs w:val="20"/>
                <w:color w:val="auto"/>
              </w:rPr>
            </w:pPr>
            <w:r>
              <w:rPr>
                <w:rFonts w:ascii="Arial" w:cs="Arial" w:eastAsia="Arial" w:hAnsi="Arial"/>
                <w:sz w:val="13"/>
                <w:szCs w:val="13"/>
                <w:color w:val="auto"/>
              </w:rPr>
              <w:t>233</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ind w:left="5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ind w:right="77"/>
              <w:spacing w:after="0"/>
              <w:rPr>
                <w:sz w:val="20"/>
                <w:szCs w:val="20"/>
                <w:color w:val="auto"/>
              </w:rPr>
            </w:pPr>
            <w:r>
              <w:rPr>
                <w:rFonts w:ascii="Arial" w:cs="Arial" w:eastAsia="Arial" w:hAnsi="Arial"/>
                <w:sz w:val="13"/>
                <w:szCs w:val="13"/>
                <w:color w:val="auto"/>
              </w:rPr>
              <w:t>229</w:t>
            </w:r>
          </w:p>
        </w:tc>
        <w:tc>
          <w:tcPr>
            <w:tcW w:w="100" w:type="dxa"/>
            <w:vAlign w:val="bottom"/>
          </w:tcPr>
          <w:p>
            <w:pPr>
              <w:spacing w:after="0"/>
              <w:rPr>
                <w:sz w:val="15"/>
                <w:szCs w:val="15"/>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42</w:t>
            </w:r>
          </w:p>
        </w:tc>
        <w:tc>
          <w:tcPr>
            <w:tcW w:w="100" w:type="dxa"/>
            <w:vAlign w:val="bottom"/>
          </w:tcPr>
          <w:p>
            <w:pPr>
              <w:spacing w:after="0"/>
              <w:rPr>
                <w:sz w:val="15"/>
                <w:szCs w:val="15"/>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w:t>
            </w:r>
          </w:p>
        </w:tc>
        <w:tc>
          <w:tcPr>
            <w:tcW w:w="1160" w:type="dxa"/>
            <w:vAlign w:val="bottom"/>
            <w:gridSpan w:val="2"/>
          </w:tcPr>
          <w:p>
            <w:pPr>
              <w:ind w:left="74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ind w:right="77"/>
              <w:spacing w:after="0"/>
              <w:rPr>
                <w:sz w:val="20"/>
                <w:szCs w:val="20"/>
                <w:color w:val="auto"/>
              </w:rPr>
            </w:pPr>
            <w:r>
              <w:rPr>
                <w:rFonts w:ascii="Arial" w:cs="Arial" w:eastAsia="Arial" w:hAnsi="Arial"/>
                <w:sz w:val="13"/>
                <w:szCs w:val="13"/>
                <w:color w:val="auto"/>
              </w:rPr>
              <w:t>271</w:t>
            </w:r>
          </w:p>
        </w:tc>
        <w:tc>
          <w:tcPr>
            <w:tcW w:w="0" w:type="dxa"/>
            <w:vAlign w:val="bottom"/>
          </w:tcPr>
          <w:p>
            <w:pPr>
              <w:spacing w:after="0"/>
              <w:rPr>
                <w:sz w:val="1"/>
                <w:szCs w:val="1"/>
                <w:color w:val="auto"/>
              </w:rPr>
            </w:pPr>
          </w:p>
        </w:tc>
      </w:tr>
    </w:tbl>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1" w:lineRule="exact"/>
        <w:rPr>
          <w:sz w:val="20"/>
          <w:szCs w:val="20"/>
          <w:color w:val="auto"/>
        </w:rPr>
      </w:pPr>
    </w:p>
    <w:p>
      <w:pPr>
        <w:ind w:left="340" w:hanging="332"/>
        <w:spacing w:after="0" w:line="239" w:lineRule="auto"/>
        <w:tabs>
          <w:tab w:leader="none" w:pos="331" w:val="left"/>
        </w:tabs>
        <w:numPr>
          <w:ilvl w:val="0"/>
          <w:numId w:val="14"/>
        </w:numPr>
        <w:rPr>
          <w:rFonts w:ascii="Arial" w:cs="Arial" w:eastAsia="Arial" w:hAnsi="Arial"/>
          <w:sz w:val="13"/>
          <w:szCs w:val="13"/>
          <w:color w:val="auto"/>
        </w:rPr>
      </w:pPr>
      <w:r>
        <w:rPr>
          <w:rFonts w:ascii="Arial" w:cs="Arial" w:eastAsia="Arial" w:hAnsi="Arial"/>
          <w:sz w:val="13"/>
          <w:szCs w:val="13"/>
          <w:color w:val="auto"/>
        </w:rPr>
        <w:t>Consists of restructuring and other charges related to transformation activities of $361 million, primarily in GMNA and a benefit of $380 million related to the retrospective recoveries of indirect taxes in Brazil in GMI.</w:t>
      </w:r>
    </w:p>
    <w:p>
      <w:pPr>
        <w:spacing w:after="0" w:line="188" w:lineRule="exact"/>
        <w:rPr>
          <w:sz w:val="20"/>
          <w:szCs w:val="20"/>
          <w:color w:val="auto"/>
        </w:rPr>
      </w:pPr>
    </w:p>
    <w:tbl>
      <w:tblPr>
        <w:tblLayout w:type="fixed"/>
        <w:tblInd w:w="40" w:type="dxa"/>
        <w:tblCellMar>
          <w:top w:w="0" w:type="dxa"/>
          <w:left w:w="0" w:type="dxa"/>
          <w:bottom w:w="0" w:type="dxa"/>
          <w:right w:w="0" w:type="dxa"/>
        </w:tblCellMar>
      </w:tblPr>
      <w:tr>
        <w:trPr>
          <w:trHeight w:val="174"/>
        </w:trPr>
        <w:tc>
          <w:tcPr>
            <w:tcW w:w="24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760" w:type="dxa"/>
            <w:vAlign w:val="bottom"/>
            <w:tcBorders>
              <w:bottom w:val="single" w:sz="8" w:color="auto"/>
            </w:tcBorders>
            <w:gridSpan w:val="11"/>
          </w:tcPr>
          <w:p>
            <w:pPr>
              <w:ind w:left="540"/>
              <w:spacing w:after="0"/>
              <w:rPr>
                <w:sz w:val="20"/>
                <w:szCs w:val="20"/>
                <w:color w:val="auto"/>
              </w:rPr>
            </w:pPr>
            <w:r>
              <w:rPr>
                <w:rFonts w:ascii="Arial" w:cs="Arial" w:eastAsia="Arial" w:hAnsi="Arial"/>
                <w:sz w:val="13"/>
                <w:szCs w:val="13"/>
                <w:b w:val="1"/>
                <w:bCs w:val="1"/>
                <w:color w:val="auto"/>
              </w:rPr>
              <w:t>At and For the Six Months Ended June 30, 2020</w:t>
            </w:r>
          </w:p>
        </w:tc>
        <w:tc>
          <w:tcPr>
            <w:tcW w:w="6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00"/>
              <w:spacing w:after="0" w:line="144" w:lineRule="exact"/>
              <w:rPr>
                <w:sz w:val="20"/>
                <w:szCs w:val="20"/>
                <w:color w:val="auto"/>
              </w:rPr>
            </w:pPr>
            <w:r>
              <w:rPr>
                <w:rFonts w:ascii="Arial" w:cs="Arial" w:eastAsia="Arial" w:hAnsi="Arial"/>
                <w:sz w:val="13"/>
                <w:szCs w:val="13"/>
                <w:b w:val="1"/>
                <w:bCs w:val="1"/>
                <w:color w:val="auto"/>
                <w:w w:val="89"/>
              </w:rPr>
              <w:t>Total</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rPr>
              <w:t>GM</w:t>
            </w:r>
          </w:p>
        </w:tc>
        <w:tc>
          <w:tcPr>
            <w:tcW w:w="6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ind w:left="20"/>
              <w:spacing w:after="0"/>
              <w:rPr>
                <w:sz w:val="20"/>
                <w:szCs w:val="20"/>
                <w:color w:val="auto"/>
              </w:rPr>
            </w:pPr>
            <w:r>
              <w:rPr>
                <w:rFonts w:ascii="Arial" w:cs="Arial" w:eastAsia="Arial" w:hAnsi="Arial"/>
                <w:sz w:val="13"/>
                <w:szCs w:val="13"/>
                <w:b w:val="1"/>
                <w:bCs w:val="1"/>
                <w:color w:val="auto"/>
              </w:rPr>
              <w:t>GMNA</w:t>
            </w:r>
          </w:p>
        </w:tc>
        <w:tc>
          <w:tcPr>
            <w:tcW w:w="14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3"/>
                <w:szCs w:val="13"/>
                <w:b w:val="1"/>
                <w:bCs w:val="1"/>
                <w:color w:val="auto"/>
              </w:rPr>
              <w:t>GMI</w:t>
            </w:r>
          </w:p>
        </w:tc>
        <w:tc>
          <w:tcPr>
            <w:tcW w:w="100" w:type="dxa"/>
            <w:vAlign w:val="bottom"/>
          </w:tcPr>
          <w:p>
            <w:pPr>
              <w:spacing w:after="0"/>
              <w:rPr>
                <w:sz w:val="15"/>
                <w:szCs w:val="15"/>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b w:val="1"/>
                <w:bCs w:val="1"/>
                <w:color w:val="auto"/>
              </w:rPr>
              <w:t>Corporate</w:t>
            </w:r>
          </w:p>
        </w:tc>
        <w:tc>
          <w:tcPr>
            <w:tcW w:w="100" w:type="dxa"/>
            <w:vAlign w:val="bottom"/>
          </w:tcPr>
          <w:p>
            <w:pPr>
              <w:spacing w:after="0"/>
              <w:rPr>
                <w:sz w:val="15"/>
                <w:szCs w:val="15"/>
                <w:color w:val="auto"/>
              </w:rPr>
            </w:pPr>
          </w:p>
        </w:tc>
        <w:tc>
          <w:tcPr>
            <w:tcW w:w="960" w:type="dxa"/>
            <w:vAlign w:val="bottom"/>
            <w:gridSpan w:val="2"/>
          </w:tcPr>
          <w:p>
            <w:pPr>
              <w:ind w:left="40"/>
              <w:spacing w:after="0"/>
              <w:rPr>
                <w:sz w:val="20"/>
                <w:szCs w:val="20"/>
                <w:color w:val="auto"/>
              </w:rPr>
            </w:pPr>
            <w:r>
              <w:rPr>
                <w:rFonts w:ascii="Arial" w:cs="Arial" w:eastAsia="Arial" w:hAnsi="Arial"/>
                <w:sz w:val="13"/>
                <w:szCs w:val="13"/>
                <w:b w:val="1"/>
                <w:bCs w:val="1"/>
                <w:color w:val="auto"/>
              </w:rPr>
              <w:t>Eliminations</w:t>
            </w:r>
          </w:p>
        </w:tc>
        <w:tc>
          <w:tcPr>
            <w:tcW w:w="10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6"/>
              </w:rPr>
              <w:t>Automotive</w:t>
            </w:r>
          </w:p>
        </w:tc>
        <w:tc>
          <w:tcPr>
            <w:tcW w:w="16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3"/>
                <w:szCs w:val="13"/>
                <w:b w:val="1"/>
                <w:bCs w:val="1"/>
                <w:color w:val="auto"/>
              </w:rPr>
              <w:t>Cruise</w:t>
            </w:r>
          </w:p>
        </w:tc>
        <w:tc>
          <w:tcPr>
            <w:tcW w:w="100" w:type="dxa"/>
            <w:vAlign w:val="bottom"/>
          </w:tcPr>
          <w:p>
            <w:pPr>
              <w:spacing w:after="0"/>
              <w:rPr>
                <w:sz w:val="15"/>
                <w:szCs w:val="15"/>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Financial</w:t>
            </w:r>
          </w:p>
        </w:tc>
        <w:tc>
          <w:tcPr>
            <w:tcW w:w="1760" w:type="dxa"/>
            <w:vAlign w:val="bottom"/>
            <w:gridSpan w:val="3"/>
          </w:tcPr>
          <w:p>
            <w:pPr>
              <w:ind w:left="20"/>
              <w:spacing w:after="0"/>
              <w:rPr>
                <w:sz w:val="20"/>
                <w:szCs w:val="20"/>
                <w:color w:val="auto"/>
              </w:rPr>
            </w:pPr>
            <w:r>
              <w:rPr>
                <w:rFonts w:ascii="Arial" w:cs="Arial" w:eastAsia="Arial" w:hAnsi="Arial"/>
                <w:sz w:val="13"/>
                <w:szCs w:val="13"/>
                <w:b w:val="1"/>
                <w:bCs w:val="1"/>
                <w:color w:val="auto"/>
                <w:w w:val="91"/>
              </w:rPr>
              <w:t>Eliminations/Reclassifications</w:t>
            </w:r>
          </w:p>
        </w:tc>
        <w:tc>
          <w:tcPr>
            <w:tcW w:w="140" w:type="dxa"/>
            <w:vAlign w:val="bottom"/>
          </w:tcPr>
          <w:p>
            <w:pPr>
              <w:spacing w:after="0"/>
              <w:rPr>
                <w:sz w:val="15"/>
                <w:szCs w:val="15"/>
                <w:color w:val="auto"/>
              </w:rPr>
            </w:pPr>
          </w:p>
        </w:tc>
        <w:tc>
          <w:tcPr>
            <w:tcW w:w="560" w:type="dxa"/>
            <w:vAlign w:val="bottom"/>
          </w:tcPr>
          <w:p>
            <w:pPr>
              <w:jc w:val="right"/>
              <w:ind w:right="15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9"/>
        </w:trPr>
        <w:tc>
          <w:tcPr>
            <w:tcW w:w="2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Net sales and revenue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w w:val="95"/>
              </w:rPr>
              <w:t>37,435</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4,957</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118</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42,510</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53</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6,984</w:t>
            </w:r>
          </w:p>
        </w:tc>
        <w:tc>
          <w:tcPr>
            <w:tcW w:w="10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60" w:type="dxa"/>
            <w:vAlign w:val="bottom"/>
            <w:tcBorders>
              <w:top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(60)</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49,487</w:t>
            </w:r>
          </w:p>
        </w:tc>
        <w:tc>
          <w:tcPr>
            <w:tcW w:w="0" w:type="dxa"/>
            <w:vAlign w:val="bottom"/>
          </w:tcPr>
          <w:p>
            <w:pPr>
              <w:spacing w:after="0"/>
              <w:rPr>
                <w:sz w:val="1"/>
                <w:szCs w:val="1"/>
                <w:color w:val="auto"/>
              </w:rPr>
            </w:pPr>
          </w:p>
        </w:tc>
      </w:tr>
      <w:tr>
        <w:trPr>
          <w:trHeight w:val="122"/>
        </w:trPr>
        <w:tc>
          <w:tcPr>
            <w:tcW w:w="2420" w:type="dxa"/>
            <w:vAlign w:val="bottom"/>
          </w:tcPr>
          <w:p>
            <w:pPr>
              <w:spacing w:after="0" w:line="122" w:lineRule="exact"/>
              <w:rPr>
                <w:sz w:val="20"/>
                <w:szCs w:val="20"/>
                <w:color w:val="auto"/>
              </w:rPr>
            </w:pPr>
            <w:r>
              <w:rPr>
                <w:rFonts w:ascii="Arial" w:cs="Arial" w:eastAsia="Arial" w:hAnsi="Arial"/>
                <w:sz w:val="13"/>
                <w:szCs w:val="13"/>
                <w:color w:val="auto"/>
              </w:rPr>
              <w:t>Earnings (loss) before interest and taxes-</w:t>
            </w:r>
          </w:p>
        </w:tc>
        <w:tc>
          <w:tcPr>
            <w:tcW w:w="10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vMerge w:val="restart"/>
          </w:tcPr>
          <w:p>
            <w:pPr>
              <w:jc w:val="right"/>
              <w:ind w:right="97"/>
              <w:spacing w:after="0"/>
              <w:rPr>
                <w:sz w:val="20"/>
                <w:szCs w:val="20"/>
                <w:color w:val="auto"/>
              </w:rPr>
            </w:pPr>
            <w:r>
              <w:rPr>
                <w:rFonts w:ascii="Arial" w:cs="Arial" w:eastAsia="Arial" w:hAnsi="Arial"/>
                <w:sz w:val="13"/>
                <w:szCs w:val="13"/>
                <w:color w:val="auto"/>
              </w:rPr>
              <w:t>2,093</w:t>
            </w:r>
          </w:p>
        </w:tc>
        <w:tc>
          <w:tcPr>
            <w:tcW w:w="100" w:type="dxa"/>
            <w:vAlign w:val="bottom"/>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vMerge w:val="restart"/>
          </w:tcPr>
          <w:p>
            <w:pPr>
              <w:jc w:val="right"/>
              <w:ind w:right="57"/>
              <w:spacing w:after="0"/>
              <w:rPr>
                <w:sz w:val="20"/>
                <w:szCs w:val="20"/>
                <w:color w:val="auto"/>
              </w:rPr>
            </w:pPr>
            <w:r>
              <w:rPr>
                <w:rFonts w:ascii="Arial" w:cs="Arial" w:eastAsia="Arial" w:hAnsi="Arial"/>
                <w:sz w:val="13"/>
                <w:szCs w:val="13"/>
                <w:color w:val="auto"/>
              </w:rPr>
              <w:t>(821)</w:t>
            </w:r>
          </w:p>
        </w:tc>
        <w:tc>
          <w:tcPr>
            <w:tcW w:w="10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vMerge w:val="restart"/>
          </w:tcPr>
          <w:p>
            <w:pPr>
              <w:jc w:val="right"/>
              <w:ind w:right="57"/>
              <w:spacing w:after="0"/>
              <w:rPr>
                <w:sz w:val="20"/>
                <w:szCs w:val="20"/>
                <w:color w:val="auto"/>
              </w:rPr>
            </w:pPr>
            <w:r>
              <w:rPr>
                <w:rFonts w:ascii="Arial" w:cs="Arial" w:eastAsia="Arial" w:hAnsi="Arial"/>
                <w:sz w:val="13"/>
                <w:szCs w:val="13"/>
                <w:color w:val="auto"/>
              </w:rPr>
              <w:t>(593)</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vMerge w:val="restart"/>
          </w:tcPr>
          <w:p>
            <w:pPr>
              <w:jc w:val="right"/>
              <w:ind w:right="77"/>
              <w:spacing w:after="0"/>
              <w:rPr>
                <w:sz w:val="20"/>
                <w:szCs w:val="20"/>
                <w:color w:val="auto"/>
              </w:rPr>
            </w:pPr>
            <w:r>
              <w:rPr>
                <w:rFonts w:ascii="Arial" w:cs="Arial" w:eastAsia="Arial" w:hAnsi="Arial"/>
                <w:sz w:val="13"/>
                <w:szCs w:val="13"/>
                <w:color w:val="auto"/>
              </w:rPr>
              <w:t>679</w:t>
            </w:r>
          </w:p>
        </w:tc>
        <w:tc>
          <w:tcPr>
            <w:tcW w:w="100" w:type="dxa"/>
            <w:vAlign w:val="bottom"/>
          </w:tcPr>
          <w:p>
            <w:pPr>
              <w:spacing w:after="0"/>
              <w:rPr>
                <w:sz w:val="10"/>
                <w:szCs w:val="10"/>
                <w:color w:val="auto"/>
              </w:rPr>
            </w:pPr>
          </w:p>
        </w:tc>
        <w:tc>
          <w:tcPr>
            <w:tcW w:w="160" w:type="dxa"/>
            <w:vAlign w:val="bottom"/>
            <w:vMerge w:val="restart"/>
          </w:tcPr>
          <w:p>
            <w:pPr>
              <w:jc w:val="right"/>
              <w:ind w:right="17"/>
              <w:spacing w:after="0"/>
              <w:rPr>
                <w:sz w:val="20"/>
                <w:szCs w:val="20"/>
                <w:color w:val="auto"/>
              </w:rPr>
            </w:pPr>
            <w:r>
              <w:rPr>
                <w:rFonts w:ascii="Arial" w:cs="Arial" w:eastAsia="Arial" w:hAnsi="Arial"/>
                <w:sz w:val="13"/>
                <w:szCs w:val="13"/>
                <w:color w:val="auto"/>
                <w:w w:val="82"/>
              </w:rPr>
              <w:t>$</w:t>
            </w:r>
          </w:p>
        </w:tc>
        <w:tc>
          <w:tcPr>
            <w:tcW w:w="700" w:type="dxa"/>
            <w:vAlign w:val="bottom"/>
            <w:vMerge w:val="restart"/>
          </w:tcPr>
          <w:p>
            <w:pPr>
              <w:jc w:val="right"/>
              <w:ind w:right="57"/>
              <w:spacing w:after="0"/>
              <w:rPr>
                <w:sz w:val="20"/>
                <w:szCs w:val="20"/>
                <w:color w:val="auto"/>
              </w:rPr>
            </w:pPr>
            <w:r>
              <w:rPr>
                <w:rFonts w:ascii="Arial" w:cs="Arial" w:eastAsia="Arial" w:hAnsi="Arial"/>
                <w:sz w:val="13"/>
                <w:szCs w:val="13"/>
                <w:color w:val="auto"/>
              </w:rPr>
              <w:t>(423)</w:t>
            </w:r>
          </w:p>
        </w:tc>
        <w:tc>
          <w:tcPr>
            <w:tcW w:w="10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vMerge w:val="restart"/>
          </w:tcPr>
          <w:p>
            <w:pPr>
              <w:jc w:val="right"/>
              <w:ind w:right="77"/>
              <w:spacing w:after="0"/>
              <w:rPr>
                <w:sz w:val="20"/>
                <w:szCs w:val="20"/>
                <w:color w:val="auto"/>
              </w:rPr>
            </w:pPr>
            <w:r>
              <w:rPr>
                <w:rFonts w:ascii="Arial" w:cs="Arial" w:eastAsia="Arial" w:hAnsi="Arial"/>
                <w:sz w:val="13"/>
                <w:szCs w:val="13"/>
                <w:color w:val="auto"/>
              </w:rPr>
              <w:t>456</w:t>
            </w:r>
          </w:p>
        </w:tc>
        <w:tc>
          <w:tcPr>
            <w:tcW w:w="100" w:type="dxa"/>
            <w:vAlign w:val="bottom"/>
          </w:tcPr>
          <w:p>
            <w:pPr>
              <w:spacing w:after="0"/>
              <w:rPr>
                <w:sz w:val="10"/>
                <w:szCs w:val="10"/>
                <w:color w:val="auto"/>
              </w:rPr>
            </w:pPr>
          </w:p>
        </w:tc>
        <w:tc>
          <w:tcPr>
            <w:tcW w:w="680" w:type="dxa"/>
            <w:vAlign w:val="bottom"/>
            <w:vMerge w:val="restart"/>
          </w:tcPr>
          <w:p>
            <w:pPr>
              <w:ind w:left="20"/>
              <w:spacing w:after="0"/>
              <w:rPr>
                <w:sz w:val="20"/>
                <w:szCs w:val="20"/>
                <w:color w:val="auto"/>
              </w:rPr>
            </w:pPr>
            <w:r>
              <w:rPr>
                <w:rFonts w:ascii="Arial" w:cs="Arial" w:eastAsia="Arial" w:hAnsi="Arial"/>
                <w:sz w:val="13"/>
                <w:szCs w:val="13"/>
                <w:color w:val="auto"/>
              </w:rPr>
              <w:t>$</w:t>
            </w:r>
          </w:p>
        </w:tc>
        <w:tc>
          <w:tcPr>
            <w:tcW w:w="960" w:type="dxa"/>
            <w:vAlign w:val="bottom"/>
            <w:vMerge w:val="restart"/>
          </w:tcPr>
          <w:p>
            <w:pPr>
              <w:jc w:val="right"/>
              <w:ind w:right="11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0"/>
                <w:szCs w:val="10"/>
                <w:color w:val="auto"/>
              </w:rPr>
            </w:pPr>
          </w:p>
        </w:tc>
        <w:tc>
          <w:tcPr>
            <w:tcW w:w="140" w:type="dxa"/>
            <w:vAlign w:val="bottom"/>
            <w:vMerge w:val="restart"/>
          </w:tcPr>
          <w:p>
            <w:pPr>
              <w:jc w:val="right"/>
              <w:ind w:right="28"/>
              <w:spacing w:after="0"/>
              <w:rPr>
                <w:sz w:val="20"/>
                <w:szCs w:val="20"/>
                <w:color w:val="auto"/>
              </w:rPr>
            </w:pPr>
            <w:r>
              <w:rPr>
                <w:rFonts w:ascii="Arial" w:cs="Arial" w:eastAsia="Arial" w:hAnsi="Arial"/>
                <w:sz w:val="10"/>
                <w:szCs w:val="10"/>
                <w:color w:val="auto"/>
                <w:w w:val="71"/>
              </w:rPr>
              <w:t>$</w:t>
            </w:r>
          </w:p>
        </w:tc>
        <w:tc>
          <w:tcPr>
            <w:tcW w:w="560" w:type="dxa"/>
            <w:vAlign w:val="bottom"/>
            <w:vMerge w:val="restart"/>
          </w:tcPr>
          <w:p>
            <w:pPr>
              <w:jc w:val="right"/>
              <w:ind w:right="77"/>
              <w:spacing w:after="0"/>
              <w:rPr>
                <w:sz w:val="20"/>
                <w:szCs w:val="20"/>
                <w:color w:val="auto"/>
              </w:rPr>
            </w:pPr>
            <w:r>
              <w:rPr>
                <w:rFonts w:ascii="Arial" w:cs="Arial" w:eastAsia="Arial" w:hAnsi="Arial"/>
                <w:sz w:val="13"/>
                <w:szCs w:val="13"/>
                <w:color w:val="auto"/>
              </w:rPr>
              <w:t>714</w:t>
            </w:r>
          </w:p>
        </w:tc>
        <w:tc>
          <w:tcPr>
            <w:tcW w:w="0" w:type="dxa"/>
            <w:vAlign w:val="bottom"/>
          </w:tcPr>
          <w:p>
            <w:pPr>
              <w:spacing w:after="0"/>
              <w:rPr>
                <w:sz w:val="1"/>
                <w:szCs w:val="1"/>
                <w:color w:val="auto"/>
              </w:rPr>
            </w:pPr>
          </w:p>
        </w:tc>
      </w:tr>
      <w:tr>
        <w:trPr>
          <w:trHeight w:val="168"/>
        </w:trPr>
        <w:tc>
          <w:tcPr>
            <w:tcW w:w="2420" w:type="dxa"/>
            <w:vAlign w:val="bottom"/>
          </w:tcPr>
          <w:p>
            <w:pPr>
              <w:ind w:left="160"/>
              <w:spacing w:after="0"/>
              <w:rPr>
                <w:sz w:val="20"/>
                <w:szCs w:val="20"/>
                <w:color w:val="auto"/>
              </w:rPr>
            </w:pPr>
            <w:r>
              <w:rPr>
                <w:rFonts w:ascii="Arial" w:cs="Arial" w:eastAsia="Arial" w:hAnsi="Arial"/>
                <w:sz w:val="13"/>
                <w:szCs w:val="13"/>
                <w:color w:val="auto"/>
              </w:rPr>
              <w:t>adjusted</w:t>
            </w:r>
          </w:p>
        </w:tc>
        <w:tc>
          <w:tcPr>
            <w:tcW w:w="10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420" w:type="dxa"/>
            <w:vAlign w:val="bottom"/>
            <w:shd w:val="clear" w:color="auto" w:fill="CCEEFF"/>
          </w:tcPr>
          <w:p>
            <w:pPr>
              <w:spacing w:after="0"/>
              <w:rPr>
                <w:sz w:val="20"/>
                <w:szCs w:val="20"/>
                <w:color w:val="auto"/>
              </w:rPr>
            </w:pPr>
            <w:r>
              <w:rPr>
                <w:rFonts w:ascii="Arial" w:cs="Arial" w:eastAsia="Arial" w:hAnsi="Arial"/>
                <w:sz w:val="13"/>
                <w:szCs w:val="13"/>
                <w:color w:val="auto"/>
              </w:rPr>
              <w:t>Adjustments(a)</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(581)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(581)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(581)</w:t>
            </w:r>
          </w:p>
        </w:tc>
        <w:tc>
          <w:tcPr>
            <w:tcW w:w="0" w:type="dxa"/>
            <w:vAlign w:val="bottom"/>
          </w:tcPr>
          <w:p>
            <w:pPr>
              <w:spacing w:after="0"/>
              <w:rPr>
                <w:sz w:val="1"/>
                <w:szCs w:val="1"/>
                <w:color w:val="auto"/>
              </w:rPr>
            </w:pPr>
          </w:p>
        </w:tc>
      </w:tr>
      <w:tr>
        <w:trPr>
          <w:trHeight w:val="181"/>
        </w:trPr>
        <w:tc>
          <w:tcPr>
            <w:tcW w:w="2420" w:type="dxa"/>
            <w:vAlign w:val="bottom"/>
          </w:tcPr>
          <w:p>
            <w:pPr>
              <w:spacing w:after="0"/>
              <w:rPr>
                <w:sz w:val="20"/>
                <w:szCs w:val="20"/>
                <w:color w:val="auto"/>
              </w:rPr>
            </w:pPr>
            <w:r>
              <w:rPr>
                <w:rFonts w:ascii="Arial" w:cs="Arial" w:eastAsia="Arial" w:hAnsi="Arial"/>
                <w:sz w:val="13"/>
                <w:szCs w:val="13"/>
                <w:color w:val="auto"/>
              </w:rPr>
              <w:t>Automotive interest income</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ind w:right="77"/>
              <w:spacing w:after="0"/>
              <w:rPr>
                <w:sz w:val="20"/>
                <w:szCs w:val="20"/>
                <w:color w:val="auto"/>
              </w:rPr>
            </w:pPr>
            <w:r>
              <w:rPr>
                <w:rFonts w:ascii="Arial" w:cs="Arial" w:eastAsia="Arial" w:hAnsi="Arial"/>
                <w:sz w:val="13"/>
                <w:szCs w:val="13"/>
                <w:color w:val="auto"/>
              </w:rPr>
              <w:t>144</w:t>
            </w:r>
          </w:p>
        </w:tc>
        <w:tc>
          <w:tcPr>
            <w:tcW w:w="0" w:type="dxa"/>
            <w:vAlign w:val="bottom"/>
          </w:tcPr>
          <w:p>
            <w:pPr>
              <w:spacing w:after="0"/>
              <w:rPr>
                <w:sz w:val="1"/>
                <w:szCs w:val="1"/>
                <w:color w:val="auto"/>
              </w:rPr>
            </w:pPr>
          </w:p>
        </w:tc>
      </w:tr>
      <w:tr>
        <w:trPr>
          <w:trHeight w:val="197"/>
        </w:trPr>
        <w:tc>
          <w:tcPr>
            <w:tcW w:w="2420" w:type="dxa"/>
            <w:vAlign w:val="bottom"/>
            <w:shd w:val="clear" w:color="auto" w:fill="CCEEFF"/>
          </w:tcPr>
          <w:p>
            <w:pPr>
              <w:spacing w:after="0"/>
              <w:rPr>
                <w:sz w:val="20"/>
                <w:szCs w:val="20"/>
                <w:color w:val="auto"/>
              </w:rPr>
            </w:pPr>
            <w:r>
              <w:rPr>
                <w:rFonts w:ascii="Arial" w:cs="Arial" w:eastAsia="Arial" w:hAnsi="Arial"/>
                <w:sz w:val="13"/>
                <w:szCs w:val="13"/>
                <w:color w:val="auto"/>
              </w:rPr>
              <w:t>Automotive interest expense</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(496)</w:t>
            </w:r>
          </w:p>
        </w:tc>
        <w:tc>
          <w:tcPr>
            <w:tcW w:w="0" w:type="dxa"/>
            <w:vAlign w:val="bottom"/>
          </w:tcPr>
          <w:p>
            <w:pPr>
              <w:spacing w:after="0"/>
              <w:rPr>
                <w:sz w:val="1"/>
                <w:szCs w:val="1"/>
                <w:color w:val="auto"/>
              </w:rPr>
            </w:pPr>
          </w:p>
        </w:tc>
      </w:tr>
      <w:tr>
        <w:trPr>
          <w:trHeight w:val="122"/>
        </w:trPr>
        <w:tc>
          <w:tcPr>
            <w:tcW w:w="2420" w:type="dxa"/>
            <w:vAlign w:val="bottom"/>
          </w:tcPr>
          <w:p>
            <w:pPr>
              <w:spacing w:after="0" w:line="122" w:lineRule="exact"/>
              <w:rPr>
                <w:sz w:val="20"/>
                <w:szCs w:val="20"/>
                <w:color w:val="auto"/>
              </w:rPr>
            </w:pPr>
            <w:r>
              <w:rPr>
                <w:rFonts w:ascii="Arial" w:cs="Arial" w:eastAsia="Arial" w:hAnsi="Arial"/>
                <w:sz w:val="13"/>
                <w:szCs w:val="13"/>
                <w:color w:val="auto"/>
              </w:rPr>
              <w:t>Net (loss) attributable to noncontrolling</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vMerge w:val="restart"/>
          </w:tcPr>
          <w:p>
            <w:pPr>
              <w:jc w:val="right"/>
              <w:ind w:right="37"/>
              <w:spacing w:after="0"/>
              <w:rPr>
                <w:sz w:val="20"/>
                <w:szCs w:val="20"/>
                <w:color w:val="auto"/>
              </w:rPr>
            </w:pPr>
            <w:r>
              <w:rPr>
                <w:rFonts w:ascii="Arial" w:cs="Arial" w:eastAsia="Arial" w:hAnsi="Arial"/>
                <w:sz w:val="13"/>
                <w:szCs w:val="13"/>
                <w:color w:val="auto"/>
              </w:rPr>
              <w:t>(30)</w:t>
            </w:r>
          </w:p>
        </w:tc>
        <w:tc>
          <w:tcPr>
            <w:tcW w:w="0" w:type="dxa"/>
            <w:vAlign w:val="bottom"/>
          </w:tcPr>
          <w:p>
            <w:pPr>
              <w:spacing w:after="0"/>
              <w:rPr>
                <w:sz w:val="1"/>
                <w:szCs w:val="1"/>
                <w:color w:val="auto"/>
              </w:rPr>
            </w:pPr>
          </w:p>
        </w:tc>
      </w:tr>
      <w:tr>
        <w:trPr>
          <w:trHeight w:val="169"/>
        </w:trPr>
        <w:tc>
          <w:tcPr>
            <w:tcW w:w="2420" w:type="dxa"/>
            <w:vAlign w:val="bottom"/>
            <w:tcBorders>
              <w:bottom w:val="single" w:sz="8" w:color="CCEEFF"/>
            </w:tcBorders>
          </w:tcPr>
          <w:p>
            <w:pPr>
              <w:ind w:left="160"/>
              <w:spacing w:after="0"/>
              <w:rPr>
                <w:sz w:val="20"/>
                <w:szCs w:val="20"/>
                <w:color w:val="auto"/>
              </w:rPr>
            </w:pPr>
            <w:r>
              <w:rPr>
                <w:rFonts w:ascii="Arial" w:cs="Arial" w:eastAsia="Arial" w:hAnsi="Arial"/>
                <w:sz w:val="13"/>
                <w:szCs w:val="13"/>
                <w:color w:val="auto"/>
              </w:rPr>
              <w:t>interests</w:t>
            </w:r>
          </w:p>
        </w:tc>
        <w:tc>
          <w:tcPr>
            <w:tcW w:w="10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9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420" w:type="dxa"/>
            <w:vAlign w:val="bottom"/>
            <w:shd w:val="clear" w:color="auto" w:fill="CCEEFF"/>
          </w:tcPr>
          <w:p>
            <w:pPr>
              <w:spacing w:after="0"/>
              <w:rPr>
                <w:sz w:val="20"/>
                <w:szCs w:val="20"/>
                <w:color w:val="auto"/>
              </w:rPr>
            </w:pPr>
            <w:r>
              <w:rPr>
                <w:rFonts w:ascii="Arial" w:cs="Arial" w:eastAsia="Arial" w:hAnsi="Arial"/>
                <w:sz w:val="13"/>
                <w:szCs w:val="13"/>
                <w:color w:val="auto"/>
              </w:rPr>
              <w:t>Loss before income taxes</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(249)</w:t>
            </w:r>
          </w:p>
        </w:tc>
        <w:tc>
          <w:tcPr>
            <w:tcW w:w="0" w:type="dxa"/>
            <w:vAlign w:val="bottom"/>
          </w:tcPr>
          <w:p>
            <w:pPr>
              <w:spacing w:after="0"/>
              <w:rPr>
                <w:sz w:val="1"/>
                <w:szCs w:val="1"/>
                <w:color w:val="auto"/>
              </w:rPr>
            </w:pPr>
          </w:p>
        </w:tc>
      </w:tr>
      <w:tr>
        <w:trPr>
          <w:trHeight w:val="183"/>
        </w:trPr>
        <w:tc>
          <w:tcPr>
            <w:tcW w:w="242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Income tax expense</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7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(245)</w:t>
            </w:r>
          </w:p>
        </w:tc>
        <w:tc>
          <w:tcPr>
            <w:tcW w:w="0" w:type="dxa"/>
            <w:vAlign w:val="bottom"/>
          </w:tcPr>
          <w:p>
            <w:pPr>
              <w:spacing w:after="0"/>
              <w:rPr>
                <w:sz w:val="1"/>
                <w:szCs w:val="1"/>
                <w:color w:val="auto"/>
              </w:rPr>
            </w:pPr>
          </w:p>
        </w:tc>
      </w:tr>
      <w:tr>
        <w:trPr>
          <w:trHeight w:val="189"/>
        </w:trPr>
        <w:tc>
          <w:tcPr>
            <w:tcW w:w="2420" w:type="dxa"/>
            <w:vAlign w:val="bottom"/>
            <w:shd w:val="clear" w:color="auto" w:fill="CCEEFF"/>
          </w:tcPr>
          <w:p>
            <w:pPr>
              <w:spacing w:after="0"/>
              <w:rPr>
                <w:sz w:val="20"/>
                <w:szCs w:val="20"/>
                <w:color w:val="auto"/>
              </w:rPr>
            </w:pPr>
            <w:r>
              <w:rPr>
                <w:rFonts w:ascii="Arial" w:cs="Arial" w:eastAsia="Arial" w:hAnsi="Arial"/>
                <w:sz w:val="13"/>
                <w:szCs w:val="13"/>
                <w:color w:val="auto"/>
              </w:rPr>
              <w:t>Net loss</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(494)</w:t>
            </w:r>
          </w:p>
        </w:tc>
        <w:tc>
          <w:tcPr>
            <w:tcW w:w="0" w:type="dxa"/>
            <w:vAlign w:val="bottom"/>
          </w:tcPr>
          <w:p>
            <w:pPr>
              <w:spacing w:after="0"/>
              <w:rPr>
                <w:sz w:val="1"/>
                <w:szCs w:val="1"/>
                <w:color w:val="auto"/>
              </w:rPr>
            </w:pPr>
          </w:p>
        </w:tc>
      </w:tr>
      <w:tr>
        <w:trPr>
          <w:trHeight w:val="183"/>
        </w:trPr>
        <w:tc>
          <w:tcPr>
            <w:tcW w:w="242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w w:val="90"/>
              </w:rPr>
              <w:t>Net loss attributable to noncontrolling interests</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7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30</w:t>
            </w:r>
          </w:p>
        </w:tc>
        <w:tc>
          <w:tcPr>
            <w:tcW w:w="0" w:type="dxa"/>
            <w:vAlign w:val="bottom"/>
          </w:tcPr>
          <w:p>
            <w:pPr>
              <w:spacing w:after="0"/>
              <w:rPr>
                <w:sz w:val="1"/>
                <w:szCs w:val="1"/>
                <w:color w:val="auto"/>
              </w:rPr>
            </w:pPr>
          </w:p>
        </w:tc>
      </w:tr>
      <w:tr>
        <w:trPr>
          <w:trHeight w:val="214"/>
        </w:trPr>
        <w:tc>
          <w:tcPr>
            <w:tcW w:w="2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Net loss attributable to stockholders</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(464)</w:t>
            </w:r>
          </w:p>
        </w:tc>
        <w:tc>
          <w:tcPr>
            <w:tcW w:w="0" w:type="dxa"/>
            <w:vAlign w:val="bottom"/>
          </w:tcPr>
          <w:p>
            <w:pPr>
              <w:spacing w:after="0"/>
              <w:rPr>
                <w:sz w:val="1"/>
                <w:szCs w:val="1"/>
                <w:color w:val="auto"/>
              </w:rPr>
            </w:pPr>
          </w:p>
        </w:tc>
      </w:tr>
      <w:tr>
        <w:trPr>
          <w:trHeight w:val="21"/>
        </w:trPr>
        <w:tc>
          <w:tcPr>
            <w:tcW w:w="2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2420" w:type="dxa"/>
            <w:vAlign w:val="bottom"/>
            <w:shd w:val="clear" w:color="auto" w:fill="CCEEFF"/>
          </w:tcPr>
          <w:p>
            <w:pPr>
              <w:spacing w:after="0"/>
              <w:rPr>
                <w:sz w:val="20"/>
                <w:szCs w:val="20"/>
                <w:color w:val="auto"/>
              </w:rPr>
            </w:pPr>
            <w:r>
              <w:rPr>
                <w:rFonts w:ascii="Arial" w:cs="Arial" w:eastAsia="Arial" w:hAnsi="Arial"/>
                <w:sz w:val="13"/>
                <w:szCs w:val="13"/>
                <w:color w:val="auto"/>
              </w:rPr>
              <w:t>Depreciation and amortization</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2,354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315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2,684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3,753</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6,456</w:t>
            </w:r>
          </w:p>
        </w:tc>
        <w:tc>
          <w:tcPr>
            <w:tcW w:w="0" w:type="dxa"/>
            <w:vAlign w:val="bottom"/>
          </w:tcPr>
          <w:p>
            <w:pPr>
              <w:spacing w:after="0"/>
              <w:rPr>
                <w:sz w:val="1"/>
                <w:szCs w:val="1"/>
                <w:color w:val="auto"/>
              </w:rPr>
            </w:pPr>
          </w:p>
        </w:tc>
      </w:tr>
      <w:tr>
        <w:trPr>
          <w:trHeight w:val="181"/>
        </w:trPr>
        <w:tc>
          <w:tcPr>
            <w:tcW w:w="2420" w:type="dxa"/>
            <w:vAlign w:val="bottom"/>
          </w:tcPr>
          <w:p>
            <w:pPr>
              <w:spacing w:after="0"/>
              <w:rPr>
                <w:sz w:val="20"/>
                <w:szCs w:val="20"/>
                <w:color w:val="auto"/>
              </w:rPr>
            </w:pPr>
            <w:r>
              <w:rPr>
                <w:rFonts w:ascii="Arial" w:cs="Arial" w:eastAsia="Arial" w:hAnsi="Arial"/>
                <w:sz w:val="13"/>
                <w:szCs w:val="13"/>
                <w:color w:val="auto"/>
              </w:rPr>
              <w:t>Impairment charges</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ind w:right="97"/>
              <w:spacing w:after="0"/>
              <w:rPr>
                <w:sz w:val="20"/>
                <w:szCs w:val="20"/>
                <w:color w:val="auto"/>
              </w:rPr>
            </w:pPr>
            <w:r>
              <w:rPr>
                <w:rFonts w:ascii="Arial" w:cs="Arial" w:eastAsia="Arial" w:hAnsi="Arial"/>
                <w:sz w:val="13"/>
                <w:szCs w:val="13"/>
                <w:color w:val="auto"/>
              </w:rPr>
              <w:t>20</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97"/>
              <w:spacing w:after="0"/>
              <w:rPr>
                <w:sz w:val="20"/>
                <w:szCs w:val="20"/>
                <w:color w:val="auto"/>
              </w:rPr>
            </w:pPr>
            <w:r>
              <w:rPr>
                <w:rFonts w:ascii="Arial" w:cs="Arial" w:eastAsia="Arial" w:hAnsi="Arial"/>
                <w:sz w:val="13"/>
                <w:szCs w:val="13"/>
                <w:color w:val="auto"/>
              </w:rPr>
              <w:t>97</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ind w:left="5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117</w:t>
            </w:r>
          </w:p>
        </w:tc>
        <w:tc>
          <w:tcPr>
            <w:tcW w:w="100" w:type="dxa"/>
            <w:vAlign w:val="bottom"/>
          </w:tcPr>
          <w:p>
            <w:pPr>
              <w:spacing w:after="0"/>
              <w:rPr>
                <w:sz w:val="15"/>
                <w:szCs w:val="15"/>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80" w:type="dxa"/>
            <w:vAlign w:val="bottom"/>
          </w:tcPr>
          <w:p>
            <w:pPr>
              <w:ind w:left="20"/>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ind w:right="77"/>
              <w:spacing w:after="0"/>
              <w:rPr>
                <w:sz w:val="20"/>
                <w:szCs w:val="20"/>
                <w:color w:val="auto"/>
              </w:rPr>
            </w:pPr>
            <w:r>
              <w:rPr>
                <w:rFonts w:ascii="Arial" w:cs="Arial" w:eastAsia="Arial" w:hAnsi="Arial"/>
                <w:sz w:val="13"/>
                <w:szCs w:val="13"/>
                <w:color w:val="auto"/>
              </w:rPr>
              <w:t>117</w:t>
            </w:r>
          </w:p>
        </w:tc>
        <w:tc>
          <w:tcPr>
            <w:tcW w:w="0" w:type="dxa"/>
            <w:vAlign w:val="bottom"/>
          </w:tcPr>
          <w:p>
            <w:pPr>
              <w:spacing w:after="0"/>
              <w:rPr>
                <w:sz w:val="1"/>
                <w:szCs w:val="1"/>
                <w:color w:val="auto"/>
              </w:rPr>
            </w:pPr>
          </w:p>
        </w:tc>
      </w:tr>
      <w:tr>
        <w:trPr>
          <w:trHeight w:val="197"/>
        </w:trPr>
        <w:tc>
          <w:tcPr>
            <w:tcW w:w="2420" w:type="dxa"/>
            <w:vAlign w:val="bottom"/>
            <w:shd w:val="clear" w:color="auto" w:fill="CCEEFF"/>
          </w:tcPr>
          <w:p>
            <w:pPr>
              <w:spacing w:after="0"/>
              <w:rPr>
                <w:sz w:val="20"/>
                <w:szCs w:val="20"/>
                <w:color w:val="auto"/>
              </w:rPr>
            </w:pPr>
            <w:r>
              <w:rPr>
                <w:rFonts w:ascii="Arial" w:cs="Arial" w:eastAsia="Arial" w:hAnsi="Arial"/>
                <w:sz w:val="13"/>
                <w:szCs w:val="13"/>
                <w:color w:val="auto"/>
              </w:rPr>
              <w:t>Equity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67</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80</w:t>
            </w: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1" w:lineRule="exact"/>
        <w:rPr>
          <w:sz w:val="20"/>
          <w:szCs w:val="20"/>
          <w:color w:val="auto"/>
        </w:rPr>
      </w:pPr>
    </w:p>
    <w:p>
      <w:pPr>
        <w:ind w:left="320" w:hanging="312"/>
        <w:spacing w:after="0"/>
        <w:tabs>
          <w:tab w:leader="none" w:pos="320" w:val="left"/>
        </w:tabs>
        <w:numPr>
          <w:ilvl w:val="0"/>
          <w:numId w:val="15"/>
        </w:numPr>
        <w:rPr>
          <w:rFonts w:ascii="Arial" w:cs="Arial" w:eastAsia="Arial" w:hAnsi="Arial"/>
          <w:sz w:val="13"/>
          <w:szCs w:val="13"/>
          <w:color w:val="auto"/>
        </w:rPr>
      </w:pPr>
      <w:r>
        <w:rPr>
          <w:rFonts w:ascii="Arial" w:cs="Arial" w:eastAsia="Arial" w:hAnsi="Arial"/>
          <w:sz w:val="13"/>
          <w:szCs w:val="13"/>
          <w:color w:val="auto"/>
        </w:rPr>
        <w:t>Consists of restructuring and other charges in Australia, New Zealand and Thailand.</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4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760" w:type="dxa"/>
            <w:vAlign w:val="bottom"/>
            <w:tcBorders>
              <w:bottom w:val="single" w:sz="8" w:color="auto"/>
            </w:tcBorders>
            <w:gridSpan w:val="11"/>
          </w:tcPr>
          <w:p>
            <w:pPr>
              <w:ind w:left="540"/>
              <w:spacing w:after="0"/>
              <w:rPr>
                <w:sz w:val="20"/>
                <w:szCs w:val="20"/>
                <w:color w:val="auto"/>
              </w:rPr>
            </w:pPr>
            <w:r>
              <w:rPr>
                <w:rFonts w:ascii="Arial" w:cs="Arial" w:eastAsia="Arial" w:hAnsi="Arial"/>
                <w:sz w:val="13"/>
                <w:szCs w:val="13"/>
                <w:b w:val="1"/>
                <w:bCs w:val="1"/>
                <w:color w:val="auto"/>
              </w:rPr>
              <w:t>At and For the Six Months Ended June 30, 2019</w:t>
            </w:r>
          </w:p>
        </w:tc>
        <w:tc>
          <w:tcPr>
            <w:tcW w:w="6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00"/>
              <w:spacing w:after="0" w:line="144" w:lineRule="exact"/>
              <w:rPr>
                <w:sz w:val="20"/>
                <w:szCs w:val="20"/>
                <w:color w:val="auto"/>
              </w:rPr>
            </w:pPr>
            <w:r>
              <w:rPr>
                <w:rFonts w:ascii="Arial" w:cs="Arial" w:eastAsia="Arial" w:hAnsi="Arial"/>
                <w:sz w:val="13"/>
                <w:szCs w:val="13"/>
                <w:b w:val="1"/>
                <w:bCs w:val="1"/>
                <w:color w:val="auto"/>
                <w:w w:val="89"/>
              </w:rPr>
              <w:t>Total</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rPr>
              <w:t>GM</w:t>
            </w:r>
          </w:p>
        </w:tc>
        <w:tc>
          <w:tcPr>
            <w:tcW w:w="6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2"/>
          </w:tcPr>
          <w:p>
            <w:pPr>
              <w:ind w:left="20"/>
              <w:spacing w:after="0"/>
              <w:rPr>
                <w:sz w:val="20"/>
                <w:szCs w:val="20"/>
                <w:color w:val="auto"/>
              </w:rPr>
            </w:pPr>
            <w:r>
              <w:rPr>
                <w:rFonts w:ascii="Arial" w:cs="Arial" w:eastAsia="Arial" w:hAnsi="Arial"/>
                <w:sz w:val="13"/>
                <w:szCs w:val="13"/>
                <w:b w:val="1"/>
                <w:bCs w:val="1"/>
                <w:color w:val="auto"/>
              </w:rPr>
              <w:t>GMNA</w:t>
            </w:r>
          </w:p>
        </w:tc>
        <w:tc>
          <w:tcPr>
            <w:tcW w:w="14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3"/>
                <w:szCs w:val="13"/>
                <w:b w:val="1"/>
                <w:bCs w:val="1"/>
                <w:color w:val="auto"/>
              </w:rPr>
              <w:t>GMI</w:t>
            </w:r>
          </w:p>
        </w:tc>
        <w:tc>
          <w:tcPr>
            <w:tcW w:w="100" w:type="dxa"/>
            <w:vAlign w:val="bottom"/>
          </w:tcPr>
          <w:p>
            <w:pPr>
              <w:spacing w:after="0"/>
              <w:rPr>
                <w:sz w:val="15"/>
                <w:szCs w:val="15"/>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b w:val="1"/>
                <w:bCs w:val="1"/>
                <w:color w:val="auto"/>
              </w:rPr>
              <w:t>Corporate</w:t>
            </w:r>
          </w:p>
        </w:tc>
        <w:tc>
          <w:tcPr>
            <w:tcW w:w="100" w:type="dxa"/>
            <w:vAlign w:val="bottom"/>
          </w:tcPr>
          <w:p>
            <w:pPr>
              <w:spacing w:after="0"/>
              <w:rPr>
                <w:sz w:val="15"/>
                <w:szCs w:val="15"/>
                <w:color w:val="auto"/>
              </w:rPr>
            </w:pPr>
          </w:p>
        </w:tc>
        <w:tc>
          <w:tcPr>
            <w:tcW w:w="960" w:type="dxa"/>
            <w:vAlign w:val="bottom"/>
            <w:gridSpan w:val="2"/>
          </w:tcPr>
          <w:p>
            <w:pPr>
              <w:ind w:left="40"/>
              <w:spacing w:after="0"/>
              <w:rPr>
                <w:sz w:val="20"/>
                <w:szCs w:val="20"/>
                <w:color w:val="auto"/>
              </w:rPr>
            </w:pPr>
            <w:r>
              <w:rPr>
                <w:rFonts w:ascii="Arial" w:cs="Arial" w:eastAsia="Arial" w:hAnsi="Arial"/>
                <w:sz w:val="13"/>
                <w:szCs w:val="13"/>
                <w:b w:val="1"/>
                <w:bCs w:val="1"/>
                <w:color w:val="auto"/>
              </w:rPr>
              <w:t>Eliminations</w:t>
            </w:r>
          </w:p>
        </w:tc>
        <w:tc>
          <w:tcPr>
            <w:tcW w:w="10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6"/>
              </w:rPr>
              <w:t>Automotive</w:t>
            </w:r>
          </w:p>
        </w:tc>
        <w:tc>
          <w:tcPr>
            <w:tcW w:w="16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3"/>
                <w:szCs w:val="13"/>
                <w:b w:val="1"/>
                <w:bCs w:val="1"/>
                <w:color w:val="auto"/>
              </w:rPr>
              <w:t>Cruise</w:t>
            </w:r>
          </w:p>
        </w:tc>
        <w:tc>
          <w:tcPr>
            <w:tcW w:w="100" w:type="dxa"/>
            <w:vAlign w:val="bottom"/>
          </w:tcPr>
          <w:p>
            <w:pPr>
              <w:spacing w:after="0"/>
              <w:rPr>
                <w:sz w:val="15"/>
                <w:szCs w:val="15"/>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Financial</w:t>
            </w:r>
          </w:p>
        </w:tc>
        <w:tc>
          <w:tcPr>
            <w:tcW w:w="1740" w:type="dxa"/>
            <w:vAlign w:val="bottom"/>
            <w:gridSpan w:val="3"/>
          </w:tcPr>
          <w:p>
            <w:pPr>
              <w:ind w:left="20"/>
              <w:spacing w:after="0"/>
              <w:rPr>
                <w:sz w:val="20"/>
                <w:szCs w:val="20"/>
                <w:color w:val="auto"/>
              </w:rPr>
            </w:pPr>
            <w:r>
              <w:rPr>
                <w:rFonts w:ascii="Arial" w:cs="Arial" w:eastAsia="Arial" w:hAnsi="Arial"/>
                <w:sz w:val="13"/>
                <w:szCs w:val="13"/>
                <w:b w:val="1"/>
                <w:bCs w:val="1"/>
                <w:color w:val="auto"/>
                <w:w w:val="90"/>
              </w:rPr>
              <w:t>Eliminations/Reclassifications</w:t>
            </w:r>
          </w:p>
        </w:tc>
        <w:tc>
          <w:tcPr>
            <w:tcW w:w="160" w:type="dxa"/>
            <w:vAlign w:val="bottom"/>
          </w:tcPr>
          <w:p>
            <w:pPr>
              <w:spacing w:after="0"/>
              <w:rPr>
                <w:sz w:val="15"/>
                <w:szCs w:val="15"/>
                <w:color w:val="auto"/>
              </w:rPr>
            </w:pPr>
          </w:p>
        </w:tc>
        <w:tc>
          <w:tcPr>
            <w:tcW w:w="560" w:type="dxa"/>
            <w:vAlign w:val="bottom"/>
          </w:tcPr>
          <w:p>
            <w:pPr>
              <w:jc w:val="right"/>
              <w:ind w:right="15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9"/>
        </w:trPr>
        <w:tc>
          <w:tcPr>
            <w:tcW w:w="2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sales and revenue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w w:val="95"/>
              </w:rPr>
              <w:t>55,689</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7,897</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100</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63,686</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50</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7,259</w:t>
            </w:r>
          </w:p>
        </w:tc>
        <w:tc>
          <w:tcPr>
            <w:tcW w:w="10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60" w:type="dxa"/>
            <w:vAlign w:val="bottom"/>
            <w:tcBorders>
              <w:top w:val="single" w:sz="8" w:color="auto"/>
            </w:tcBorders>
            <w:shd w:val="clear" w:color="auto" w:fill="CCEEFF"/>
          </w:tcPr>
          <w:p>
            <w:pPr>
              <w:jc w:val="center"/>
              <w:ind w:left="377"/>
              <w:spacing w:after="0"/>
              <w:rPr>
                <w:sz w:val="20"/>
                <w:szCs w:val="20"/>
                <w:color w:val="auto"/>
              </w:rPr>
            </w:pPr>
            <w:r>
              <w:rPr>
                <w:rFonts w:ascii="Arial" w:cs="Arial" w:eastAsia="Arial" w:hAnsi="Arial"/>
                <w:sz w:val="13"/>
                <w:szCs w:val="13"/>
                <w:color w:val="auto"/>
                <w:w w:val="86"/>
              </w:rPr>
              <w:t>(57)</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70,938</w:t>
            </w:r>
          </w:p>
        </w:tc>
        <w:tc>
          <w:tcPr>
            <w:tcW w:w="0" w:type="dxa"/>
            <w:vAlign w:val="bottom"/>
          </w:tcPr>
          <w:p>
            <w:pPr>
              <w:spacing w:after="0"/>
              <w:rPr>
                <w:sz w:val="1"/>
                <w:szCs w:val="1"/>
                <w:color w:val="auto"/>
              </w:rPr>
            </w:pPr>
          </w:p>
        </w:tc>
      </w:tr>
      <w:tr>
        <w:trPr>
          <w:trHeight w:val="121"/>
        </w:trPr>
        <w:tc>
          <w:tcPr>
            <w:tcW w:w="2420" w:type="dxa"/>
            <w:vAlign w:val="bottom"/>
          </w:tcPr>
          <w:p>
            <w:pPr>
              <w:ind w:left="20"/>
              <w:spacing w:after="0" w:line="122" w:lineRule="exact"/>
              <w:rPr>
                <w:sz w:val="20"/>
                <w:szCs w:val="20"/>
                <w:color w:val="auto"/>
              </w:rPr>
            </w:pPr>
            <w:r>
              <w:rPr>
                <w:rFonts w:ascii="Arial" w:cs="Arial" w:eastAsia="Arial" w:hAnsi="Arial"/>
                <w:sz w:val="13"/>
                <w:szCs w:val="13"/>
                <w:color w:val="auto"/>
              </w:rPr>
              <w:t>Earnings (loss) before interest and taxes-</w:t>
            </w: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vMerge w:val="restart"/>
          </w:tcPr>
          <w:p>
            <w:pPr>
              <w:jc w:val="right"/>
              <w:ind w:right="77"/>
              <w:spacing w:after="0"/>
              <w:rPr>
                <w:sz w:val="20"/>
                <w:szCs w:val="20"/>
                <w:color w:val="auto"/>
              </w:rPr>
            </w:pPr>
            <w:r>
              <w:rPr>
                <w:rFonts w:ascii="Arial" w:cs="Arial" w:eastAsia="Arial" w:hAnsi="Arial"/>
                <w:sz w:val="13"/>
                <w:szCs w:val="13"/>
                <w:color w:val="auto"/>
              </w:rPr>
              <w:t>4,918</w:t>
            </w:r>
          </w:p>
        </w:tc>
        <w:tc>
          <w:tcPr>
            <w:tcW w:w="120" w:type="dxa"/>
            <w:vAlign w:val="bottom"/>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vMerge w:val="restart"/>
          </w:tcPr>
          <w:p>
            <w:pPr>
              <w:jc w:val="right"/>
              <w:ind w:right="37"/>
              <w:spacing w:after="0"/>
              <w:rPr>
                <w:sz w:val="20"/>
                <w:szCs w:val="20"/>
                <w:color w:val="auto"/>
              </w:rPr>
            </w:pPr>
            <w:r>
              <w:rPr>
                <w:rFonts w:ascii="Arial" w:cs="Arial" w:eastAsia="Arial" w:hAnsi="Arial"/>
                <w:sz w:val="13"/>
                <w:szCs w:val="13"/>
                <w:color w:val="auto"/>
              </w:rPr>
              <w:t>(17)</w:t>
            </w:r>
          </w:p>
        </w:tc>
        <w:tc>
          <w:tcPr>
            <w:tcW w:w="12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vMerge w:val="restart"/>
          </w:tcPr>
          <w:p>
            <w:pPr>
              <w:jc w:val="right"/>
              <w:ind w:right="57"/>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vMerge w:val="restart"/>
          </w:tcPr>
          <w:p>
            <w:pPr>
              <w:jc w:val="right"/>
              <w:ind w:right="77"/>
              <w:spacing w:after="0"/>
              <w:rPr>
                <w:sz w:val="20"/>
                <w:szCs w:val="20"/>
                <w:color w:val="auto"/>
              </w:rPr>
            </w:pPr>
            <w:r>
              <w:rPr>
                <w:rFonts w:ascii="Arial" w:cs="Arial" w:eastAsia="Arial" w:hAnsi="Arial"/>
                <w:sz w:val="13"/>
                <w:szCs w:val="13"/>
                <w:color w:val="auto"/>
              </w:rPr>
              <w:t>4,891</w:t>
            </w:r>
          </w:p>
        </w:tc>
        <w:tc>
          <w:tcPr>
            <w:tcW w:w="100" w:type="dxa"/>
            <w:vAlign w:val="bottom"/>
          </w:tcPr>
          <w:p>
            <w:pPr>
              <w:spacing w:after="0"/>
              <w:rPr>
                <w:sz w:val="10"/>
                <w:szCs w:val="10"/>
                <w:color w:val="auto"/>
              </w:rPr>
            </w:pPr>
          </w:p>
        </w:tc>
        <w:tc>
          <w:tcPr>
            <w:tcW w:w="160" w:type="dxa"/>
            <w:vAlign w:val="bottom"/>
            <w:vMerge w:val="restart"/>
          </w:tcPr>
          <w:p>
            <w:pPr>
              <w:jc w:val="right"/>
              <w:ind w:right="17"/>
              <w:spacing w:after="0"/>
              <w:rPr>
                <w:sz w:val="20"/>
                <w:szCs w:val="20"/>
                <w:color w:val="auto"/>
              </w:rPr>
            </w:pPr>
            <w:r>
              <w:rPr>
                <w:rFonts w:ascii="Arial" w:cs="Arial" w:eastAsia="Arial" w:hAnsi="Arial"/>
                <w:sz w:val="13"/>
                <w:szCs w:val="13"/>
                <w:color w:val="auto"/>
                <w:w w:val="82"/>
              </w:rPr>
              <w:t>$</w:t>
            </w:r>
          </w:p>
        </w:tc>
        <w:tc>
          <w:tcPr>
            <w:tcW w:w="700" w:type="dxa"/>
            <w:vAlign w:val="bottom"/>
            <w:vMerge w:val="restart"/>
          </w:tcPr>
          <w:p>
            <w:pPr>
              <w:jc w:val="right"/>
              <w:ind w:right="57"/>
              <w:spacing w:after="0"/>
              <w:rPr>
                <w:sz w:val="20"/>
                <w:szCs w:val="20"/>
                <w:color w:val="auto"/>
              </w:rPr>
            </w:pPr>
            <w:r>
              <w:rPr>
                <w:rFonts w:ascii="Arial" w:cs="Arial" w:eastAsia="Arial" w:hAnsi="Arial"/>
                <w:sz w:val="13"/>
                <w:szCs w:val="13"/>
                <w:color w:val="auto"/>
              </w:rPr>
              <w:t>(448)</w:t>
            </w:r>
          </w:p>
        </w:tc>
        <w:tc>
          <w:tcPr>
            <w:tcW w:w="10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vMerge w:val="restart"/>
          </w:tcPr>
          <w:p>
            <w:pPr>
              <w:jc w:val="right"/>
              <w:ind w:right="77"/>
              <w:spacing w:after="0"/>
              <w:rPr>
                <w:sz w:val="20"/>
                <w:szCs w:val="20"/>
                <w:color w:val="auto"/>
              </w:rPr>
            </w:pPr>
            <w:r>
              <w:rPr>
                <w:rFonts w:ascii="Arial" w:cs="Arial" w:eastAsia="Arial" w:hAnsi="Arial"/>
                <w:sz w:val="13"/>
                <w:szCs w:val="13"/>
                <w:color w:val="auto"/>
              </w:rPr>
              <w:t>895</w:t>
            </w:r>
          </w:p>
        </w:tc>
        <w:tc>
          <w:tcPr>
            <w:tcW w:w="100" w:type="dxa"/>
            <w:vAlign w:val="bottom"/>
          </w:tcPr>
          <w:p>
            <w:pPr>
              <w:spacing w:after="0"/>
              <w:rPr>
                <w:sz w:val="10"/>
                <w:szCs w:val="10"/>
                <w:color w:val="auto"/>
              </w:rPr>
            </w:pPr>
          </w:p>
        </w:tc>
        <w:tc>
          <w:tcPr>
            <w:tcW w:w="680" w:type="dxa"/>
            <w:vAlign w:val="bottom"/>
            <w:vMerge w:val="restart"/>
          </w:tcPr>
          <w:p>
            <w:pPr>
              <w:ind w:left="20"/>
              <w:spacing w:after="0"/>
              <w:rPr>
                <w:sz w:val="20"/>
                <w:szCs w:val="20"/>
                <w:color w:val="auto"/>
              </w:rPr>
            </w:pPr>
            <w:r>
              <w:rPr>
                <w:rFonts w:ascii="Arial" w:cs="Arial" w:eastAsia="Arial" w:hAnsi="Arial"/>
                <w:sz w:val="13"/>
                <w:szCs w:val="13"/>
                <w:color w:val="auto"/>
              </w:rPr>
              <w:t>$</w:t>
            </w:r>
          </w:p>
        </w:tc>
        <w:tc>
          <w:tcPr>
            <w:tcW w:w="960" w:type="dxa"/>
            <w:vAlign w:val="bottom"/>
            <w:vMerge w:val="restart"/>
          </w:tcPr>
          <w:p>
            <w:pPr>
              <w:jc w:val="center"/>
              <w:ind w:left="377"/>
              <w:spacing w:after="0"/>
              <w:rPr>
                <w:sz w:val="20"/>
                <w:szCs w:val="20"/>
                <w:color w:val="auto"/>
              </w:rPr>
            </w:pPr>
            <w:r>
              <w:rPr>
                <w:rFonts w:ascii="Arial" w:cs="Arial" w:eastAsia="Arial" w:hAnsi="Arial"/>
                <w:sz w:val="13"/>
                <w:szCs w:val="13"/>
                <w:color w:val="auto"/>
                <w:w w:val="86"/>
              </w:rPr>
              <w:t>(16)</w:t>
            </w:r>
          </w:p>
        </w:tc>
        <w:tc>
          <w:tcPr>
            <w:tcW w:w="100" w:type="dxa"/>
            <w:vAlign w:val="bottom"/>
          </w:tcPr>
          <w:p>
            <w:pPr>
              <w:spacing w:after="0"/>
              <w:rPr>
                <w:sz w:val="10"/>
                <w:szCs w:val="10"/>
                <w:color w:val="auto"/>
              </w:rPr>
            </w:pPr>
          </w:p>
        </w:tc>
        <w:tc>
          <w:tcPr>
            <w:tcW w:w="160" w:type="dxa"/>
            <w:vAlign w:val="bottom"/>
            <w:vMerge w:val="restart"/>
          </w:tcPr>
          <w:p>
            <w:pPr>
              <w:jc w:val="right"/>
              <w:ind w:right="17"/>
              <w:spacing w:after="0"/>
              <w:rPr>
                <w:sz w:val="20"/>
                <w:szCs w:val="20"/>
                <w:color w:val="auto"/>
              </w:rPr>
            </w:pPr>
            <w:r>
              <w:rPr>
                <w:rFonts w:ascii="Arial" w:cs="Arial" w:eastAsia="Arial" w:hAnsi="Arial"/>
                <w:sz w:val="13"/>
                <w:szCs w:val="13"/>
                <w:color w:val="auto"/>
                <w:w w:val="82"/>
              </w:rPr>
              <w:t>$</w:t>
            </w:r>
          </w:p>
        </w:tc>
        <w:tc>
          <w:tcPr>
            <w:tcW w:w="560" w:type="dxa"/>
            <w:vAlign w:val="bottom"/>
            <w:vMerge w:val="restart"/>
          </w:tcPr>
          <w:p>
            <w:pPr>
              <w:jc w:val="right"/>
              <w:ind w:right="77"/>
              <w:spacing w:after="0"/>
              <w:rPr>
                <w:sz w:val="20"/>
                <w:szCs w:val="20"/>
                <w:color w:val="auto"/>
              </w:rPr>
            </w:pPr>
            <w:r>
              <w:rPr>
                <w:rFonts w:ascii="Arial" w:cs="Arial" w:eastAsia="Arial" w:hAnsi="Arial"/>
                <w:sz w:val="13"/>
                <w:szCs w:val="13"/>
                <w:color w:val="auto"/>
              </w:rPr>
              <w:t>5,322</w:t>
            </w:r>
          </w:p>
        </w:tc>
        <w:tc>
          <w:tcPr>
            <w:tcW w:w="0" w:type="dxa"/>
            <w:vAlign w:val="bottom"/>
          </w:tcPr>
          <w:p>
            <w:pPr>
              <w:spacing w:after="0"/>
              <w:rPr>
                <w:sz w:val="1"/>
                <w:szCs w:val="1"/>
                <w:color w:val="auto"/>
              </w:rPr>
            </w:pPr>
          </w:p>
        </w:tc>
      </w:tr>
      <w:tr>
        <w:trPr>
          <w:trHeight w:val="168"/>
        </w:trPr>
        <w:tc>
          <w:tcPr>
            <w:tcW w:w="2420" w:type="dxa"/>
            <w:vAlign w:val="bottom"/>
          </w:tcPr>
          <w:p>
            <w:pPr>
              <w:ind w:left="180"/>
              <w:spacing w:after="0"/>
              <w:rPr>
                <w:sz w:val="20"/>
                <w:szCs w:val="20"/>
                <w:color w:val="auto"/>
              </w:rPr>
            </w:pPr>
            <w:r>
              <w:rPr>
                <w:rFonts w:ascii="Arial" w:cs="Arial" w:eastAsia="Arial" w:hAnsi="Arial"/>
                <w:sz w:val="13"/>
                <w:szCs w:val="13"/>
                <w:color w:val="auto"/>
              </w:rPr>
              <w:t>adjusted</w:t>
            </w:r>
          </w:p>
        </w:tc>
        <w:tc>
          <w:tcPr>
            <w:tcW w:w="12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Adjustments(a)</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(1,119)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1,207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86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jc w:val="center"/>
              <w:ind w:left="317"/>
              <w:spacing w:after="0"/>
              <w:rPr>
                <w:sz w:val="20"/>
                <w:szCs w:val="20"/>
                <w:color w:val="auto"/>
              </w:rPr>
            </w:pPr>
            <w:r>
              <w:rPr>
                <w:rFonts w:ascii="Arial" w:cs="Arial" w:eastAsia="Arial" w:hAnsi="Arial"/>
                <w:sz w:val="13"/>
                <w:szCs w:val="13"/>
                <w:color w:val="auto"/>
                <w:w w:val="91"/>
              </w:rPr>
              <w:t>—</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86</w:t>
            </w:r>
          </w:p>
        </w:tc>
        <w:tc>
          <w:tcPr>
            <w:tcW w:w="0" w:type="dxa"/>
            <w:vAlign w:val="bottom"/>
          </w:tcPr>
          <w:p>
            <w:pPr>
              <w:spacing w:after="0"/>
              <w:rPr>
                <w:sz w:val="1"/>
                <w:szCs w:val="1"/>
                <w:color w:val="auto"/>
              </w:rPr>
            </w:pPr>
          </w:p>
        </w:tc>
      </w:tr>
      <w:tr>
        <w:trPr>
          <w:trHeight w:val="181"/>
        </w:trPr>
        <w:tc>
          <w:tcPr>
            <w:tcW w:w="2420" w:type="dxa"/>
            <w:vAlign w:val="bottom"/>
          </w:tcPr>
          <w:p>
            <w:pPr>
              <w:ind w:left="20"/>
              <w:spacing w:after="0"/>
              <w:rPr>
                <w:sz w:val="20"/>
                <w:szCs w:val="20"/>
                <w:color w:val="auto"/>
              </w:rPr>
            </w:pPr>
            <w:r>
              <w:rPr>
                <w:rFonts w:ascii="Arial" w:cs="Arial" w:eastAsia="Arial" w:hAnsi="Arial"/>
                <w:sz w:val="13"/>
                <w:szCs w:val="13"/>
                <w:color w:val="auto"/>
              </w:rPr>
              <w:t>Automotive interest income</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jc w:val="right"/>
              <w:ind w:right="77"/>
              <w:spacing w:after="0"/>
              <w:rPr>
                <w:sz w:val="20"/>
                <w:szCs w:val="20"/>
                <w:color w:val="auto"/>
              </w:rPr>
            </w:pPr>
            <w:r>
              <w:rPr>
                <w:rFonts w:ascii="Arial" w:cs="Arial" w:eastAsia="Arial" w:hAnsi="Arial"/>
                <w:sz w:val="13"/>
                <w:szCs w:val="13"/>
                <w:color w:val="auto"/>
              </w:rPr>
              <w:t>204</w:t>
            </w:r>
          </w:p>
        </w:tc>
        <w:tc>
          <w:tcPr>
            <w:tcW w:w="0" w:type="dxa"/>
            <w:vAlign w:val="bottom"/>
          </w:tcPr>
          <w:p>
            <w:pPr>
              <w:spacing w:after="0"/>
              <w:rPr>
                <w:sz w:val="1"/>
                <w:szCs w:val="1"/>
                <w:color w:val="auto"/>
              </w:rPr>
            </w:pPr>
          </w:p>
        </w:tc>
      </w:tr>
      <w:tr>
        <w:trPr>
          <w:trHeight w:val="197"/>
        </w:trPr>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Automotive interest expense</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(376)</w:t>
            </w:r>
          </w:p>
        </w:tc>
        <w:tc>
          <w:tcPr>
            <w:tcW w:w="0" w:type="dxa"/>
            <w:vAlign w:val="bottom"/>
          </w:tcPr>
          <w:p>
            <w:pPr>
              <w:spacing w:after="0"/>
              <w:rPr>
                <w:sz w:val="1"/>
                <w:szCs w:val="1"/>
                <w:color w:val="auto"/>
              </w:rPr>
            </w:pPr>
          </w:p>
        </w:tc>
      </w:tr>
      <w:tr>
        <w:trPr>
          <w:trHeight w:val="122"/>
        </w:trPr>
        <w:tc>
          <w:tcPr>
            <w:tcW w:w="2420" w:type="dxa"/>
            <w:vAlign w:val="bottom"/>
          </w:tcPr>
          <w:p>
            <w:pPr>
              <w:ind w:left="20"/>
              <w:spacing w:after="0" w:line="122" w:lineRule="exact"/>
              <w:rPr>
                <w:sz w:val="20"/>
                <w:szCs w:val="20"/>
                <w:color w:val="auto"/>
              </w:rPr>
            </w:pPr>
            <w:r>
              <w:rPr>
                <w:rFonts w:ascii="Arial" w:cs="Arial" w:eastAsia="Arial" w:hAnsi="Arial"/>
                <w:sz w:val="13"/>
                <w:szCs w:val="13"/>
                <w:color w:val="auto"/>
              </w:rPr>
              <w:t>Net (loss) attributable to noncontrolling</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vMerge w:val="restart"/>
          </w:tcPr>
          <w:p>
            <w:pPr>
              <w:jc w:val="right"/>
              <w:ind w:right="37"/>
              <w:spacing w:after="0"/>
              <w:rPr>
                <w:sz w:val="20"/>
                <w:szCs w:val="20"/>
                <w:color w:val="auto"/>
              </w:rPr>
            </w:pPr>
            <w:r>
              <w:rPr>
                <w:rFonts w:ascii="Arial" w:cs="Arial" w:eastAsia="Arial" w:hAnsi="Arial"/>
                <w:sz w:val="13"/>
                <w:szCs w:val="13"/>
                <w:color w:val="auto"/>
              </w:rPr>
              <w:t>(27)</w:t>
            </w:r>
          </w:p>
        </w:tc>
        <w:tc>
          <w:tcPr>
            <w:tcW w:w="0" w:type="dxa"/>
            <w:vAlign w:val="bottom"/>
          </w:tcPr>
          <w:p>
            <w:pPr>
              <w:spacing w:after="0"/>
              <w:rPr>
                <w:sz w:val="1"/>
                <w:szCs w:val="1"/>
                <w:color w:val="auto"/>
              </w:rPr>
            </w:pPr>
          </w:p>
        </w:tc>
      </w:tr>
      <w:tr>
        <w:trPr>
          <w:trHeight w:val="169"/>
        </w:trPr>
        <w:tc>
          <w:tcPr>
            <w:tcW w:w="242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interests</w:t>
            </w:r>
          </w:p>
        </w:tc>
        <w:tc>
          <w:tcPr>
            <w:tcW w:w="12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9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before income taxes</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5,209</w:t>
            </w:r>
          </w:p>
        </w:tc>
        <w:tc>
          <w:tcPr>
            <w:tcW w:w="0" w:type="dxa"/>
            <w:vAlign w:val="bottom"/>
          </w:tcPr>
          <w:p>
            <w:pPr>
              <w:spacing w:after="0"/>
              <w:rPr>
                <w:sz w:val="1"/>
                <w:szCs w:val="1"/>
                <w:color w:val="auto"/>
              </w:rPr>
            </w:pPr>
          </w:p>
        </w:tc>
      </w:tr>
      <w:tr>
        <w:trPr>
          <w:trHeight w:val="183"/>
        </w:trPr>
        <w:tc>
          <w:tcPr>
            <w:tcW w:w="24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Income tax expense</w:t>
            </w:r>
          </w:p>
        </w:tc>
        <w:tc>
          <w:tcPr>
            <w:tcW w:w="12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7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(661)</w:t>
            </w:r>
          </w:p>
        </w:tc>
        <w:tc>
          <w:tcPr>
            <w:tcW w:w="0" w:type="dxa"/>
            <w:vAlign w:val="bottom"/>
          </w:tcPr>
          <w:p>
            <w:pPr>
              <w:spacing w:after="0"/>
              <w:rPr>
                <w:sz w:val="1"/>
                <w:szCs w:val="1"/>
                <w:color w:val="auto"/>
              </w:rPr>
            </w:pPr>
          </w:p>
        </w:tc>
      </w:tr>
      <w:tr>
        <w:trPr>
          <w:trHeight w:val="189"/>
        </w:trPr>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4,548</w:t>
            </w:r>
          </w:p>
        </w:tc>
        <w:tc>
          <w:tcPr>
            <w:tcW w:w="0" w:type="dxa"/>
            <w:vAlign w:val="bottom"/>
          </w:tcPr>
          <w:p>
            <w:pPr>
              <w:spacing w:after="0"/>
              <w:rPr>
                <w:sz w:val="1"/>
                <w:szCs w:val="1"/>
                <w:color w:val="auto"/>
              </w:rPr>
            </w:pPr>
          </w:p>
        </w:tc>
      </w:tr>
      <w:tr>
        <w:trPr>
          <w:trHeight w:val="183"/>
        </w:trPr>
        <w:tc>
          <w:tcPr>
            <w:tcW w:w="24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w w:val="89"/>
              </w:rPr>
              <w:t>Net loss attributable to noncontrolling interests</w:t>
            </w:r>
          </w:p>
        </w:tc>
        <w:tc>
          <w:tcPr>
            <w:tcW w:w="12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7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27</w:t>
            </w:r>
          </w:p>
        </w:tc>
        <w:tc>
          <w:tcPr>
            <w:tcW w:w="0" w:type="dxa"/>
            <w:vAlign w:val="bottom"/>
          </w:tcPr>
          <w:p>
            <w:pPr>
              <w:spacing w:after="0"/>
              <w:rPr>
                <w:sz w:val="1"/>
                <w:szCs w:val="1"/>
                <w:color w:val="auto"/>
              </w:rPr>
            </w:pPr>
          </w:p>
        </w:tc>
      </w:tr>
      <w:tr>
        <w:trPr>
          <w:trHeight w:val="214"/>
        </w:trPr>
        <w:tc>
          <w:tcPr>
            <w:tcW w:w="2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income attributable to stockholders</w:t>
            </w:r>
          </w:p>
        </w:tc>
        <w:tc>
          <w:tcPr>
            <w:tcW w:w="1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4,575</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Depreciation and amortization</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3,478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246</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3,749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3,747</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jc w:val="center"/>
              <w:ind w:left="317"/>
              <w:spacing w:after="0"/>
              <w:rPr>
                <w:sz w:val="20"/>
                <w:szCs w:val="20"/>
                <w:color w:val="auto"/>
              </w:rPr>
            </w:pPr>
            <w:r>
              <w:rPr>
                <w:rFonts w:ascii="Arial" w:cs="Arial" w:eastAsia="Arial" w:hAnsi="Arial"/>
                <w:sz w:val="13"/>
                <w:szCs w:val="13"/>
                <w:color w:val="auto"/>
                <w:w w:val="91"/>
              </w:rPr>
              <w:t>—</w:t>
            </w: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7,505</w:t>
            </w:r>
          </w:p>
        </w:tc>
        <w:tc>
          <w:tcPr>
            <w:tcW w:w="0" w:type="dxa"/>
            <w:vAlign w:val="bottom"/>
          </w:tcPr>
          <w:p>
            <w:pPr>
              <w:spacing w:after="0"/>
              <w:rPr>
                <w:sz w:val="1"/>
                <w:szCs w:val="1"/>
                <w:color w:val="auto"/>
              </w:rPr>
            </w:pPr>
          </w:p>
        </w:tc>
      </w:tr>
      <w:tr>
        <w:trPr>
          <w:trHeight w:val="181"/>
        </w:trPr>
        <w:tc>
          <w:tcPr>
            <w:tcW w:w="2420" w:type="dxa"/>
            <w:vAlign w:val="bottom"/>
          </w:tcPr>
          <w:p>
            <w:pPr>
              <w:ind w:left="20"/>
              <w:spacing w:after="0"/>
              <w:rPr>
                <w:sz w:val="20"/>
                <w:szCs w:val="20"/>
                <w:color w:val="auto"/>
              </w:rPr>
            </w:pPr>
            <w:r>
              <w:rPr>
                <w:rFonts w:ascii="Arial" w:cs="Arial" w:eastAsia="Arial" w:hAnsi="Arial"/>
                <w:sz w:val="13"/>
                <w:szCs w:val="13"/>
                <w:color w:val="auto"/>
              </w:rPr>
              <w:t>Impairment charges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77"/>
              <w:spacing w:after="0"/>
              <w:rPr>
                <w:sz w:val="20"/>
                <w:szCs w:val="20"/>
                <w:color w:val="auto"/>
              </w:rPr>
            </w:pPr>
            <w:r>
              <w:rPr>
                <w:rFonts w:ascii="Arial" w:cs="Arial" w:eastAsia="Arial" w:hAnsi="Arial"/>
                <w:sz w:val="13"/>
                <w:szCs w:val="13"/>
                <w:color w:val="auto"/>
              </w:rPr>
              <w:t>15</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ind w:right="77"/>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ind w:left="5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18</w:t>
            </w:r>
          </w:p>
        </w:tc>
        <w:tc>
          <w:tcPr>
            <w:tcW w:w="100" w:type="dxa"/>
            <w:vAlign w:val="bottom"/>
          </w:tcPr>
          <w:p>
            <w:pPr>
              <w:spacing w:after="0"/>
              <w:rPr>
                <w:sz w:val="15"/>
                <w:szCs w:val="15"/>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80" w:type="dxa"/>
            <w:vAlign w:val="bottom"/>
          </w:tcPr>
          <w:p>
            <w:pPr>
              <w:ind w:left="20"/>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center"/>
              <w:ind w:left="317"/>
              <w:spacing w:after="0"/>
              <w:rPr>
                <w:sz w:val="20"/>
                <w:szCs w:val="20"/>
                <w:color w:val="auto"/>
              </w:rPr>
            </w:pPr>
            <w:r>
              <w:rPr>
                <w:rFonts w:ascii="Arial" w:cs="Arial" w:eastAsia="Arial" w:hAnsi="Arial"/>
                <w:sz w:val="13"/>
                <w:szCs w:val="13"/>
                <w:color w:val="auto"/>
                <w:w w:val="91"/>
              </w:rPr>
              <w:t>—</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77"/>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97"/>
        </w:trPr>
        <w:tc>
          <w:tcPr>
            <w:tcW w:w="2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Equity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607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598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87</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jc w:val="center"/>
              <w:ind w:left="317"/>
              <w:spacing w:after="0"/>
              <w:rPr>
                <w:sz w:val="20"/>
                <w:szCs w:val="20"/>
                <w:color w:val="auto"/>
              </w:rPr>
            </w:pPr>
            <w:r>
              <w:rPr>
                <w:rFonts w:ascii="Arial" w:cs="Arial" w:eastAsia="Arial" w:hAnsi="Arial"/>
                <w:sz w:val="13"/>
                <w:szCs w:val="13"/>
                <w:color w:val="auto"/>
                <w:w w:val="91"/>
              </w:rPr>
              <w:t>—</w:t>
            </w: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685</w:t>
            </w:r>
          </w:p>
        </w:tc>
        <w:tc>
          <w:tcPr>
            <w:tcW w:w="0" w:type="dxa"/>
            <w:vAlign w:val="bottom"/>
          </w:tcPr>
          <w:p>
            <w:pPr>
              <w:spacing w:after="0"/>
              <w:rPr>
                <w:sz w:val="1"/>
                <w:szCs w:val="1"/>
                <w:color w:val="auto"/>
              </w:rPr>
            </w:pPr>
          </w:p>
        </w:tc>
      </w:tr>
      <w:tr>
        <w:trPr>
          <w:trHeight w:val="144"/>
        </w:trPr>
        <w:tc>
          <w:tcPr>
            <w:tcW w:w="2420" w:type="dxa"/>
            <w:vAlign w:val="bottom"/>
          </w:tcPr>
          <w:p>
            <w:pPr>
              <w:spacing w:after="0" w:line="144" w:lineRule="exact"/>
              <w:rPr>
                <w:sz w:val="20"/>
                <w:szCs w:val="20"/>
                <w:color w:val="auto"/>
              </w:rPr>
            </w:pPr>
            <w:r>
              <w:rPr>
                <w:rFonts w:ascii="Arial" w:cs="Arial" w:eastAsia="Arial" w:hAnsi="Arial"/>
                <w:sz w:val="13"/>
                <w:szCs w:val="13"/>
                <w:color w:val="auto"/>
              </w:rPr>
              <w:t>_________</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16"/>
        </w:numPr>
        <w:rPr>
          <w:rFonts w:ascii="Arial" w:cs="Arial" w:eastAsia="Arial" w:hAnsi="Arial"/>
          <w:sz w:val="10"/>
          <w:szCs w:val="10"/>
          <w:color w:val="auto"/>
        </w:rPr>
      </w:pPr>
      <w:r>
        <w:rPr>
          <w:rFonts w:ascii="Arial" w:cs="Arial" w:eastAsia="Arial" w:hAnsi="Arial"/>
          <w:sz w:val="10"/>
          <w:szCs w:val="10"/>
          <w:color w:val="auto"/>
        </w:rPr>
        <w:t>Consists of restructuring and other charges related to transformation activities of $1.2 billion, primarily in GMNA and a benefit of $1.2 billion related to the retrospective recoveries of indirect taxes in Brazil in GMI.</w:t>
      </w: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2" w:lineRule="exact"/>
        <w:rPr>
          <w:sz w:val="20"/>
          <w:szCs w:val="20"/>
          <w:color w:val="auto"/>
        </w:rPr>
      </w:pPr>
    </w:p>
    <w:p>
      <w:pPr>
        <w:jc w:val="both"/>
        <w:ind w:firstLine="162"/>
        <w:spacing w:after="0" w:line="266" w:lineRule="auto"/>
        <w:rPr>
          <w:sz w:val="20"/>
          <w:szCs w:val="20"/>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color w:val="auto"/>
        </w:rPr>
        <w:t>This Management's Discussion and Analysis of Financial Condition and Results of Operations (MD&amp;A) should be read in</w:t>
      </w:r>
      <w:r>
        <w:rPr>
          <w:rFonts w:ascii="Arial" w:cs="Arial" w:eastAsia="Arial" w:hAnsi="Arial"/>
          <w:sz w:val="18"/>
          <w:szCs w:val="18"/>
          <w:b w:val="1"/>
          <w:bCs w:val="1"/>
          <w:color w:val="auto"/>
        </w:rPr>
        <w:t xml:space="preserve"> </w:t>
      </w:r>
      <w:r>
        <w:rPr>
          <w:rFonts w:ascii="Arial" w:cs="Arial" w:eastAsia="Arial" w:hAnsi="Arial"/>
          <w:sz w:val="18"/>
          <w:szCs w:val="18"/>
          <w:color w:val="auto"/>
        </w:rPr>
        <w:t>conjunction with the accompanying condensed consolidated financial statements and the notes thereto, and the audited consolidated financial statements and notes thereto included in our 2019 Form 10-K.</w:t>
      </w:r>
    </w:p>
    <w:p>
      <w:pPr>
        <w:spacing w:after="0" w:line="207"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Forward-looking statements in this MD&amp;A are not guarantees of future performance and may involve risks and uncertainties that could cause actual results to differ materially from those projected. Refer to the "Forward-Looking Statements" section of this MD&amp;A and Item 1A. Risk Factors of our 2019 Form 10-K for a discussion of these risks and uncertainties. Except for per share amounts or as otherwise specified, dollar amounts presented within tables are stated in millions.</w:t>
      </w:r>
    </w:p>
    <w:p>
      <w:pPr>
        <w:spacing w:after="0" w:line="21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Non-GAAP Measures </w:t>
      </w:r>
      <w:r>
        <w:rPr>
          <w:rFonts w:ascii="Arial" w:cs="Arial" w:eastAsia="Arial" w:hAnsi="Arial"/>
          <w:sz w:val="18"/>
          <w:szCs w:val="18"/>
          <w:color w:val="auto"/>
        </w:rPr>
        <w:t>Our non-GAAP measures include: EBIT-adjusted, presented net of noncontrolling interests; EBT-adjusted for our GM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segment; EPS-diluted-adjusted; effective tax rate-adjusted (ETR-adjusted); return on invested capital-adjusted (ROIC-adjusted) and adjusted automotive free cash flow. Our calculation of these non-GAAP measures may not be comparable to similarly titled measures of other companies due to potential differences between companies in the method of calculation. As a result, the use of these non-GAAP measures has limitations and should not be considered superior to, in isolation from, or as a substitute for, related U.S. GAAP measures.</w:t>
      </w:r>
    </w:p>
    <w:p>
      <w:pPr>
        <w:spacing w:after="0" w:line="214" w:lineRule="exact"/>
        <w:rPr>
          <w:sz w:val="20"/>
          <w:szCs w:val="20"/>
          <w:color w:val="auto"/>
        </w:rPr>
      </w:pPr>
    </w:p>
    <w:p>
      <w:pPr>
        <w:jc w:val="both"/>
        <w:ind w:firstLine="162"/>
        <w:spacing w:after="0" w:line="291" w:lineRule="auto"/>
        <w:rPr>
          <w:sz w:val="20"/>
          <w:szCs w:val="20"/>
          <w:color w:val="auto"/>
        </w:rPr>
      </w:pPr>
      <w:r>
        <w:rPr>
          <w:rFonts w:ascii="Arial" w:cs="Arial" w:eastAsia="Arial" w:hAnsi="Arial"/>
          <w:sz w:val="16"/>
          <w:szCs w:val="16"/>
          <w:color w:val="auto"/>
        </w:rPr>
        <w:t>These non-GAAP measures allow management and investors to view operating trends, perform analytical comparisons and benchmark performance between periods and among geographic regions to understand operating performance without regard to items we do not consider a component of our core operating performance. Furthermore, these non-GAAP measures allow investors the opportunity to measure and monitor our performance against our externally communicated targets and evaluate the investment decisions being made by management to improve ROIC-adjusted. Management uses these measures in its financial, investment and operational decision-making processes, for internal reporting and as part of its forecasting and budgeting processes. Further, our Board of Directors uses certain of these and other measures as key metrics to determine management performance under our performance-based compensation plans. For these reasons, we believe these non-GAAP measures are useful for our investors.</w:t>
      </w:r>
    </w:p>
    <w:p>
      <w:pPr>
        <w:spacing w:after="0" w:line="193" w:lineRule="exact"/>
        <w:rPr>
          <w:sz w:val="20"/>
          <w:szCs w:val="20"/>
          <w:color w:val="auto"/>
        </w:rPr>
      </w:pPr>
    </w:p>
    <w:p>
      <w:pPr>
        <w:jc w:val="both"/>
        <w:ind w:firstLine="162"/>
        <w:spacing w:after="0" w:line="290" w:lineRule="auto"/>
        <w:rPr>
          <w:sz w:val="20"/>
          <w:szCs w:val="20"/>
          <w:color w:val="auto"/>
        </w:rPr>
      </w:pPr>
      <w:r>
        <w:rPr>
          <w:rFonts w:ascii="Arial" w:cs="Arial" w:eastAsia="Arial" w:hAnsi="Arial"/>
          <w:sz w:val="16"/>
          <w:szCs w:val="16"/>
          <w:b w:val="1"/>
          <w:bCs w:val="1"/>
          <w:i w:val="1"/>
          <w:iCs w:val="1"/>
          <w:color w:val="auto"/>
        </w:rPr>
        <w:t xml:space="preserve">EBIT-adjusted </w:t>
      </w:r>
      <w:r>
        <w:rPr>
          <w:rFonts w:ascii="Arial" w:cs="Arial" w:eastAsia="Arial" w:hAnsi="Arial"/>
          <w:sz w:val="16"/>
          <w:szCs w:val="16"/>
          <w:color w:val="auto"/>
        </w:rPr>
        <w:t>EBIT-adjusted is presented net of noncontrolling interests and is used by management and can be used by investors to review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consolidated operating results because it excludes automotive interest income, automotive interest expense and income taxes as well as certain additional adjustments that are not considered part of our core operations. Examples of adjustments to EBIT include, but are not limited to, impairment charges on long-lived assets and other exit costs resulting from strategic shifts in our operations or discrete market and business conditions; costs arising from the ignition switch recall and related legal matters; and certain currency devaluations associated with hyperinflationary economies. For EBIT-adjusted and our other non-GAAP measures, once we have made an adjustment in the current period for an item, we will also adjust the related non-GAAP measure in any future periods in which there is an impact from the item. Our corresponding measure for our GM Financial segment is EBT-adjusted because interest income and interest expense are part of operating results when assessing and measuring the operational and financial performance of the segment.</w:t>
      </w:r>
    </w:p>
    <w:p>
      <w:pPr>
        <w:spacing w:after="0" w:line="192"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b w:val="1"/>
          <w:bCs w:val="1"/>
          <w:i w:val="1"/>
          <w:iCs w:val="1"/>
          <w:color w:val="auto"/>
        </w:rPr>
        <w:t xml:space="preserve">EPS-diluted-adjusted </w:t>
      </w:r>
      <w:r>
        <w:rPr>
          <w:rFonts w:ascii="Arial" w:cs="Arial" w:eastAsia="Arial" w:hAnsi="Arial"/>
          <w:sz w:val="18"/>
          <w:szCs w:val="18"/>
          <w:color w:val="auto"/>
        </w:rPr>
        <w:t>EPS-diluted-adjusted is used by management and can be used by investors to review our consolidated diluted EPS results on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consistent basis. EPS-diluted-adjusted is calculated as net income attributable to common stockholders-diluted less adjustments noted above for EBIT-adjusted and certain income tax adjustments divided by weighted-average common shares outstanding-diluted. Examples of income tax adjustments include the establishment or reversal of significant deferred tax asset valuation allowances.</w:t>
      </w:r>
    </w:p>
    <w:p>
      <w:pPr>
        <w:spacing w:after="0" w:line="214"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b w:val="1"/>
          <w:bCs w:val="1"/>
          <w:i w:val="1"/>
          <w:iCs w:val="1"/>
          <w:color w:val="auto"/>
        </w:rPr>
        <w:t xml:space="preserve">ETR-adjusted </w:t>
      </w:r>
      <w:r>
        <w:rPr>
          <w:rFonts w:ascii="Arial" w:cs="Arial" w:eastAsia="Arial" w:hAnsi="Arial"/>
          <w:sz w:val="18"/>
          <w:szCs w:val="18"/>
          <w:color w:val="auto"/>
        </w:rPr>
        <w:t>ETR-adjusted is used by management and can be used by investors to review the consolidated effective tax rate for our core operations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consistent basis. ETR-adjusted is calculated as Income tax expense less the income tax related to the adjustments noted above for EBIT-adjusted and the income tax adjustments noted above for EPS-diluted-adjusted divided by Income before income taxes less adjustments. When we provide an expected adjusted effective tax rate, we do not provide an expected effective tax rate because the U.S. GAAP measure may include significant adjustments that are difficult to predict.</w:t>
      </w:r>
    </w:p>
    <w:p>
      <w:pPr>
        <w:spacing w:after="0" w:line="21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b w:val="1"/>
          <w:bCs w:val="1"/>
          <w:i w:val="1"/>
          <w:iCs w:val="1"/>
          <w:color w:val="auto"/>
        </w:rPr>
        <w:t xml:space="preserve">ROIC-adjusted </w:t>
      </w:r>
      <w:r>
        <w:rPr>
          <w:rFonts w:ascii="Arial" w:cs="Arial" w:eastAsia="Arial" w:hAnsi="Arial"/>
          <w:sz w:val="18"/>
          <w:szCs w:val="18"/>
          <w:color w:val="auto"/>
        </w:rPr>
        <w:t>ROIC-adjusted is used by management and can be used by investors to review our investment and capital allocation decisions. We define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ROIC-adjusted as EBIT-adjusted for the trailing four quarters divided by ROIC-adjusted average net assets, which is considered to be the average equity balances adjusted for average automotive debt and interest liabilities, exclusive of finance leases; average automotive net pension and OPEB liabilities; and average automotive net income tax assets during the same period.</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81"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b w:val="1"/>
          <w:bCs w:val="1"/>
          <w:i w:val="1"/>
          <w:iCs w:val="1"/>
          <w:color w:val="auto"/>
        </w:rPr>
        <w:t xml:space="preserve">Adjusted automotive free cash flow </w:t>
      </w:r>
      <w:r>
        <w:rPr>
          <w:rFonts w:ascii="Arial" w:cs="Arial" w:eastAsia="Arial" w:hAnsi="Arial"/>
          <w:sz w:val="17"/>
          <w:szCs w:val="17"/>
          <w:color w:val="auto"/>
        </w:rPr>
        <w:t>Adjusted automotive free cash flow is used by management and can be used by investors to review the liquidity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automotive operations and to measure and monitor our performance against our capital allocation program and evaluate our automotive liquidity against the substantial cash requirements of our automotive operations. We measure adjusted automotive free cash flow as automotive operating cash flow from operations less capital expenditures adjusted for management actions. Management actions can include voluntary events such as discretionary contributions to employee benefit plans or nonrecurring specific events such as a closure of a facility that are considered special for EBIT-adjusted purposes. Refer to the "Liquidity and Capital Resources" section of this MD&amp;A for additional information.</w:t>
      </w:r>
    </w:p>
    <w:p>
      <w:pPr>
        <w:spacing w:after="0" w:line="20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reconciles Net income (loss) attributable to stockholders under U.S. GAAP to EBIT (loss)-adjusted: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5"/>
          </w:tcPr>
          <w:p>
            <w:pPr>
              <w:jc w:val="right"/>
              <w:ind w:right="400"/>
              <w:spacing w:after="0"/>
              <w:rPr>
                <w:sz w:val="20"/>
                <w:szCs w:val="20"/>
                <w:color w:val="auto"/>
              </w:rPr>
            </w:pPr>
            <w:r>
              <w:rPr>
                <w:rFonts w:ascii="Arial" w:cs="Arial" w:eastAsia="Arial" w:hAnsi="Arial"/>
                <w:sz w:val="14"/>
                <w:szCs w:val="14"/>
                <w:b w:val="1"/>
                <w:bCs w:val="1"/>
                <w:color w:val="auto"/>
                <w:w w:val="93"/>
              </w:rPr>
              <w:t>Three Months Ended</w:t>
            </w: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gridSpan w:val="5"/>
          </w:tcPr>
          <w:p>
            <w:pPr>
              <w:ind w:left="30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7"/>
                <w:szCs w:val="17"/>
                <w:color w:val="auto"/>
              </w:rPr>
            </w:pPr>
          </w:p>
        </w:tc>
        <w:tc>
          <w:tcPr>
            <w:tcW w:w="1640" w:type="dxa"/>
            <w:vAlign w:val="bottom"/>
            <w:gridSpan w:val="4"/>
          </w:tcPr>
          <w:p>
            <w:pPr>
              <w:jc w:val="right"/>
              <w:ind w:right="395"/>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96"/>
        </w:trPr>
        <w:tc>
          <w:tcPr>
            <w:tcW w:w="352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69"/>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Net income (loss) attributable to stockholders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(758)</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w w:val="97"/>
              </w:rPr>
              <w:t>2,418</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294</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2,157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(194)</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2,044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2,351</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2,534</w:t>
            </w:r>
          </w:p>
        </w:tc>
        <w:tc>
          <w:tcPr>
            <w:tcW w:w="0" w:type="dxa"/>
            <w:vAlign w:val="bottom"/>
          </w:tcPr>
          <w:p>
            <w:pPr>
              <w:spacing w:after="0"/>
              <w:rPr>
                <w:sz w:val="1"/>
                <w:szCs w:val="1"/>
                <w:color w:val="auto"/>
              </w:rPr>
            </w:pPr>
          </w:p>
        </w:tc>
      </w:tr>
      <w:tr>
        <w:trPr>
          <w:trHeight w:val="270"/>
        </w:trPr>
        <w:tc>
          <w:tcPr>
            <w:tcW w:w="352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200" w:type="dxa"/>
            <w:vAlign w:val="bottom"/>
          </w:tcPr>
          <w:p>
            <w:pPr>
              <w:spacing w:after="0"/>
              <w:rPr>
                <w:sz w:val="23"/>
                <w:szCs w:val="23"/>
                <w:color w:val="auto"/>
              </w:rPr>
            </w:pPr>
          </w:p>
        </w:tc>
        <w:tc>
          <w:tcPr>
            <w:tcW w:w="660" w:type="dxa"/>
            <w:vAlign w:val="bottom"/>
          </w:tcPr>
          <w:p>
            <w:pPr>
              <w:jc w:val="right"/>
              <w:ind w:right="16"/>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jc w:val="right"/>
              <w:ind w:right="74"/>
              <w:spacing w:after="0"/>
              <w:rPr>
                <w:sz w:val="20"/>
                <w:szCs w:val="20"/>
                <w:color w:val="auto"/>
              </w:rPr>
            </w:pPr>
            <w:r>
              <w:rPr>
                <w:rFonts w:ascii="Arial" w:cs="Arial" w:eastAsia="Arial" w:hAnsi="Arial"/>
                <w:sz w:val="18"/>
                <w:szCs w:val="18"/>
                <w:color w:val="auto"/>
              </w:rPr>
              <w:t>524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jc w:val="right"/>
              <w:ind w:right="56"/>
              <w:spacing w:after="0"/>
              <w:rPr>
                <w:sz w:val="20"/>
                <w:szCs w:val="20"/>
                <w:color w:val="auto"/>
              </w:rPr>
            </w:pPr>
            <w:r>
              <w:rPr>
                <w:rFonts w:ascii="Arial" w:cs="Arial" w:eastAsia="Arial" w:hAnsi="Arial"/>
                <w:sz w:val="18"/>
                <w:szCs w:val="18"/>
                <w:color w:val="auto"/>
              </w:rPr>
              <w:t>357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jc w:val="right"/>
              <w:ind w:right="75"/>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jc w:val="right"/>
              <w:ind w:right="16"/>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jc w:val="right"/>
              <w:ind w:right="35"/>
              <w:spacing w:after="0"/>
              <w:rPr>
                <w:sz w:val="20"/>
                <w:szCs w:val="20"/>
                <w:color w:val="auto"/>
              </w:rPr>
            </w:pPr>
            <w:r>
              <w:rPr>
                <w:rFonts w:ascii="Arial" w:cs="Arial" w:eastAsia="Arial" w:hAnsi="Arial"/>
                <w:sz w:val="18"/>
                <w:szCs w:val="18"/>
                <w:color w:val="auto"/>
              </w:rPr>
              <w:t>(611)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jc w:val="right"/>
              <w:ind w:right="55"/>
              <w:spacing w:after="0"/>
              <w:rPr>
                <w:sz w:val="20"/>
                <w:szCs w:val="20"/>
                <w:color w:val="auto"/>
              </w:rPr>
            </w:pPr>
            <w:r>
              <w:rPr>
                <w:rFonts w:ascii="Arial" w:cs="Arial" w:eastAsia="Arial" w:hAnsi="Arial"/>
                <w:sz w:val="18"/>
                <w:szCs w:val="18"/>
                <w:color w:val="auto"/>
              </w:rPr>
              <w:t>271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jc w:val="right"/>
              <w:ind w:right="75"/>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0"/>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Automotive interest expense</w:t>
            </w:r>
          </w:p>
        </w:tc>
        <w:tc>
          <w:tcPr>
            <w:tcW w:w="20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303</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193</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181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200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185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206</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70"/>
        </w:trPr>
        <w:tc>
          <w:tcPr>
            <w:tcW w:w="3520" w:type="dxa"/>
            <w:vAlign w:val="bottom"/>
          </w:tcPr>
          <w:p>
            <w:pPr>
              <w:ind w:left="20"/>
              <w:spacing w:after="0"/>
              <w:rPr>
                <w:sz w:val="20"/>
                <w:szCs w:val="20"/>
                <w:color w:val="auto"/>
              </w:rPr>
            </w:pPr>
            <w:r>
              <w:rPr>
                <w:rFonts w:ascii="Arial" w:cs="Arial" w:eastAsia="Arial" w:hAnsi="Arial"/>
                <w:sz w:val="18"/>
                <w:szCs w:val="18"/>
                <w:color w:val="auto"/>
              </w:rPr>
              <w:t>Automotive interest income</w:t>
            </w:r>
          </w:p>
        </w:tc>
        <w:tc>
          <w:tcPr>
            <w:tcW w:w="200" w:type="dxa"/>
            <w:vAlign w:val="bottom"/>
          </w:tcPr>
          <w:p>
            <w:pPr>
              <w:spacing w:after="0"/>
              <w:rPr>
                <w:sz w:val="23"/>
                <w:szCs w:val="23"/>
                <w:color w:val="auto"/>
              </w:rPr>
            </w:pPr>
          </w:p>
        </w:tc>
        <w:tc>
          <w:tcPr>
            <w:tcW w:w="660" w:type="dxa"/>
            <w:vAlign w:val="bottom"/>
          </w:tcPr>
          <w:p>
            <w:pPr>
              <w:jc w:val="right"/>
              <w:ind w:right="16"/>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jc w:val="right"/>
              <w:ind w:right="34"/>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jc w:val="right"/>
              <w:ind w:right="16"/>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jc w:val="right"/>
              <w:ind w:right="35"/>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jc w:val="right"/>
              <w:ind w:right="16"/>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jc w:val="right"/>
              <w:ind w:right="35"/>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jc w:val="right"/>
              <w:ind w:right="15"/>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jc w:val="right"/>
              <w:ind w:right="15"/>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29"/>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520" w:type="dxa"/>
            <w:vAlign w:val="bottom"/>
          </w:tcPr>
          <w:p>
            <w:pPr>
              <w:ind w:left="180"/>
              <w:spacing w:after="0"/>
              <w:rPr>
                <w:sz w:val="20"/>
                <w:szCs w:val="20"/>
                <w:color w:val="auto"/>
              </w:rPr>
            </w:pPr>
            <w:r>
              <w:rPr>
                <w:rFonts w:ascii="Arial" w:cs="Arial" w:eastAsia="Arial" w:hAnsi="Arial"/>
                <w:sz w:val="18"/>
                <w:szCs w:val="18"/>
                <w:color w:val="auto"/>
              </w:rPr>
              <w:t>GMI restructuring(a)</w:t>
            </w:r>
          </w:p>
        </w:tc>
        <w:tc>
          <w:tcPr>
            <w:tcW w:w="200" w:type="dxa"/>
            <w:vAlign w:val="bottom"/>
          </w:tcPr>
          <w:p>
            <w:pPr>
              <w:spacing w:after="0"/>
              <w:rPr>
                <w:sz w:val="23"/>
                <w:szCs w:val="23"/>
                <w:color w:val="auto"/>
              </w:rPr>
            </w:pPr>
          </w:p>
        </w:tc>
        <w:tc>
          <w:tcPr>
            <w:tcW w:w="660" w:type="dxa"/>
            <w:vAlign w:val="bottom"/>
          </w:tcPr>
          <w:p>
            <w:pPr>
              <w:jc w:val="right"/>
              <w:ind w:right="76"/>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660" w:type="dxa"/>
            <w:vAlign w:val="bottom"/>
          </w:tcPr>
          <w:p>
            <w:pPr>
              <w:jc w:val="right"/>
              <w:ind w:right="56"/>
              <w:spacing w:after="0"/>
              <w:rPr>
                <w:sz w:val="20"/>
                <w:szCs w:val="20"/>
                <w:color w:val="auto"/>
              </w:rPr>
            </w:pPr>
            <w:r>
              <w:rPr>
                <w:rFonts w:ascii="Arial" w:cs="Arial" w:eastAsia="Arial" w:hAnsi="Arial"/>
                <w:sz w:val="18"/>
                <w:szCs w:val="18"/>
                <w:color w:val="auto"/>
              </w:rPr>
              <w:t>489</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660" w:type="dxa"/>
            <w:vAlign w:val="bottom"/>
          </w:tcPr>
          <w:p>
            <w:pPr>
              <w:jc w:val="right"/>
              <w:ind w:right="55"/>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3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Transformation activities(b)</w:t>
            </w:r>
          </w:p>
        </w:tc>
        <w:tc>
          <w:tcPr>
            <w:tcW w:w="20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361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790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194</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1,327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390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55"/>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3520" w:type="dxa"/>
            <w:vAlign w:val="bottom"/>
          </w:tcPr>
          <w:p>
            <w:pPr>
              <w:ind w:left="180"/>
              <w:spacing w:after="0"/>
              <w:rPr>
                <w:sz w:val="20"/>
                <w:szCs w:val="20"/>
                <w:color w:val="auto"/>
              </w:rPr>
            </w:pPr>
            <w:r>
              <w:rPr>
                <w:rFonts w:ascii="Arial" w:cs="Arial" w:eastAsia="Arial" w:hAnsi="Arial"/>
                <w:sz w:val="18"/>
                <w:szCs w:val="18"/>
                <w:color w:val="auto"/>
              </w:rPr>
              <w:t>GM Brazil indirect tax recoveries(c)</w:t>
            </w:r>
          </w:p>
        </w:tc>
        <w:tc>
          <w:tcPr>
            <w:tcW w:w="200" w:type="dxa"/>
            <w:vAlign w:val="bottom"/>
          </w:tcPr>
          <w:p>
            <w:pPr>
              <w:spacing w:after="0"/>
              <w:rPr>
                <w:sz w:val="23"/>
                <w:szCs w:val="23"/>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620" w:type="dxa"/>
            <w:vAlign w:val="bottom"/>
          </w:tcPr>
          <w:p>
            <w:pPr>
              <w:jc w:val="right"/>
              <w:ind w:right="34"/>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3"/>
                <w:szCs w:val="23"/>
                <w:color w:val="auto"/>
              </w:rPr>
            </w:pPr>
          </w:p>
        </w:tc>
        <w:tc>
          <w:tcPr>
            <w:tcW w:w="640" w:type="dxa"/>
            <w:vAlign w:val="bottom"/>
          </w:tcPr>
          <w:p>
            <w:pPr>
              <w:jc w:val="right"/>
              <w:ind w:right="35"/>
              <w:spacing w:after="0"/>
              <w:rPr>
                <w:sz w:val="20"/>
                <w:szCs w:val="20"/>
                <w:color w:val="auto"/>
              </w:rPr>
            </w:pPr>
            <w:r>
              <w:rPr>
                <w:rFonts w:ascii="Arial" w:cs="Arial" w:eastAsia="Arial" w:hAnsi="Arial"/>
                <w:sz w:val="18"/>
                <w:szCs w:val="18"/>
                <w:color w:val="auto"/>
              </w:rPr>
              <w:t>(857)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660" w:type="dxa"/>
            <w:vAlign w:val="bottom"/>
          </w:tcPr>
          <w:p>
            <w:pPr>
              <w:jc w:val="right"/>
              <w:ind w:right="15"/>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jc w:val="right"/>
              <w:ind w:right="55"/>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7"/>
        </w:trPr>
        <w:tc>
          <w:tcPr>
            <w:tcW w:w="3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FAW-GM divestiture(d)</w:t>
            </w:r>
          </w:p>
        </w:tc>
        <w:tc>
          <w:tcPr>
            <w:tcW w:w="20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56"/>
              <w:spacing w:after="0"/>
              <w:rPr>
                <w:sz w:val="20"/>
                <w:szCs w:val="20"/>
                <w:color w:val="auto"/>
              </w:rPr>
            </w:pPr>
            <w:r>
              <w:rPr>
                <w:rFonts w:ascii="Arial" w:cs="Arial" w:eastAsia="Arial" w:hAnsi="Arial"/>
                <w:sz w:val="16"/>
                <w:szCs w:val="16"/>
                <w:color w:val="auto"/>
              </w:rPr>
              <w:t>164</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55"/>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5"/>
        </w:trPr>
        <w:tc>
          <w:tcPr>
            <w:tcW w:w="3520" w:type="dxa"/>
            <w:vAlign w:val="bottom"/>
          </w:tcPr>
          <w:p>
            <w:pPr>
              <w:ind w:left="180"/>
              <w:spacing w:after="0" w:line="176" w:lineRule="exact"/>
              <w:rPr>
                <w:sz w:val="20"/>
                <w:szCs w:val="20"/>
                <w:color w:val="auto"/>
              </w:rPr>
            </w:pPr>
            <w:r>
              <w:rPr>
                <w:rFonts w:ascii="Arial" w:cs="Arial" w:eastAsia="Arial" w:hAnsi="Arial"/>
                <w:sz w:val="18"/>
                <w:szCs w:val="18"/>
                <w:color w:val="auto"/>
              </w:rPr>
              <w:t>Ignition switch recall and related legal</w:t>
            </w:r>
          </w:p>
        </w:tc>
        <w:tc>
          <w:tcPr>
            <w:tcW w:w="200" w:type="dxa"/>
            <w:vAlign w:val="bottom"/>
          </w:tcPr>
          <w:p>
            <w:pPr>
              <w:spacing w:after="0"/>
              <w:rPr>
                <w:sz w:val="15"/>
                <w:szCs w:val="15"/>
                <w:color w:val="auto"/>
              </w:rPr>
            </w:pPr>
          </w:p>
        </w:tc>
        <w:tc>
          <w:tcPr>
            <w:tcW w:w="76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5"/>
                <w:szCs w:val="15"/>
                <w:color w:val="auto"/>
              </w:rPr>
            </w:pPr>
          </w:p>
        </w:tc>
        <w:tc>
          <w:tcPr>
            <w:tcW w:w="720" w:type="dxa"/>
            <w:vAlign w:val="bottom"/>
            <w:gridSpan w:val="2"/>
            <w:vMerge w:val="restart"/>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5"/>
                <w:szCs w:val="15"/>
                <w:color w:val="auto"/>
              </w:rPr>
            </w:pPr>
          </w:p>
        </w:tc>
        <w:tc>
          <w:tcPr>
            <w:tcW w:w="780" w:type="dxa"/>
            <w:vAlign w:val="bottom"/>
            <w:gridSpan w:val="2"/>
            <w:vMerge w:val="restart"/>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5"/>
                <w:szCs w:val="15"/>
                <w:color w:val="auto"/>
              </w:rPr>
            </w:pPr>
          </w:p>
        </w:tc>
        <w:tc>
          <w:tcPr>
            <w:tcW w:w="740" w:type="dxa"/>
            <w:vAlign w:val="bottom"/>
            <w:gridSpan w:val="2"/>
            <w:vMerge w:val="restart"/>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5"/>
                <w:szCs w:val="15"/>
                <w:color w:val="auto"/>
              </w:rPr>
            </w:pPr>
          </w:p>
        </w:tc>
        <w:tc>
          <w:tcPr>
            <w:tcW w:w="780" w:type="dxa"/>
            <w:vAlign w:val="bottom"/>
            <w:gridSpan w:val="2"/>
            <w:vMerge w:val="restart"/>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5"/>
                <w:szCs w:val="15"/>
                <w:color w:val="auto"/>
              </w:rPr>
            </w:pPr>
          </w:p>
        </w:tc>
        <w:tc>
          <w:tcPr>
            <w:tcW w:w="760" w:type="dxa"/>
            <w:vAlign w:val="bottom"/>
            <w:gridSpan w:val="2"/>
            <w:vMerge w:val="restart"/>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5"/>
                <w:szCs w:val="15"/>
                <w:color w:val="auto"/>
              </w:rPr>
            </w:pPr>
          </w:p>
        </w:tc>
        <w:tc>
          <w:tcPr>
            <w:tcW w:w="780" w:type="dxa"/>
            <w:vAlign w:val="bottom"/>
            <w:gridSpan w:val="2"/>
            <w:vMerge w:val="restart"/>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5"/>
                <w:szCs w:val="15"/>
                <w:color w:val="auto"/>
              </w:rPr>
            </w:pPr>
          </w:p>
        </w:tc>
        <w:tc>
          <w:tcPr>
            <w:tcW w:w="660" w:type="dxa"/>
            <w:vAlign w:val="bottom"/>
            <w:vMerge w:val="restart"/>
          </w:tcPr>
          <w:p>
            <w:pPr>
              <w:jc w:val="right"/>
              <w:ind w:right="75"/>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30"/>
        </w:trPr>
        <w:tc>
          <w:tcPr>
            <w:tcW w:w="3520" w:type="dxa"/>
            <w:vAlign w:val="bottom"/>
          </w:tcPr>
          <w:p>
            <w:pPr>
              <w:ind w:left="360"/>
              <w:spacing w:after="0"/>
              <w:rPr>
                <w:sz w:val="20"/>
                <w:szCs w:val="20"/>
                <w:color w:val="auto"/>
              </w:rPr>
            </w:pPr>
            <w:r>
              <w:rPr>
                <w:rFonts w:ascii="Arial" w:cs="Arial" w:eastAsia="Arial" w:hAnsi="Arial"/>
                <w:sz w:val="18"/>
                <w:szCs w:val="18"/>
                <w:color w:val="auto"/>
              </w:rPr>
              <w:t>matters(e)</w:t>
            </w:r>
          </w:p>
        </w:tc>
        <w:tc>
          <w:tcPr>
            <w:tcW w:w="200" w:type="dxa"/>
            <w:vAlign w:val="bottom"/>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adjustments</w:t>
            </w: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66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92</w:t>
            </w: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spacing w:after="0"/>
              <w:rPr>
                <w:sz w:val="22"/>
                <w:szCs w:val="22"/>
                <w:color w:val="auto"/>
              </w:rPr>
            </w:pPr>
          </w:p>
        </w:tc>
        <w:tc>
          <w:tcPr>
            <w:tcW w:w="6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(19)</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66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489</w:t>
            </w:r>
          </w:p>
        </w:tc>
        <w:tc>
          <w:tcPr>
            <w:tcW w:w="12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spacing w:after="0"/>
              <w:rPr>
                <w:sz w:val="22"/>
                <w:szCs w:val="22"/>
                <w:color w:val="auto"/>
              </w:rPr>
            </w:pPr>
          </w:p>
        </w:tc>
        <w:tc>
          <w:tcPr>
            <w:tcW w:w="64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(67)</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66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358</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66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1,327</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66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267</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66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63"/>
        </w:trPr>
        <w:tc>
          <w:tcPr>
            <w:tcW w:w="3520" w:type="dxa"/>
            <w:vAlign w:val="bottom"/>
          </w:tcPr>
          <w:p>
            <w:pPr>
              <w:ind w:left="20"/>
              <w:spacing w:after="0"/>
              <w:rPr>
                <w:sz w:val="20"/>
                <w:szCs w:val="20"/>
                <w:color w:val="auto"/>
              </w:rPr>
            </w:pPr>
            <w:r>
              <w:rPr>
                <w:rFonts w:ascii="Arial" w:cs="Arial" w:eastAsia="Arial" w:hAnsi="Arial"/>
                <w:sz w:val="18"/>
                <w:szCs w:val="18"/>
                <w:color w:val="auto"/>
              </w:rPr>
              <w:t>EBIT (loss)-adjusted</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(536)</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w w:val="97"/>
              </w:rPr>
              <w:t>3,012</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1,250</w:t>
            </w:r>
          </w:p>
        </w:tc>
        <w:tc>
          <w:tcPr>
            <w:tcW w:w="120" w:type="dxa"/>
            <w:vAlign w:val="bottom"/>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2,310</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2,828</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2,966</w:t>
            </w: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3,153</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_________</w:t>
      </w:r>
    </w:p>
    <w:p>
      <w:pPr>
        <w:spacing w:after="0" w:line="19" w:lineRule="exact"/>
        <w:rPr>
          <w:sz w:val="20"/>
          <w:szCs w:val="20"/>
          <w:color w:val="auto"/>
        </w:rPr>
      </w:pPr>
    </w:p>
    <w:p>
      <w:pPr>
        <w:jc w:val="both"/>
        <w:ind w:left="340" w:hanging="332"/>
        <w:spacing w:after="0" w:line="246" w:lineRule="auto"/>
        <w:tabs>
          <w:tab w:leader="none" w:pos="331"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These adjustments were excluded because of a strategic decision to rationalize our core operations by exiting or significantly reducing our presence in various international markets to focus resources on opportunities expected to deliver higher returns. These adjustments primarily consist of inventory provisions in the three months ended June 30, 2020 and asset impairments, dealer restructurings, employee separation charges and sales allowances in the three months ended March 31, 2020 in Australia, New Zealand and Thailand.</w:t>
      </w:r>
    </w:p>
    <w:p>
      <w:pPr>
        <w:spacing w:after="0" w:line="1" w:lineRule="exact"/>
        <w:rPr>
          <w:rFonts w:ascii="Arial" w:cs="Arial" w:eastAsia="Arial" w:hAnsi="Arial"/>
          <w:sz w:val="16"/>
          <w:szCs w:val="16"/>
          <w:color w:val="auto"/>
        </w:rPr>
      </w:pPr>
    </w:p>
    <w:p>
      <w:pPr>
        <w:jc w:val="both"/>
        <w:ind w:left="340" w:hanging="332"/>
        <w:spacing w:after="0" w:line="262" w:lineRule="auto"/>
        <w:tabs>
          <w:tab w:leader="none" w:pos="340"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These adjustments were excluded because of a strategic decision to accelerate our transformation for the future to strengthen our core business, capitalize on the future of personal mobility and drive significant cost efficiencies. The adjustments primarily consist of supplier-related charges and accelerated depreciation in the three months ended June 30, 2019, accelerated depreciation in the three months ended March 31, 2019, accelerated depreciation and employee separation charges in the three months ended December 31, 2019, employee separation charges and accelerated depreciation in the three months ended December 31, 2018 and supplier-related charges and pension curtailment and other charges in the three months ended September 30, 2019.</w:t>
      </w:r>
    </w:p>
    <w:p>
      <w:pPr>
        <w:spacing w:after="0" w:line="3" w:lineRule="exact"/>
        <w:rPr>
          <w:rFonts w:ascii="Arial" w:cs="Arial" w:eastAsia="Arial" w:hAnsi="Arial"/>
          <w:sz w:val="15"/>
          <w:szCs w:val="15"/>
          <w:color w:val="auto"/>
        </w:rPr>
      </w:pPr>
    </w:p>
    <w:p>
      <w:pPr>
        <w:ind w:left="340" w:hanging="332"/>
        <w:spacing w:after="0" w:line="246" w:lineRule="auto"/>
        <w:tabs>
          <w:tab w:leader="none" w:pos="331"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These adjustments were excluded because of the unique events associated with decisions rendered by the Superior Judicial Court of Brazil resulting in retrospective recoveries of indirect taxes.</w:t>
      </w:r>
    </w:p>
    <w:p>
      <w:pPr>
        <w:ind w:left="340" w:hanging="332"/>
        <w:spacing w:after="0" w:line="246"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This adjustment was excluded because we divested our joint venture FAW-GM Light Duty Commercial Vehicle Co., Ltd. (FAW-GM), as a result of a strategic decision by both shareholders, allowing us to focus our resources on opportunities expected to deliver higher returns.</w:t>
      </w:r>
    </w:p>
    <w:p>
      <w:pPr>
        <w:ind w:left="340" w:hanging="332"/>
        <w:spacing w:after="0" w:line="257" w:lineRule="auto"/>
        <w:tabs>
          <w:tab w:leader="none" w:pos="331"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This adjustment was excluded because of the unique events associated with the ignition switch recall, which included various investigations, inquiries and complaints from constituents.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8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reconciles diluted earnings (loss) per common share under U.S. GAAP to EPS-diluted-adjusted: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r>
      <w:tr>
        <w:trPr>
          <w:trHeight w:val="196"/>
        </w:trPr>
        <w:tc>
          <w:tcPr>
            <w:tcW w:w="35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4"/>
          </w:tcPr>
          <w:p>
            <w:pPr>
              <w:jc w:val="right"/>
              <w:ind w:right="418"/>
              <w:spacing w:after="0"/>
              <w:rPr>
                <w:sz w:val="20"/>
                <w:szCs w:val="20"/>
                <w:color w:val="auto"/>
              </w:rPr>
            </w:pPr>
            <w:r>
              <w:rPr>
                <w:rFonts w:ascii="Arial" w:cs="Arial" w:eastAsia="Arial" w:hAnsi="Arial"/>
                <w:sz w:val="14"/>
                <w:szCs w:val="14"/>
                <w:b w:val="1"/>
                <w:bCs w:val="1"/>
                <w:color w:val="auto"/>
              </w:rPr>
              <w:t>June 30, 2020</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4"/>
          </w:tcPr>
          <w:p>
            <w:pPr>
              <w:jc w:val="right"/>
              <w:ind w:right="415"/>
              <w:spacing w:after="0"/>
              <w:rPr>
                <w:sz w:val="20"/>
                <w:szCs w:val="20"/>
                <w:color w:val="auto"/>
              </w:rPr>
            </w:pPr>
            <w:r>
              <w:rPr>
                <w:rFonts w:ascii="Arial" w:cs="Arial" w:eastAsia="Arial" w:hAnsi="Arial"/>
                <w:sz w:val="14"/>
                <w:szCs w:val="14"/>
                <w:b w:val="1"/>
                <w:bCs w:val="1"/>
                <w:color w:val="auto"/>
              </w:rPr>
              <w:t>June 30, 2019</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rPr>
              <w:t>June 30, 2020</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4"/>
          </w:tcPr>
          <w:p>
            <w:pPr>
              <w:jc w:val="right"/>
              <w:ind w:right="415"/>
              <w:spacing w:after="0"/>
              <w:rPr>
                <w:sz w:val="20"/>
                <w:szCs w:val="20"/>
                <w:color w:val="auto"/>
              </w:rPr>
            </w:pPr>
            <w:r>
              <w:rPr>
                <w:rFonts w:ascii="Arial" w:cs="Arial" w:eastAsia="Arial" w:hAnsi="Arial"/>
                <w:sz w:val="14"/>
                <w:szCs w:val="14"/>
                <w:b w:val="1"/>
                <w:bCs w:val="1"/>
                <w:color w:val="auto"/>
              </w:rPr>
              <w:t>June 30, 2019</w:t>
            </w:r>
          </w:p>
        </w:tc>
      </w:tr>
      <w:tr>
        <w:trPr>
          <w:trHeight w:val="196"/>
        </w:trPr>
        <w:tc>
          <w:tcPr>
            <w:tcW w:w="3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7"/>
                <w:szCs w:val="17"/>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Per Share</w:t>
            </w:r>
          </w:p>
        </w:tc>
        <w:tc>
          <w:tcPr>
            <w:tcW w:w="140" w:type="dxa"/>
            <w:vAlign w:val="bottom"/>
          </w:tcPr>
          <w:p>
            <w:pPr>
              <w:spacing w:after="0"/>
              <w:rPr>
                <w:sz w:val="17"/>
                <w:szCs w:val="17"/>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7"/>
                <w:szCs w:val="17"/>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Per Share</w:t>
            </w:r>
          </w:p>
        </w:tc>
        <w:tc>
          <w:tcPr>
            <w:tcW w:w="140" w:type="dxa"/>
            <w:vAlign w:val="bottom"/>
          </w:tcPr>
          <w:p>
            <w:pPr>
              <w:spacing w:after="0"/>
              <w:rPr>
                <w:sz w:val="17"/>
                <w:szCs w:val="17"/>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7"/>
                <w:szCs w:val="17"/>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Per Share</w:t>
            </w:r>
          </w:p>
        </w:tc>
        <w:tc>
          <w:tcPr>
            <w:tcW w:w="140" w:type="dxa"/>
            <w:vAlign w:val="bottom"/>
          </w:tcPr>
          <w:p>
            <w:pPr>
              <w:spacing w:after="0"/>
              <w:rPr>
                <w:sz w:val="17"/>
                <w:szCs w:val="17"/>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7"/>
                <w:szCs w:val="17"/>
                <w:color w:val="auto"/>
              </w:rPr>
            </w:pPr>
          </w:p>
        </w:tc>
        <w:tc>
          <w:tcPr>
            <w:tcW w:w="740" w:type="dxa"/>
            <w:vAlign w:val="bottom"/>
          </w:tcPr>
          <w:p>
            <w:pPr>
              <w:jc w:val="right"/>
              <w:ind w:right="35"/>
              <w:spacing w:after="0"/>
              <w:rPr>
                <w:sz w:val="20"/>
                <w:szCs w:val="20"/>
                <w:color w:val="auto"/>
              </w:rPr>
            </w:pPr>
            <w:r>
              <w:rPr>
                <w:rFonts w:ascii="Arial" w:cs="Arial" w:eastAsia="Arial" w:hAnsi="Arial"/>
                <w:sz w:val="14"/>
                <w:szCs w:val="14"/>
                <w:b w:val="1"/>
                <w:bCs w:val="1"/>
                <w:color w:val="auto"/>
                <w:w w:val="91"/>
              </w:rPr>
              <w:t>Per Share</w:t>
            </w:r>
          </w:p>
        </w:tc>
      </w:tr>
      <w:tr>
        <w:trPr>
          <w:trHeight w:val="269"/>
        </w:trPr>
        <w:tc>
          <w:tcPr>
            <w:tcW w:w="3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earnings (loss) per common share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(806)</w:t>
            </w: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(0.56)</w:t>
            </w: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2,381</w:t>
            </w: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1.66</w:t>
            </w: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(559)</w:t>
            </w: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center"/>
              <w:ind w:left="15"/>
              <w:spacing w:after="0"/>
              <w:rPr>
                <w:sz w:val="20"/>
                <w:szCs w:val="20"/>
                <w:color w:val="auto"/>
              </w:rPr>
            </w:pPr>
            <w:r>
              <w:rPr>
                <w:rFonts w:ascii="Arial" w:cs="Arial" w:eastAsia="Arial" w:hAnsi="Arial"/>
                <w:sz w:val="18"/>
                <w:szCs w:val="18"/>
                <w:color w:val="auto"/>
                <w:w w:val="89"/>
              </w:rPr>
              <w:t>(0.39)</w:t>
            </w: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4,500</w:t>
            </w: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3.13</w:t>
            </w:r>
          </w:p>
        </w:tc>
      </w:tr>
      <w:tr>
        <w:trPr>
          <w:trHeight w:val="243"/>
        </w:trPr>
        <w:tc>
          <w:tcPr>
            <w:tcW w:w="3580" w:type="dxa"/>
            <w:vAlign w:val="bottom"/>
          </w:tcPr>
          <w:p>
            <w:pPr>
              <w:ind w:left="20"/>
              <w:spacing w:after="0"/>
              <w:rPr>
                <w:sz w:val="20"/>
                <w:szCs w:val="20"/>
                <w:color w:val="auto"/>
              </w:rPr>
            </w:pPr>
            <w:r>
              <w:rPr>
                <w:rFonts w:ascii="Arial" w:cs="Arial" w:eastAsia="Arial" w:hAnsi="Arial"/>
                <w:sz w:val="18"/>
                <w:szCs w:val="18"/>
                <w:color w:val="auto"/>
              </w:rPr>
              <w:t>Adjustments(a)</w:t>
            </w:r>
          </w:p>
        </w:tc>
        <w:tc>
          <w:tcPr>
            <w:tcW w:w="140" w:type="dxa"/>
            <w:vAlign w:val="bottom"/>
          </w:tcPr>
          <w:p>
            <w:pPr>
              <w:spacing w:after="0"/>
              <w:rPr>
                <w:sz w:val="21"/>
                <w:szCs w:val="21"/>
                <w:color w:val="auto"/>
              </w:rPr>
            </w:pPr>
          </w:p>
        </w:tc>
        <w:tc>
          <w:tcPr>
            <w:tcW w:w="720" w:type="dxa"/>
            <w:vAlign w:val="bottom"/>
          </w:tcPr>
          <w:p>
            <w:pPr>
              <w:jc w:val="right"/>
              <w:ind w:right="76"/>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ind w:right="58"/>
              <w:spacing w:after="0"/>
              <w:rPr>
                <w:sz w:val="20"/>
                <w:szCs w:val="20"/>
                <w:color w:val="auto"/>
              </w:rPr>
            </w:pPr>
            <w:r>
              <w:rPr>
                <w:rFonts w:ascii="Arial" w:cs="Arial" w:eastAsia="Arial" w:hAnsi="Arial"/>
                <w:sz w:val="18"/>
                <w:szCs w:val="18"/>
                <w:color w:val="auto"/>
              </w:rPr>
              <w:t>0.06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ind w:right="16"/>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ind w:right="35"/>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ind w:right="55"/>
              <w:spacing w:after="0"/>
              <w:rPr>
                <w:sz w:val="20"/>
                <w:szCs w:val="20"/>
                <w:color w:val="auto"/>
              </w:rPr>
            </w:pPr>
            <w:r>
              <w:rPr>
                <w:rFonts w:ascii="Arial" w:cs="Arial" w:eastAsia="Arial" w:hAnsi="Arial"/>
                <w:sz w:val="18"/>
                <w:szCs w:val="18"/>
                <w:color w:val="auto"/>
              </w:rPr>
              <w:t>581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jc w:val="center"/>
              <w:ind w:left="35"/>
              <w:spacing w:after="0"/>
              <w:rPr>
                <w:sz w:val="20"/>
                <w:szCs w:val="20"/>
                <w:color w:val="auto"/>
              </w:rPr>
            </w:pPr>
            <w:r>
              <w:rPr>
                <w:rFonts w:ascii="Arial" w:cs="Arial" w:eastAsia="Arial" w:hAnsi="Arial"/>
                <w:sz w:val="18"/>
                <w:szCs w:val="18"/>
                <w:color w:val="auto"/>
                <w:w w:val="91"/>
              </w:rPr>
              <w:t>0.41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ind w:right="16"/>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ind w:right="15"/>
              <w:spacing w:after="0"/>
              <w:rPr>
                <w:sz w:val="20"/>
                <w:szCs w:val="20"/>
                <w:color w:val="auto"/>
              </w:rPr>
            </w:pPr>
            <w:r>
              <w:rPr>
                <w:rFonts w:ascii="Arial" w:cs="Arial" w:eastAsia="Arial" w:hAnsi="Arial"/>
                <w:sz w:val="18"/>
                <w:szCs w:val="18"/>
                <w:color w:val="auto"/>
              </w:rPr>
              <w:t>(0.06)</w:t>
            </w:r>
          </w:p>
        </w:tc>
      </w:tr>
      <w:tr>
        <w:trPr>
          <w:trHeight w:val="27"/>
        </w:trPr>
        <w:tc>
          <w:tcPr>
            <w:tcW w:w="3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effect on adjustment(b)</w:t>
            </w: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center"/>
              <w:ind w:left="15"/>
              <w:spacing w:after="0"/>
              <w:rPr>
                <w:sz w:val="20"/>
                <w:szCs w:val="20"/>
                <w:color w:val="auto"/>
              </w:rPr>
            </w:pPr>
            <w:r>
              <w:rPr>
                <w:rFonts w:ascii="Arial" w:cs="Arial" w:eastAsia="Arial" w:hAnsi="Arial"/>
                <w:sz w:val="18"/>
                <w:szCs w:val="18"/>
                <w:color w:val="auto"/>
                <w:w w:val="89"/>
              </w:rPr>
              <w:t>(0.05)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(0.03)</w:t>
            </w:r>
          </w:p>
        </w:tc>
      </w:tr>
      <w:tr>
        <w:trPr>
          <w:trHeight w:val="243"/>
        </w:trPr>
        <w:tc>
          <w:tcPr>
            <w:tcW w:w="3580" w:type="dxa"/>
            <w:vAlign w:val="bottom"/>
          </w:tcPr>
          <w:p>
            <w:pPr>
              <w:ind w:left="20"/>
              <w:spacing w:after="0"/>
              <w:rPr>
                <w:sz w:val="20"/>
                <w:szCs w:val="20"/>
                <w:color w:val="auto"/>
              </w:rPr>
            </w:pPr>
            <w:r>
              <w:rPr>
                <w:rFonts w:ascii="Arial" w:cs="Arial" w:eastAsia="Arial" w:hAnsi="Arial"/>
                <w:sz w:val="18"/>
                <w:szCs w:val="18"/>
                <w:color w:val="auto"/>
              </w:rPr>
              <w:t>Tax adjustment(c)</w:t>
            </w:r>
          </w:p>
        </w:tc>
        <w:tc>
          <w:tcPr>
            <w:tcW w:w="140" w:type="dxa"/>
            <w:vAlign w:val="bottom"/>
          </w:tcPr>
          <w:p>
            <w:pPr>
              <w:spacing w:after="0"/>
              <w:rPr>
                <w:sz w:val="21"/>
                <w:szCs w:val="21"/>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720" w:type="dxa"/>
            <w:vAlign w:val="bottom"/>
          </w:tcPr>
          <w:p>
            <w:pPr>
              <w:jc w:val="right"/>
              <w:ind w:right="55"/>
              <w:spacing w:after="0"/>
              <w:rPr>
                <w:sz w:val="20"/>
                <w:szCs w:val="20"/>
                <w:color w:val="auto"/>
              </w:rPr>
            </w:pPr>
            <w:r>
              <w:rPr>
                <w:rFonts w:ascii="Arial" w:cs="Arial" w:eastAsia="Arial" w:hAnsi="Arial"/>
                <w:sz w:val="18"/>
                <w:szCs w:val="18"/>
                <w:color w:val="auto"/>
              </w:rPr>
              <w:t>236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jc w:val="center"/>
              <w:ind w:left="35"/>
              <w:spacing w:after="0"/>
              <w:rPr>
                <w:sz w:val="20"/>
                <w:szCs w:val="20"/>
                <w:color w:val="auto"/>
              </w:rPr>
            </w:pPr>
            <w:r>
              <w:rPr>
                <w:rFonts w:ascii="Arial" w:cs="Arial" w:eastAsia="Arial" w:hAnsi="Arial"/>
                <w:sz w:val="18"/>
                <w:szCs w:val="18"/>
                <w:color w:val="auto"/>
                <w:w w:val="91"/>
              </w:rPr>
              <w:t>0.16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740" w:type="dxa"/>
            <w:vAlign w:val="bottom"/>
          </w:tcPr>
          <w:p>
            <w:pPr>
              <w:jc w:val="right"/>
              <w:ind w:right="55"/>
              <w:spacing w:after="0"/>
              <w:rPr>
                <w:sz w:val="20"/>
                <w:szCs w:val="20"/>
                <w:color w:val="auto"/>
              </w:rPr>
            </w:pPr>
            <w:r>
              <w:rPr>
                <w:rFonts w:ascii="Arial" w:cs="Arial" w:eastAsia="Arial" w:hAnsi="Arial"/>
                <w:sz w:val="16"/>
                <w:szCs w:val="16"/>
                <w:color w:val="auto"/>
              </w:rPr>
              <w:t>—</w:t>
            </w:r>
          </w:p>
        </w:tc>
      </w:tr>
      <w:tr>
        <w:trPr>
          <w:trHeight w:val="27"/>
        </w:trPr>
        <w:tc>
          <w:tcPr>
            <w:tcW w:w="3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88"/>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EPS-diluted-adjusted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(709)</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(0.50)</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2,353</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190</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center"/>
              <w:ind w:left="35"/>
              <w:spacing w:after="0"/>
              <w:rPr>
                <w:sz w:val="20"/>
                <w:szCs w:val="20"/>
                <w:color w:val="auto"/>
              </w:rPr>
            </w:pPr>
            <w:r>
              <w:rPr>
                <w:rFonts w:ascii="Arial" w:cs="Arial" w:eastAsia="Arial" w:hAnsi="Arial"/>
                <w:sz w:val="18"/>
                <w:szCs w:val="18"/>
                <w:color w:val="auto"/>
                <w:w w:val="91"/>
              </w:rPr>
              <w:t>0.13</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4,373</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3.04</w:t>
            </w: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________</w:t>
      </w:r>
    </w:p>
    <w:p>
      <w:pPr>
        <w:spacing w:after="0" w:line="19" w:lineRule="exact"/>
        <w:rPr>
          <w:sz w:val="20"/>
          <w:szCs w:val="20"/>
          <w:color w:val="auto"/>
        </w:rPr>
      </w:pPr>
    </w:p>
    <w:p>
      <w:pPr>
        <w:ind w:left="340" w:right="20" w:hanging="332"/>
        <w:spacing w:after="0" w:line="246" w:lineRule="auto"/>
        <w:tabs>
          <w:tab w:leader="none" w:pos="331"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Refer to the reconciliation of Net income (loss) attributable to stockholders under U.S. GAAP to EBIT (loss)-adjusted within this section of MD&amp;A for the details of each individual adjustment.</w:t>
      </w:r>
    </w:p>
    <w:p>
      <w:pPr>
        <w:ind w:left="340" w:hanging="332"/>
        <w:spacing w:after="0"/>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tax effect of each adjustment is determined based on the tax laws and valuation allowance status of the jurisdiction to which the adjustment relates.</w:t>
      </w:r>
    </w:p>
    <w:p>
      <w:pPr>
        <w:spacing w:after="0" w:line="5" w:lineRule="exact"/>
        <w:rPr>
          <w:rFonts w:ascii="Arial" w:cs="Arial" w:eastAsia="Arial" w:hAnsi="Arial"/>
          <w:sz w:val="16"/>
          <w:szCs w:val="16"/>
          <w:color w:val="auto"/>
        </w:rPr>
      </w:pPr>
    </w:p>
    <w:p>
      <w:pPr>
        <w:ind w:left="340" w:hanging="332"/>
        <w:spacing w:after="0" w:line="257" w:lineRule="auto"/>
        <w:tabs>
          <w:tab w:leader="none" w:pos="331"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This adjustment consists of tax expense related to the establishment of a valuation allowance against deferred tax assets in Australia and New Zealand. This adjustment was excluded because significant impacts of valuation allowances are not considered part of our core operations.</w:t>
      </w:r>
    </w:p>
    <w:p>
      <w:pPr>
        <w:spacing w:after="0" w:line="20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reconciles our effective tax rate under U.S. GAAP to ETR-adjusted: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145"/>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r>
      <w:tr>
        <w:trPr>
          <w:trHeight w:val="196"/>
        </w:trPr>
        <w:tc>
          <w:tcPr>
            <w:tcW w:w="15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0"/>
              </w:rPr>
              <w:t>June 30, 2020</w:t>
            </w:r>
          </w:p>
        </w:tc>
        <w:tc>
          <w:tcPr>
            <w:tcW w:w="7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0"/>
              </w:rPr>
              <w:t>June 30, 2019</w:t>
            </w:r>
          </w:p>
        </w:tc>
        <w:tc>
          <w:tcPr>
            <w:tcW w:w="7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w w:val="92"/>
              </w:rPr>
              <w:t>June 30, 2020</w:t>
            </w:r>
          </w:p>
        </w:tc>
        <w:tc>
          <w:tcPr>
            <w:tcW w:w="7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0"/>
              </w:rPr>
              <w:t>June 30, 2019</w:t>
            </w:r>
          </w:p>
        </w:tc>
        <w:tc>
          <w:tcPr>
            <w:tcW w:w="740" w:type="dxa"/>
            <w:vAlign w:val="bottom"/>
            <w:tcBorders>
              <w:bottom w:val="single" w:sz="8" w:color="auto"/>
            </w:tcBorders>
          </w:tcPr>
          <w:p>
            <w:pPr>
              <w:spacing w:after="0"/>
              <w:rPr>
                <w:sz w:val="17"/>
                <w:szCs w:val="17"/>
                <w:color w:val="auto"/>
              </w:rPr>
            </w:pPr>
          </w:p>
        </w:tc>
      </w:tr>
      <w:tr>
        <w:trPr>
          <w:trHeight w:val="143"/>
        </w:trPr>
        <w:tc>
          <w:tcPr>
            <w:tcW w:w="1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center"/>
              <w:ind w:right="44"/>
              <w:spacing w:after="0" w:line="144" w:lineRule="exact"/>
              <w:rPr>
                <w:sz w:val="20"/>
                <w:szCs w:val="20"/>
                <w:color w:val="auto"/>
              </w:rPr>
            </w:pPr>
            <w:r>
              <w:rPr>
                <w:rFonts w:ascii="Arial" w:cs="Arial" w:eastAsia="Arial" w:hAnsi="Arial"/>
                <w:sz w:val="13"/>
                <w:szCs w:val="13"/>
                <w:b w:val="1"/>
                <w:bCs w:val="1"/>
                <w:color w:val="auto"/>
                <w:w w:val="87"/>
              </w:rPr>
              <w:t>Income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7"/>
              </w:rPr>
              <w:t>Income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center"/>
              <w:ind w:right="44"/>
              <w:spacing w:after="0" w:line="144" w:lineRule="exact"/>
              <w:rPr>
                <w:sz w:val="20"/>
                <w:szCs w:val="20"/>
                <w:color w:val="auto"/>
              </w:rPr>
            </w:pPr>
            <w:r>
              <w:rPr>
                <w:rFonts w:ascii="Arial" w:cs="Arial" w:eastAsia="Arial" w:hAnsi="Arial"/>
                <w:sz w:val="13"/>
                <w:szCs w:val="13"/>
                <w:b w:val="1"/>
                <w:bCs w:val="1"/>
                <w:color w:val="auto"/>
                <w:w w:val="87"/>
              </w:rPr>
              <w:t>Income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7"/>
              </w:rPr>
              <w:t>Income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35"/>
        </w:trPr>
        <w:tc>
          <w:tcPr>
            <w:tcW w:w="1540" w:type="dxa"/>
            <w:vAlign w:val="bottom"/>
          </w:tcPr>
          <w:p>
            <w:pPr>
              <w:spacing w:after="0"/>
              <w:rPr>
                <w:sz w:val="11"/>
                <w:szCs w:val="11"/>
                <w:color w:val="auto"/>
              </w:rPr>
            </w:pPr>
          </w:p>
        </w:tc>
        <w:tc>
          <w:tcPr>
            <w:tcW w:w="70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4"/>
              </w:rPr>
              <w:t>(loss) before</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before</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1"/>
              </w:rPr>
              <w:t>(loss) before</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before</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5"/>
        </w:trPr>
        <w:tc>
          <w:tcPr>
            <w:tcW w:w="1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center"/>
              <w:ind w:right="64"/>
              <w:spacing w:after="0" w:line="135" w:lineRule="exact"/>
              <w:rPr>
                <w:sz w:val="20"/>
                <w:szCs w:val="20"/>
                <w:color w:val="auto"/>
              </w:rPr>
            </w:pPr>
            <w:r>
              <w:rPr>
                <w:rFonts w:ascii="Arial" w:cs="Arial" w:eastAsia="Arial" w:hAnsi="Arial"/>
                <w:sz w:val="13"/>
                <w:szCs w:val="13"/>
                <w:b w:val="1"/>
                <w:bCs w:val="1"/>
                <w:color w:val="auto"/>
                <w:w w:val="83"/>
              </w:rPr>
              <w:t>income</w:t>
            </w:r>
          </w:p>
        </w:tc>
        <w:tc>
          <w:tcPr>
            <w:tcW w:w="100" w:type="dxa"/>
            <w:vAlign w:val="bottom"/>
          </w:tcPr>
          <w:p>
            <w:pPr>
              <w:spacing w:after="0"/>
              <w:rPr>
                <w:sz w:val="11"/>
                <w:szCs w:val="11"/>
                <w:color w:val="auto"/>
              </w:rPr>
            </w:pPr>
          </w:p>
        </w:tc>
        <w:tc>
          <w:tcPr>
            <w:tcW w:w="80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88"/>
              </w:rPr>
              <w:t>Income tax</w:t>
            </w:r>
          </w:p>
        </w:tc>
        <w:tc>
          <w:tcPr>
            <w:tcW w:w="84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Effective tax</w:t>
            </w:r>
          </w:p>
        </w:tc>
        <w:tc>
          <w:tcPr>
            <w:tcW w:w="7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income</w:t>
            </w:r>
          </w:p>
        </w:tc>
        <w:tc>
          <w:tcPr>
            <w:tcW w:w="100" w:type="dxa"/>
            <w:vAlign w:val="bottom"/>
          </w:tcPr>
          <w:p>
            <w:pPr>
              <w:spacing w:after="0"/>
              <w:rPr>
                <w:sz w:val="11"/>
                <w:szCs w:val="11"/>
                <w:color w:val="auto"/>
              </w:rPr>
            </w:pPr>
          </w:p>
        </w:tc>
        <w:tc>
          <w:tcPr>
            <w:tcW w:w="80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88"/>
              </w:rPr>
              <w:t>Income tax</w:t>
            </w:r>
          </w:p>
        </w:tc>
        <w:tc>
          <w:tcPr>
            <w:tcW w:w="84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Effective tax</w:t>
            </w:r>
          </w:p>
        </w:tc>
        <w:tc>
          <w:tcPr>
            <w:tcW w:w="120" w:type="dxa"/>
            <w:vAlign w:val="bottom"/>
          </w:tcPr>
          <w:p>
            <w:pPr>
              <w:spacing w:after="0"/>
              <w:rPr>
                <w:sz w:val="11"/>
                <w:szCs w:val="11"/>
                <w:color w:val="auto"/>
              </w:rPr>
            </w:pPr>
          </w:p>
        </w:tc>
        <w:tc>
          <w:tcPr>
            <w:tcW w:w="560" w:type="dxa"/>
            <w:vAlign w:val="bottom"/>
          </w:tcPr>
          <w:p>
            <w:pPr>
              <w:jc w:val="center"/>
              <w:ind w:right="44"/>
              <w:spacing w:after="0" w:line="135" w:lineRule="exact"/>
              <w:rPr>
                <w:sz w:val="20"/>
                <w:szCs w:val="20"/>
                <w:color w:val="auto"/>
              </w:rPr>
            </w:pPr>
            <w:r>
              <w:rPr>
                <w:rFonts w:ascii="Arial" w:cs="Arial" w:eastAsia="Arial" w:hAnsi="Arial"/>
                <w:sz w:val="13"/>
                <w:szCs w:val="13"/>
                <w:b w:val="1"/>
                <w:bCs w:val="1"/>
                <w:color w:val="auto"/>
                <w:w w:val="87"/>
              </w:rPr>
              <w:t>income</w:t>
            </w:r>
          </w:p>
        </w:tc>
        <w:tc>
          <w:tcPr>
            <w:tcW w:w="120" w:type="dxa"/>
            <w:vAlign w:val="bottom"/>
          </w:tcPr>
          <w:p>
            <w:pPr>
              <w:spacing w:after="0"/>
              <w:rPr>
                <w:sz w:val="11"/>
                <w:szCs w:val="11"/>
                <w:color w:val="auto"/>
              </w:rPr>
            </w:pPr>
          </w:p>
        </w:tc>
        <w:tc>
          <w:tcPr>
            <w:tcW w:w="820" w:type="dxa"/>
            <w:vAlign w:val="bottom"/>
            <w:gridSpan w:val="4"/>
          </w:tcPr>
          <w:p>
            <w:pPr>
              <w:ind w:left="20"/>
              <w:spacing w:after="0" w:line="135" w:lineRule="exact"/>
              <w:rPr>
                <w:sz w:val="20"/>
                <w:szCs w:val="20"/>
                <w:color w:val="auto"/>
              </w:rPr>
            </w:pPr>
            <w:r>
              <w:rPr>
                <w:rFonts w:ascii="Arial" w:cs="Arial" w:eastAsia="Arial" w:hAnsi="Arial"/>
                <w:sz w:val="13"/>
                <w:szCs w:val="13"/>
                <w:b w:val="1"/>
                <w:bCs w:val="1"/>
                <w:color w:val="auto"/>
              </w:rPr>
              <w:t>Income tax</w:t>
            </w:r>
          </w:p>
        </w:tc>
        <w:tc>
          <w:tcPr>
            <w:tcW w:w="86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Effective tax</w:t>
            </w:r>
          </w:p>
        </w:tc>
        <w:tc>
          <w:tcPr>
            <w:tcW w:w="7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income</w:t>
            </w:r>
          </w:p>
        </w:tc>
        <w:tc>
          <w:tcPr>
            <w:tcW w:w="100" w:type="dxa"/>
            <w:vAlign w:val="bottom"/>
          </w:tcPr>
          <w:p>
            <w:pPr>
              <w:spacing w:after="0"/>
              <w:rPr>
                <w:sz w:val="11"/>
                <w:szCs w:val="11"/>
                <w:color w:val="auto"/>
              </w:rPr>
            </w:pPr>
          </w:p>
        </w:tc>
        <w:tc>
          <w:tcPr>
            <w:tcW w:w="780" w:type="dxa"/>
            <w:vAlign w:val="bottom"/>
            <w:gridSpan w:val="3"/>
          </w:tcPr>
          <w:p>
            <w:pPr>
              <w:ind w:left="40"/>
              <w:spacing w:after="0" w:line="135" w:lineRule="exact"/>
              <w:rPr>
                <w:sz w:val="20"/>
                <w:szCs w:val="20"/>
                <w:color w:val="auto"/>
              </w:rPr>
            </w:pPr>
            <w:r>
              <w:rPr>
                <w:rFonts w:ascii="Arial" w:cs="Arial" w:eastAsia="Arial" w:hAnsi="Arial"/>
                <w:sz w:val="13"/>
                <w:szCs w:val="13"/>
                <w:b w:val="1"/>
                <w:bCs w:val="1"/>
                <w:color w:val="auto"/>
              </w:rPr>
              <w:t>Income tax</w:t>
            </w:r>
          </w:p>
        </w:tc>
        <w:tc>
          <w:tcPr>
            <w:tcW w:w="74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88"/>
              </w:rPr>
              <w:t>Effective tax</w:t>
            </w:r>
          </w:p>
        </w:tc>
      </w:tr>
      <w:tr>
        <w:trPr>
          <w:trHeight w:val="174"/>
        </w:trPr>
        <w:tc>
          <w:tcPr>
            <w:tcW w:w="15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center"/>
              <w:ind w:right="64"/>
              <w:spacing w:after="0"/>
              <w:rPr>
                <w:sz w:val="20"/>
                <w:szCs w:val="20"/>
                <w:color w:val="auto"/>
              </w:rPr>
            </w:pPr>
            <w:r>
              <w:rPr>
                <w:rFonts w:ascii="Arial" w:cs="Arial" w:eastAsia="Arial" w:hAnsi="Arial"/>
                <w:sz w:val="13"/>
                <w:szCs w:val="13"/>
                <w:b w:val="1"/>
                <w:bCs w:val="1"/>
                <w:color w:val="auto"/>
                <w:w w:val="78"/>
              </w:rPr>
              <w:t>taxes</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89"/>
              </w:rPr>
              <w:t>benefit</w:t>
            </w:r>
          </w:p>
        </w:tc>
        <w:tc>
          <w:tcPr>
            <w:tcW w:w="10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right"/>
              <w:ind w:right="164"/>
              <w:spacing w:after="0"/>
              <w:rPr>
                <w:sz w:val="20"/>
                <w:szCs w:val="20"/>
                <w:color w:val="auto"/>
              </w:rPr>
            </w:pPr>
            <w:r>
              <w:rPr>
                <w:rFonts w:ascii="Arial" w:cs="Arial" w:eastAsia="Arial" w:hAnsi="Arial"/>
                <w:sz w:val="13"/>
                <w:szCs w:val="13"/>
                <w:b w:val="1"/>
                <w:bCs w:val="1"/>
                <w:color w:val="auto"/>
              </w:rPr>
              <w:t>rate</w:t>
            </w:r>
          </w:p>
        </w:tc>
        <w:tc>
          <w:tcPr>
            <w:tcW w:w="12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taxes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80"/>
              </w:rPr>
              <w:t>expense</w:t>
            </w:r>
          </w:p>
        </w:tc>
        <w:tc>
          <w:tcPr>
            <w:tcW w:w="12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right"/>
              <w:ind w:right="184"/>
              <w:spacing w:after="0"/>
              <w:rPr>
                <w:sz w:val="20"/>
                <w:szCs w:val="20"/>
                <w:color w:val="auto"/>
              </w:rPr>
            </w:pPr>
            <w:r>
              <w:rPr>
                <w:rFonts w:ascii="Arial" w:cs="Arial" w:eastAsia="Arial" w:hAnsi="Arial"/>
                <w:sz w:val="13"/>
                <w:szCs w:val="13"/>
                <w:b w:val="1"/>
                <w:bCs w:val="1"/>
                <w:color w:val="auto"/>
              </w:rPr>
              <w:t>rate</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center"/>
              <w:ind w:right="44"/>
              <w:spacing w:after="0"/>
              <w:rPr>
                <w:sz w:val="20"/>
                <w:szCs w:val="20"/>
                <w:color w:val="auto"/>
              </w:rPr>
            </w:pPr>
            <w:r>
              <w:rPr>
                <w:rFonts w:ascii="Arial" w:cs="Arial" w:eastAsia="Arial" w:hAnsi="Arial"/>
                <w:sz w:val="13"/>
                <w:szCs w:val="13"/>
                <w:b w:val="1"/>
                <w:bCs w:val="1"/>
                <w:color w:val="auto"/>
                <w:w w:val="84"/>
              </w:rPr>
              <w:t>taxes</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b w:val="1"/>
                <w:bCs w:val="1"/>
                <w:color w:val="auto"/>
                <w:w w:val="80"/>
              </w:rPr>
              <w:t>expense</w:t>
            </w:r>
          </w:p>
        </w:tc>
        <w:tc>
          <w:tcPr>
            <w:tcW w:w="10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04"/>
              <w:spacing w:after="0"/>
              <w:rPr>
                <w:sz w:val="20"/>
                <w:szCs w:val="20"/>
                <w:color w:val="auto"/>
              </w:rPr>
            </w:pPr>
            <w:r>
              <w:rPr>
                <w:rFonts w:ascii="Arial" w:cs="Arial" w:eastAsia="Arial" w:hAnsi="Arial"/>
                <w:sz w:val="13"/>
                <w:szCs w:val="13"/>
                <w:b w:val="1"/>
                <w:bCs w:val="1"/>
                <w:color w:val="auto"/>
              </w:rPr>
              <w:t>rate</w:t>
            </w:r>
          </w:p>
        </w:tc>
        <w:tc>
          <w:tcPr>
            <w:tcW w:w="12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78"/>
              </w:rPr>
              <w:t>taxes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w w:val="76"/>
              </w:rPr>
              <w:t>expense</w:t>
            </w:r>
          </w:p>
        </w:tc>
        <w:tc>
          <w:tcPr>
            <w:tcW w:w="12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right"/>
              <w:ind w:right="184"/>
              <w:spacing w:after="0"/>
              <w:rPr>
                <w:sz w:val="20"/>
                <w:szCs w:val="20"/>
                <w:color w:val="auto"/>
              </w:rPr>
            </w:pPr>
            <w:r>
              <w:rPr>
                <w:rFonts w:ascii="Arial" w:cs="Arial" w:eastAsia="Arial" w:hAnsi="Arial"/>
                <w:sz w:val="13"/>
                <w:szCs w:val="13"/>
                <w:b w:val="1"/>
                <w:bCs w:val="1"/>
                <w:color w:val="auto"/>
              </w:rPr>
              <w:t>rate</w:t>
            </w:r>
          </w:p>
        </w:tc>
      </w:tr>
      <w:tr>
        <w:trPr>
          <w:trHeight w:val="270"/>
        </w:trPr>
        <w:tc>
          <w:tcPr>
            <w:tcW w:w="1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Effective tax rate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w w:val="99"/>
              </w:rPr>
              <w:t>(892)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w w:val="99"/>
              </w:rPr>
              <w:t>(112)</w:t>
            </w: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12.6 %</w:t>
            </w:r>
          </w:p>
        </w:tc>
        <w:tc>
          <w:tcPr>
            <w:tcW w:w="1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85"/>
              <w:spacing w:after="0"/>
              <w:rPr>
                <w:sz w:val="20"/>
                <w:szCs w:val="20"/>
                <w:color w:val="auto"/>
              </w:rPr>
            </w:pPr>
            <w:r>
              <w:rPr>
                <w:rFonts w:ascii="Arial" w:cs="Arial" w:eastAsia="Arial" w:hAnsi="Arial"/>
                <w:sz w:val="18"/>
                <w:szCs w:val="18"/>
                <w:color w:val="auto"/>
                <w:w w:val="89"/>
              </w:rPr>
              <w:t>$ 2,927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524</w:t>
            </w:r>
          </w:p>
        </w:tc>
        <w:tc>
          <w:tcPr>
            <w:tcW w:w="12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17.9 %</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(249)</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n.m.</w:t>
            </w:r>
          </w:p>
        </w:tc>
        <w:tc>
          <w:tcPr>
            <w:tcW w:w="700" w:type="dxa"/>
            <w:vAlign w:val="bottom"/>
            <w:shd w:val="clear" w:color="auto" w:fill="CCEEFF"/>
          </w:tcPr>
          <w:p>
            <w:pPr>
              <w:jc w:val="right"/>
              <w:ind w:right="85"/>
              <w:spacing w:after="0"/>
              <w:rPr>
                <w:sz w:val="20"/>
                <w:szCs w:val="20"/>
                <w:color w:val="auto"/>
              </w:rPr>
            </w:pPr>
            <w:r>
              <w:rPr>
                <w:rFonts w:ascii="Arial" w:cs="Arial" w:eastAsia="Arial" w:hAnsi="Arial"/>
                <w:sz w:val="18"/>
                <w:szCs w:val="18"/>
                <w:color w:val="auto"/>
                <w:w w:val="86"/>
              </w:rPr>
              <w:t>$ 5,209</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661</w:t>
            </w:r>
          </w:p>
        </w:tc>
        <w:tc>
          <w:tcPr>
            <w:tcW w:w="12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12.7 %</w:t>
            </w:r>
          </w:p>
        </w:tc>
      </w:tr>
      <w:tr>
        <w:trPr>
          <w:trHeight w:val="270"/>
        </w:trPr>
        <w:tc>
          <w:tcPr>
            <w:tcW w:w="1540" w:type="dxa"/>
            <w:vAlign w:val="bottom"/>
          </w:tcPr>
          <w:p>
            <w:pPr>
              <w:ind w:left="20"/>
              <w:spacing w:after="0"/>
              <w:rPr>
                <w:sz w:val="20"/>
                <w:szCs w:val="20"/>
                <w:color w:val="auto"/>
              </w:rPr>
            </w:pPr>
            <w:r>
              <w:rPr>
                <w:rFonts w:ascii="Arial" w:cs="Arial" w:eastAsia="Arial" w:hAnsi="Arial"/>
                <w:sz w:val="18"/>
                <w:szCs w:val="18"/>
                <w:color w:val="auto"/>
              </w:rPr>
              <w:t>Adjustments(a)</w:t>
            </w:r>
          </w:p>
        </w:tc>
        <w:tc>
          <w:tcPr>
            <w:tcW w:w="140" w:type="dxa"/>
            <w:vAlign w:val="bottom"/>
          </w:tcPr>
          <w:p>
            <w:pPr>
              <w:spacing w:after="0"/>
              <w:rPr>
                <w:sz w:val="23"/>
                <w:szCs w:val="23"/>
                <w:color w:val="auto"/>
              </w:rPr>
            </w:pPr>
          </w:p>
        </w:tc>
        <w:tc>
          <w:tcPr>
            <w:tcW w:w="560" w:type="dxa"/>
            <w:vAlign w:val="bottom"/>
          </w:tcPr>
          <w:p>
            <w:pPr>
              <w:jc w:val="right"/>
              <w:ind w:right="84"/>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tcPr>
          <w:p>
            <w:pPr>
              <w:jc w:val="right"/>
              <w:ind w:right="37"/>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jc w:val="right"/>
              <w:ind w:right="45"/>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jc w:val="right"/>
              <w:ind w:right="57"/>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6"/>
              </w:rPr>
              <w:t>581</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jc w:val="right"/>
              <w:ind w:right="75"/>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jc w:val="right"/>
              <w:ind w:right="25"/>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jc w:val="right"/>
              <w:ind w:right="57"/>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270"/>
        </w:trPr>
        <w:tc>
          <w:tcPr>
            <w:tcW w:w="1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adjustment(b)</w:t>
            </w:r>
          </w:p>
        </w:tc>
        <w:tc>
          <w:tcPr>
            <w:tcW w:w="14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w w:val="99"/>
              </w:rPr>
              <w:t>(236)</w:t>
            </w:r>
          </w:p>
        </w:tc>
        <w:tc>
          <w:tcPr>
            <w:tcW w:w="1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r>
      <w:tr>
        <w:trPr>
          <w:trHeight w:val="264"/>
        </w:trPr>
        <w:tc>
          <w:tcPr>
            <w:tcW w:w="1540" w:type="dxa"/>
            <w:vAlign w:val="bottom"/>
          </w:tcPr>
          <w:p>
            <w:pPr>
              <w:ind w:left="20"/>
              <w:spacing w:after="0"/>
              <w:rPr>
                <w:sz w:val="20"/>
                <w:szCs w:val="20"/>
                <w:color w:val="auto"/>
              </w:rPr>
            </w:pPr>
            <w:r>
              <w:rPr>
                <w:rFonts w:ascii="Arial" w:cs="Arial" w:eastAsia="Arial" w:hAnsi="Arial"/>
                <w:sz w:val="18"/>
                <w:szCs w:val="18"/>
                <w:color w:val="auto"/>
              </w:rPr>
              <w:t>ETR-adjusted</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44"/>
              <w:spacing w:after="0"/>
              <w:rPr>
                <w:sz w:val="20"/>
                <w:szCs w:val="20"/>
                <w:color w:val="auto"/>
              </w:rPr>
            </w:pPr>
            <w:r>
              <w:rPr>
                <w:rFonts w:ascii="Arial" w:cs="Arial" w:eastAsia="Arial" w:hAnsi="Arial"/>
                <w:sz w:val="18"/>
                <w:szCs w:val="18"/>
                <w:color w:val="auto"/>
                <w:w w:val="99"/>
              </w:rPr>
              <w:t>(800)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37"/>
              <w:spacing w:after="0"/>
              <w:rPr>
                <w:sz w:val="20"/>
                <w:szCs w:val="20"/>
                <w:color w:val="auto"/>
              </w:rPr>
            </w:pPr>
            <w:r>
              <w:rPr>
                <w:rFonts w:ascii="Arial" w:cs="Arial" w:eastAsia="Arial" w:hAnsi="Arial"/>
                <w:sz w:val="18"/>
                <w:szCs w:val="18"/>
                <w:color w:val="auto"/>
                <w:w w:val="99"/>
              </w:rPr>
              <w:t>(117)</w:t>
            </w: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14.6 %</w:t>
            </w:r>
          </w:p>
        </w:tc>
        <w:tc>
          <w:tcPr>
            <w:tcW w:w="120" w:type="dxa"/>
            <w:vAlign w:val="bottom"/>
          </w:tcPr>
          <w:p>
            <w:pPr>
              <w:spacing w:after="0"/>
              <w:rPr>
                <w:sz w:val="22"/>
                <w:szCs w:val="22"/>
                <w:color w:val="auto"/>
              </w:rPr>
            </w:pPr>
          </w:p>
        </w:tc>
        <w:tc>
          <w:tcPr>
            <w:tcW w:w="720" w:type="dxa"/>
            <w:vAlign w:val="bottom"/>
          </w:tcPr>
          <w:p>
            <w:pPr>
              <w:jc w:val="right"/>
              <w:ind w:right="85"/>
              <w:spacing w:after="0"/>
              <w:rPr>
                <w:sz w:val="20"/>
                <w:szCs w:val="20"/>
                <w:color w:val="auto"/>
              </w:rPr>
            </w:pPr>
            <w:r>
              <w:rPr>
                <w:rFonts w:ascii="Arial" w:cs="Arial" w:eastAsia="Arial" w:hAnsi="Arial"/>
                <w:sz w:val="18"/>
                <w:szCs w:val="18"/>
                <w:color w:val="auto"/>
                <w:w w:val="89"/>
              </w:rPr>
              <w:t>$ 2,911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57"/>
              <w:spacing w:after="0"/>
              <w:rPr>
                <w:sz w:val="20"/>
                <w:szCs w:val="20"/>
                <w:color w:val="auto"/>
              </w:rPr>
            </w:pPr>
            <w:r>
              <w:rPr>
                <w:rFonts w:ascii="Arial" w:cs="Arial" w:eastAsia="Arial" w:hAnsi="Arial"/>
                <w:sz w:val="18"/>
                <w:szCs w:val="18"/>
                <w:color w:val="auto"/>
              </w:rPr>
              <w:t>533</w:t>
            </w:r>
          </w:p>
        </w:tc>
        <w:tc>
          <w:tcPr>
            <w:tcW w:w="1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18.3 %</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center"/>
              <w:spacing w:after="0"/>
              <w:rPr>
                <w:sz w:val="20"/>
                <w:szCs w:val="20"/>
                <w:color w:val="auto"/>
              </w:rPr>
            </w:pPr>
            <w:r>
              <w:rPr>
                <w:rFonts w:ascii="Arial" w:cs="Arial" w:eastAsia="Arial" w:hAnsi="Arial"/>
                <w:sz w:val="18"/>
                <w:szCs w:val="18"/>
                <w:color w:val="auto"/>
                <w:w w:val="86"/>
              </w:rPr>
              <w:t>332</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ind w:right="75"/>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23.2 %</w:t>
            </w:r>
          </w:p>
        </w:tc>
        <w:tc>
          <w:tcPr>
            <w:tcW w:w="120" w:type="dxa"/>
            <w:vAlign w:val="bottom"/>
          </w:tcPr>
          <w:p>
            <w:pPr>
              <w:spacing w:after="0"/>
              <w:rPr>
                <w:sz w:val="22"/>
                <w:szCs w:val="22"/>
                <w:color w:val="auto"/>
              </w:rPr>
            </w:pPr>
          </w:p>
        </w:tc>
        <w:tc>
          <w:tcPr>
            <w:tcW w:w="700" w:type="dxa"/>
            <w:vAlign w:val="bottom"/>
          </w:tcPr>
          <w:p>
            <w:pPr>
              <w:jc w:val="right"/>
              <w:ind w:right="85"/>
              <w:spacing w:after="0"/>
              <w:rPr>
                <w:sz w:val="20"/>
                <w:szCs w:val="20"/>
                <w:color w:val="auto"/>
              </w:rPr>
            </w:pPr>
            <w:r>
              <w:rPr>
                <w:rFonts w:ascii="Arial" w:cs="Arial" w:eastAsia="Arial" w:hAnsi="Arial"/>
                <w:sz w:val="18"/>
                <w:szCs w:val="18"/>
                <w:color w:val="auto"/>
                <w:w w:val="86"/>
              </w:rPr>
              <w:t>$ 5,126</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ind w:right="57"/>
              <w:spacing w:after="0"/>
              <w:rPr>
                <w:sz w:val="20"/>
                <w:szCs w:val="20"/>
                <w:color w:val="auto"/>
              </w:rPr>
            </w:pPr>
            <w:r>
              <w:rPr>
                <w:rFonts w:ascii="Arial" w:cs="Arial" w:eastAsia="Arial" w:hAnsi="Arial"/>
                <w:sz w:val="18"/>
                <w:szCs w:val="18"/>
                <w:color w:val="auto"/>
              </w:rPr>
              <w:t>702</w:t>
            </w:r>
          </w:p>
        </w:tc>
        <w:tc>
          <w:tcPr>
            <w:tcW w:w="1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13.7 %</w:t>
            </w:r>
          </w:p>
        </w:tc>
      </w:tr>
      <w:tr>
        <w:trPr>
          <w:trHeight w:val="20"/>
        </w:trPr>
        <w:tc>
          <w:tcPr>
            <w:tcW w:w="1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________</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n.m. = not meaningful</w:t>
      </w:r>
    </w:p>
    <w:p>
      <w:pPr>
        <w:spacing w:after="0" w:line="234" w:lineRule="exact"/>
        <w:rPr>
          <w:sz w:val="20"/>
          <w:szCs w:val="20"/>
          <w:color w:val="auto"/>
        </w:rPr>
      </w:pPr>
    </w:p>
    <w:p>
      <w:pPr>
        <w:jc w:val="both"/>
        <w:ind w:left="340" w:hanging="332"/>
        <w:spacing w:after="0" w:line="269" w:lineRule="auto"/>
        <w:tabs>
          <w:tab w:leader="none" w:pos="331" w:val="left"/>
        </w:tabs>
        <w:numPr>
          <w:ilvl w:val="0"/>
          <w:numId w:val="19"/>
        </w:numPr>
        <w:rPr>
          <w:rFonts w:ascii="Arial" w:cs="Arial" w:eastAsia="Arial" w:hAnsi="Arial"/>
          <w:sz w:val="15"/>
          <w:szCs w:val="15"/>
          <w:color w:val="auto"/>
        </w:rPr>
      </w:pPr>
      <w:r>
        <w:rPr>
          <w:rFonts w:ascii="Arial" w:cs="Arial" w:eastAsia="Arial" w:hAnsi="Arial"/>
          <w:sz w:val="15"/>
          <w:szCs w:val="15"/>
          <w:color w:val="auto"/>
        </w:rPr>
        <w:t>Refer to the reconciliation of Net income (loss) attributable to stockholders under U.S. GAAP to EBIT (loss)-adjusted within this section of MD&amp;A for adjustment details. Net income attributable to noncontrolling interests included for these adjustments is insignificant in the three and six months ended June 30, 2019. The tax effect of each adjustment is determined based on the tax laws and valuation allowance status of the jurisdiction to which the adjustment relates.</w:t>
      </w:r>
    </w:p>
    <w:p>
      <w:pPr>
        <w:spacing w:after="0" w:line="1" w:lineRule="exact"/>
        <w:rPr>
          <w:rFonts w:ascii="Arial" w:cs="Arial" w:eastAsia="Arial" w:hAnsi="Arial"/>
          <w:sz w:val="15"/>
          <w:szCs w:val="15"/>
          <w:color w:val="auto"/>
        </w:rPr>
      </w:pPr>
    </w:p>
    <w:p>
      <w:pPr>
        <w:ind w:left="340" w:hanging="332"/>
        <w:spacing w:after="0"/>
        <w:tabs>
          <w:tab w:leader="none" w:pos="340" w:val="left"/>
        </w:tabs>
        <w:numPr>
          <w:ilvl w:val="0"/>
          <w:numId w:val="19"/>
        </w:numPr>
        <w:rPr>
          <w:rFonts w:ascii="Arial" w:cs="Arial" w:eastAsia="Arial" w:hAnsi="Arial"/>
          <w:sz w:val="15"/>
          <w:szCs w:val="15"/>
          <w:color w:val="auto"/>
        </w:rPr>
      </w:pPr>
      <w:r>
        <w:rPr>
          <w:rFonts w:ascii="Arial" w:cs="Arial" w:eastAsia="Arial" w:hAnsi="Arial"/>
          <w:sz w:val="15"/>
          <w:szCs w:val="15"/>
          <w:color w:val="auto"/>
        </w:rPr>
        <w:t>Refer to the reconciliation of diluted earnings (loss) per common share under U.S. GAAP to EPS-diluted-adjusted within this section of MD&amp;A for adjustment details.</w:t>
      </w:r>
    </w:p>
    <w:p>
      <w:pPr>
        <w:spacing w:after="0" w:line="241"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color w:val="auto"/>
        </w:rPr>
        <w:t>We define return on equity (ROE) as Net income (loss) attributable to stockholders for the trailing four quarters divided by average equity for the same period. Management uses average equity to provide comparable amounts in the calculation of ROE. The following table summarizes the calculation of ROE (dollars in billions):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4"/>
          </w:tcPr>
          <w:p>
            <w:pPr>
              <w:jc w:val="right"/>
              <w:ind w:right="1015"/>
              <w:spacing w:after="0"/>
              <w:rPr>
                <w:sz w:val="20"/>
                <w:szCs w:val="20"/>
                <w:color w:val="auto"/>
              </w:rPr>
            </w:pPr>
            <w:r>
              <w:rPr>
                <w:rFonts w:ascii="Arial" w:cs="Arial" w:eastAsia="Arial" w:hAnsi="Arial"/>
                <w:sz w:val="14"/>
                <w:szCs w:val="14"/>
                <w:b w:val="1"/>
                <w:bCs w:val="1"/>
                <w:color w:val="auto"/>
              </w:rPr>
              <w:t>Four Quarters Ended</w:t>
            </w:r>
          </w:p>
        </w:tc>
      </w:tr>
      <w:tr>
        <w:trPr>
          <w:trHeight w:val="196"/>
        </w:trPr>
        <w:tc>
          <w:tcPr>
            <w:tcW w:w="7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2020</w:t>
            </w:r>
          </w:p>
        </w:tc>
        <w:tc>
          <w:tcPr>
            <w:tcW w:w="280" w:type="dxa"/>
            <w:vAlign w:val="bottom"/>
          </w:tcPr>
          <w:p>
            <w:pPr>
              <w:spacing w:after="0"/>
              <w:rPr>
                <w:sz w:val="17"/>
                <w:szCs w:val="17"/>
                <w:color w:val="auto"/>
              </w:rPr>
            </w:pPr>
          </w:p>
        </w:tc>
        <w:tc>
          <w:tcPr>
            <w:tcW w:w="1440" w:type="dxa"/>
            <w:vAlign w:val="bottom"/>
          </w:tcPr>
          <w:p>
            <w:pPr>
              <w:jc w:val="right"/>
              <w:ind w:right="355"/>
              <w:spacing w:after="0"/>
              <w:rPr>
                <w:sz w:val="20"/>
                <w:szCs w:val="20"/>
                <w:color w:val="auto"/>
              </w:rPr>
            </w:pPr>
            <w:r>
              <w:rPr>
                <w:rFonts w:ascii="Arial" w:cs="Arial" w:eastAsia="Arial" w:hAnsi="Arial"/>
                <w:sz w:val="14"/>
                <w:szCs w:val="14"/>
                <w:b w:val="1"/>
                <w:bCs w:val="1"/>
                <w:color w:val="auto"/>
              </w:rPr>
              <w:t>June 30, 2019</w:t>
            </w:r>
          </w:p>
        </w:tc>
      </w:tr>
      <w:tr>
        <w:trPr>
          <w:trHeight w:val="250"/>
        </w:trPr>
        <w:tc>
          <w:tcPr>
            <w:tcW w:w="7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stockholders</w:t>
            </w: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CCEEFF"/>
            </w:tcBorders>
            <w:shd w:val="clear" w:color="auto" w:fill="CCEEFF"/>
          </w:tcPr>
          <w:p>
            <w:pPr>
              <w:jc w:val="right"/>
              <w:ind w:right="157"/>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9.2</w:t>
            </w:r>
          </w:p>
        </w:tc>
      </w:tr>
      <w:tr>
        <w:trPr>
          <w:trHeight w:val="243"/>
        </w:trPr>
        <w:tc>
          <w:tcPr>
            <w:tcW w:w="7720" w:type="dxa"/>
            <w:vAlign w:val="bottom"/>
          </w:tcPr>
          <w:p>
            <w:pPr>
              <w:ind w:left="20"/>
              <w:spacing w:after="0"/>
              <w:rPr>
                <w:sz w:val="20"/>
                <w:szCs w:val="20"/>
                <w:color w:val="auto"/>
              </w:rPr>
            </w:pPr>
            <w:r>
              <w:rPr>
                <w:rFonts w:ascii="Arial" w:cs="Arial" w:eastAsia="Arial" w:hAnsi="Arial"/>
                <w:sz w:val="18"/>
                <w:szCs w:val="18"/>
                <w:color w:val="auto"/>
              </w:rPr>
              <w:t>Average equity(a)</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157"/>
              <w:spacing w:after="0"/>
              <w:rPr>
                <w:sz w:val="20"/>
                <w:szCs w:val="20"/>
                <w:color w:val="auto"/>
              </w:rPr>
            </w:pPr>
            <w:r>
              <w:rPr>
                <w:rFonts w:ascii="Arial" w:cs="Arial" w:eastAsia="Arial" w:hAnsi="Arial"/>
                <w:sz w:val="18"/>
                <w:szCs w:val="18"/>
                <w:color w:val="auto"/>
              </w:rPr>
              <w:t>42.8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55"/>
              <w:spacing w:after="0"/>
              <w:rPr>
                <w:sz w:val="20"/>
                <w:szCs w:val="20"/>
                <w:color w:val="auto"/>
              </w:rPr>
            </w:pPr>
            <w:r>
              <w:rPr>
                <w:rFonts w:ascii="Arial" w:cs="Arial" w:eastAsia="Arial" w:hAnsi="Arial"/>
                <w:sz w:val="18"/>
                <w:szCs w:val="18"/>
                <w:color w:val="auto"/>
              </w:rPr>
              <w:t>41.1</w:t>
            </w:r>
          </w:p>
        </w:tc>
      </w:tr>
      <w:tr>
        <w:trPr>
          <w:trHeight w:val="27"/>
        </w:trPr>
        <w:tc>
          <w:tcPr>
            <w:tcW w:w="7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43"/>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ROE</w:t>
            </w:r>
          </w:p>
        </w:tc>
        <w:tc>
          <w:tcPr>
            <w:tcW w:w="2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4.0 %</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22.3 %</w:t>
            </w:r>
          </w:p>
        </w:tc>
      </w:tr>
      <w:tr>
        <w:trPr>
          <w:trHeight w:val="27"/>
        </w:trPr>
        <w:tc>
          <w:tcPr>
            <w:tcW w:w="77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9" w:lineRule="exact"/>
        <w:rPr>
          <w:sz w:val="20"/>
          <w:szCs w:val="20"/>
          <w:color w:val="auto"/>
        </w:rPr>
      </w:pPr>
    </w:p>
    <w:p>
      <w:pPr>
        <w:ind w:left="320" w:hanging="312"/>
        <w:spacing w:after="0"/>
        <w:tabs>
          <w:tab w:leader="none" w:pos="3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Includes equity of noncontrolling interests where the corresponding earnings (loss) are included in Net income (loss) attributable to stockholders.</w:t>
      </w:r>
    </w:p>
    <w:p>
      <w:pPr>
        <w:spacing w:after="0" w:line="200" w:lineRule="exact"/>
        <w:rPr>
          <w:rFonts w:ascii="Arial" w:cs="Arial" w:eastAsia="Arial" w:hAnsi="Arial"/>
          <w:sz w:val="16"/>
          <w:szCs w:val="16"/>
          <w:color w:val="auto"/>
        </w:rPr>
      </w:pPr>
    </w:p>
    <w:p>
      <w:pPr>
        <w:spacing w:after="0" w:line="380"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8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calculation of ROIC-adjusted (dollars in billions):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5"/>
          </w:tcPr>
          <w:p>
            <w:pPr>
              <w:ind w:left="840"/>
              <w:spacing w:after="0"/>
              <w:rPr>
                <w:sz w:val="20"/>
                <w:szCs w:val="20"/>
                <w:color w:val="auto"/>
              </w:rPr>
            </w:pPr>
            <w:r>
              <w:rPr>
                <w:rFonts w:ascii="Arial" w:cs="Arial" w:eastAsia="Arial" w:hAnsi="Arial"/>
                <w:sz w:val="14"/>
                <w:szCs w:val="14"/>
                <w:b w:val="1"/>
                <w:bCs w:val="1"/>
                <w:color w:val="auto"/>
              </w:rPr>
              <w:t>Four Quarters Ended</w:t>
            </w:r>
          </w:p>
        </w:tc>
        <w:tc>
          <w:tcPr>
            <w:tcW w:w="180" w:type="dxa"/>
            <w:vAlign w:val="bottom"/>
            <w:tcBorders>
              <w:bottom w:val="single" w:sz="8" w:color="auto"/>
            </w:tcBorders>
          </w:tcPr>
          <w:p>
            <w:pPr>
              <w:spacing w:after="0"/>
              <w:rPr>
                <w:sz w:val="16"/>
                <w:szCs w:val="16"/>
                <w:color w:val="auto"/>
              </w:rPr>
            </w:pPr>
          </w:p>
        </w:tc>
      </w:tr>
      <w:tr>
        <w:trPr>
          <w:trHeight w:val="196"/>
        </w:trPr>
        <w:tc>
          <w:tcPr>
            <w:tcW w:w="77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June 30, 2020</w:t>
            </w: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June 30, 2019</w:t>
            </w:r>
          </w:p>
        </w:tc>
        <w:tc>
          <w:tcPr>
            <w:tcW w:w="180" w:type="dxa"/>
            <w:vAlign w:val="bottom"/>
            <w:tcBorders>
              <w:bottom w:val="single" w:sz="8" w:color="auto"/>
            </w:tcBorders>
          </w:tcPr>
          <w:p>
            <w:pPr>
              <w:spacing w:after="0"/>
              <w:rPr>
                <w:sz w:val="17"/>
                <w:szCs w:val="17"/>
                <w:color w:val="auto"/>
              </w:rPr>
            </w:pPr>
          </w:p>
        </w:tc>
      </w:tr>
      <w:tr>
        <w:trPr>
          <w:trHeight w:val="249"/>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EBIT (loss)-adjusted(a)</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56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center"/>
              <w:ind w:left="752"/>
              <w:spacing w:after="0"/>
              <w:rPr>
                <w:sz w:val="20"/>
                <w:szCs w:val="20"/>
                <w:color w:val="auto"/>
              </w:rPr>
            </w:pPr>
            <w:r>
              <w:rPr>
                <w:rFonts w:ascii="Arial" w:cs="Arial" w:eastAsia="Arial" w:hAnsi="Arial"/>
                <w:sz w:val="18"/>
                <w:szCs w:val="18"/>
                <w:color w:val="auto"/>
                <w:w w:val="85"/>
              </w:rPr>
              <w:t>11.3</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7720" w:type="dxa"/>
            <w:vAlign w:val="bottom"/>
          </w:tcPr>
          <w:p>
            <w:pPr>
              <w:ind w:left="20"/>
              <w:spacing w:after="0"/>
              <w:rPr>
                <w:sz w:val="20"/>
                <w:szCs w:val="20"/>
                <w:color w:val="auto"/>
              </w:rPr>
            </w:pPr>
            <w:r>
              <w:rPr>
                <w:rFonts w:ascii="Arial" w:cs="Arial" w:eastAsia="Arial" w:hAnsi="Arial"/>
                <w:sz w:val="18"/>
                <w:szCs w:val="18"/>
                <w:color w:val="auto"/>
              </w:rPr>
              <w:t>Average equity(b)</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42.8</w:t>
            </w:r>
          </w:p>
        </w:tc>
        <w:tc>
          <w:tcPr>
            <w:tcW w:w="56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tcPr>
          <w:p>
            <w:pPr>
              <w:jc w:val="center"/>
              <w:ind w:left="752"/>
              <w:spacing w:after="0"/>
              <w:rPr>
                <w:sz w:val="20"/>
                <w:szCs w:val="20"/>
                <w:color w:val="auto"/>
              </w:rPr>
            </w:pPr>
            <w:r>
              <w:rPr>
                <w:rFonts w:ascii="Arial" w:cs="Arial" w:eastAsia="Arial" w:hAnsi="Arial"/>
                <w:sz w:val="18"/>
                <w:szCs w:val="18"/>
                <w:color w:val="auto"/>
                <w:w w:val="85"/>
              </w:rPr>
              <w:t>41.1</w:t>
            </w:r>
          </w:p>
        </w:tc>
        <w:tc>
          <w:tcPr>
            <w:tcW w:w="180" w:type="dxa"/>
            <w:vAlign w:val="bottom"/>
          </w:tcPr>
          <w:p>
            <w:pPr>
              <w:spacing w:after="0"/>
              <w:rPr>
                <w:sz w:val="21"/>
                <w:szCs w:val="21"/>
                <w:color w:val="auto"/>
              </w:rPr>
            </w:pPr>
          </w:p>
        </w:tc>
      </w:tr>
      <w:tr>
        <w:trPr>
          <w:trHeight w:val="27"/>
        </w:trPr>
        <w:tc>
          <w:tcPr>
            <w:tcW w:w="7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Add: Average automotive debt and interest liabilities (excluding finance leases)</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center"/>
              <w:ind w:left="752"/>
              <w:spacing w:after="0"/>
              <w:rPr>
                <w:sz w:val="20"/>
                <w:szCs w:val="20"/>
                <w:color w:val="auto"/>
              </w:rPr>
            </w:pPr>
            <w:r>
              <w:rPr>
                <w:rFonts w:ascii="Arial" w:cs="Arial" w:eastAsia="Arial" w:hAnsi="Arial"/>
                <w:sz w:val="18"/>
                <w:szCs w:val="18"/>
                <w:color w:val="auto"/>
                <w:w w:val="85"/>
              </w:rPr>
              <w:t>14.9</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7720" w:type="dxa"/>
            <w:vAlign w:val="bottom"/>
          </w:tcPr>
          <w:p>
            <w:pPr>
              <w:ind w:left="20"/>
              <w:spacing w:after="0"/>
              <w:rPr>
                <w:sz w:val="20"/>
                <w:szCs w:val="20"/>
                <w:color w:val="auto"/>
              </w:rPr>
            </w:pPr>
            <w:r>
              <w:rPr>
                <w:rFonts w:ascii="Arial" w:cs="Arial" w:eastAsia="Arial" w:hAnsi="Arial"/>
                <w:sz w:val="18"/>
                <w:szCs w:val="18"/>
                <w:color w:val="auto"/>
              </w:rPr>
              <w:t>Add: Average automotive net pension &amp; OPEB liability</w:t>
            </w:r>
          </w:p>
        </w:tc>
        <w:tc>
          <w:tcPr>
            <w:tcW w:w="2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17.1</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center"/>
              <w:ind w:left="752"/>
              <w:spacing w:after="0"/>
              <w:rPr>
                <w:sz w:val="20"/>
                <w:szCs w:val="20"/>
                <w:color w:val="auto"/>
              </w:rPr>
            </w:pPr>
            <w:r>
              <w:rPr>
                <w:rFonts w:ascii="Arial" w:cs="Arial" w:eastAsia="Arial" w:hAnsi="Arial"/>
                <w:sz w:val="18"/>
                <w:szCs w:val="18"/>
                <w:color w:val="auto"/>
                <w:w w:val="85"/>
              </w:rPr>
              <w:t>16.9</w:t>
            </w:r>
          </w:p>
        </w:tc>
        <w:tc>
          <w:tcPr>
            <w:tcW w:w="180" w:type="dxa"/>
            <w:vAlign w:val="bottom"/>
          </w:tcPr>
          <w:p>
            <w:pPr>
              <w:spacing w:after="0"/>
              <w:rPr>
                <w:sz w:val="21"/>
                <w:szCs w:val="21"/>
                <w:color w:val="auto"/>
              </w:rPr>
            </w:pPr>
          </w:p>
        </w:tc>
      </w:tr>
      <w:tr>
        <w:trPr>
          <w:trHeight w:val="27"/>
        </w:trPr>
        <w:tc>
          <w:tcPr>
            <w:tcW w:w="7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70"/>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Average automotive and other net income tax asset</w:t>
            </w: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center"/>
              <w:ind w:left="732"/>
              <w:spacing w:after="0"/>
              <w:rPr>
                <w:sz w:val="20"/>
                <w:szCs w:val="20"/>
                <w:color w:val="auto"/>
              </w:rPr>
            </w:pPr>
            <w:r>
              <w:rPr>
                <w:rFonts w:ascii="Arial" w:cs="Arial" w:eastAsia="Arial" w:hAnsi="Arial"/>
                <w:sz w:val="18"/>
                <w:szCs w:val="18"/>
                <w:color w:val="auto"/>
                <w:w w:val="93"/>
              </w:rPr>
              <w:t>(23.1)</w:t>
            </w:r>
          </w:p>
        </w:tc>
        <w:tc>
          <w:tcPr>
            <w:tcW w:w="180" w:type="dxa"/>
            <w:vAlign w:val="bottom"/>
            <w:tcBorders>
              <w:bottom w:val="single" w:sz="8" w:color="CCEEFF"/>
            </w:tcBorders>
            <w:shd w:val="clear" w:color="auto" w:fill="CCEEFF"/>
          </w:tcPr>
          <w:p>
            <w:pPr>
              <w:spacing w:after="0"/>
              <w:rPr>
                <w:sz w:val="23"/>
                <w:szCs w:val="23"/>
                <w:color w:val="auto"/>
              </w:rPr>
            </w:pPr>
          </w:p>
        </w:tc>
      </w:tr>
      <w:tr>
        <w:trPr>
          <w:trHeight w:val="263"/>
        </w:trPr>
        <w:tc>
          <w:tcPr>
            <w:tcW w:w="7720" w:type="dxa"/>
            <w:vAlign w:val="bottom"/>
          </w:tcPr>
          <w:p>
            <w:pPr>
              <w:ind w:left="20"/>
              <w:spacing w:after="0"/>
              <w:rPr>
                <w:sz w:val="20"/>
                <w:szCs w:val="20"/>
                <w:color w:val="auto"/>
              </w:rPr>
            </w:pPr>
            <w:r>
              <w:rPr>
                <w:rFonts w:ascii="Arial" w:cs="Arial" w:eastAsia="Arial" w:hAnsi="Arial"/>
                <w:sz w:val="18"/>
                <w:szCs w:val="18"/>
                <w:color w:val="auto"/>
              </w:rPr>
              <w:t>ROIC-adjusted average net assets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59.6</w:t>
            </w:r>
          </w:p>
        </w:tc>
        <w:tc>
          <w:tcPr>
            <w:tcW w:w="1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center"/>
              <w:ind w:left="752"/>
              <w:spacing w:after="0"/>
              <w:rPr>
                <w:sz w:val="20"/>
                <w:szCs w:val="20"/>
                <w:color w:val="auto"/>
              </w:rPr>
            </w:pPr>
            <w:r>
              <w:rPr>
                <w:rFonts w:ascii="Arial" w:cs="Arial" w:eastAsia="Arial" w:hAnsi="Arial"/>
                <w:sz w:val="18"/>
                <w:szCs w:val="18"/>
                <w:color w:val="auto"/>
                <w:w w:val="85"/>
              </w:rPr>
              <w:t>49.8</w:t>
            </w:r>
          </w:p>
        </w:tc>
        <w:tc>
          <w:tcPr>
            <w:tcW w:w="180" w:type="dxa"/>
            <w:vAlign w:val="bottom"/>
            <w:tcBorders>
              <w:top w:val="single" w:sz="8" w:color="auto"/>
              <w:bottom w:val="single" w:sz="8" w:color="auto"/>
            </w:tcBorders>
          </w:tcPr>
          <w:p>
            <w:pPr>
              <w:spacing w:after="0"/>
              <w:rPr>
                <w:sz w:val="22"/>
                <w:szCs w:val="22"/>
                <w:color w:val="auto"/>
              </w:rPr>
            </w:pPr>
          </w:p>
        </w:tc>
      </w:tr>
      <w:tr>
        <w:trPr>
          <w:trHeight w:val="20"/>
        </w:trPr>
        <w:tc>
          <w:tcPr>
            <w:tcW w:w="77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r>
        <w:trPr>
          <w:trHeight w:val="237"/>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ROIC-adjusted</w:t>
            </w:r>
          </w:p>
        </w:tc>
        <w:tc>
          <w:tcPr>
            <w:tcW w:w="26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60" w:type="dxa"/>
            <w:vAlign w:val="bottom"/>
            <w:shd w:val="clear" w:color="auto" w:fill="CCEEFF"/>
          </w:tcPr>
          <w:p>
            <w:pPr>
              <w:jc w:val="center"/>
              <w:ind w:left="752"/>
              <w:spacing w:after="0"/>
              <w:rPr>
                <w:sz w:val="20"/>
                <w:szCs w:val="20"/>
                <w:color w:val="auto"/>
              </w:rPr>
            </w:pPr>
            <w:r>
              <w:rPr>
                <w:rFonts w:ascii="Arial" w:cs="Arial" w:eastAsia="Arial" w:hAnsi="Arial"/>
                <w:sz w:val="18"/>
                <w:szCs w:val="18"/>
                <w:color w:val="auto"/>
                <w:w w:val="85"/>
              </w:rPr>
              <w:t>22.7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7"/>
        </w:trPr>
        <w:tc>
          <w:tcPr>
            <w:tcW w:w="77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9" w:lineRule="exact"/>
        <w:rPr>
          <w:sz w:val="20"/>
          <w:szCs w:val="20"/>
          <w:color w:val="auto"/>
        </w:rPr>
      </w:pPr>
    </w:p>
    <w:p>
      <w:pPr>
        <w:ind w:left="320" w:hanging="312"/>
        <w:spacing w:after="0"/>
        <w:tabs>
          <w:tab w:leader="none" w:pos="3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Refer to the reconciliation of Net income (loss) attributable to stockholders under U.S. GAAP to EBIT (loss)-adjusted within this section of MD&amp;A.</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Includes equity of noncontrolling interests where the corresponding earnings (loss) are included in EBIT (loss)-adjusted.</w:t>
      </w:r>
    </w:p>
    <w:p>
      <w:pPr>
        <w:spacing w:after="0" w:line="22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Overview </w:t>
      </w:r>
      <w:r>
        <w:rPr>
          <w:rFonts w:ascii="Arial" w:cs="Arial" w:eastAsia="Arial" w:hAnsi="Arial"/>
          <w:sz w:val="17"/>
          <w:szCs w:val="17"/>
          <w:color w:val="auto"/>
        </w:rPr>
        <w:t>Our management team has adopted a strategic plan to transform GM into the world's most valued automotive company. Our plan includes</w:t>
      </w:r>
      <w:r>
        <w:rPr>
          <w:rFonts w:ascii="Arial" w:cs="Arial" w:eastAsia="Arial" w:hAnsi="Arial"/>
          <w:sz w:val="17"/>
          <w:szCs w:val="17"/>
          <w:b w:val="1"/>
          <w:bCs w:val="1"/>
          <w:color w:val="auto"/>
        </w:rPr>
        <w:t xml:space="preserve"> </w:t>
      </w:r>
      <w:r>
        <w:rPr>
          <w:rFonts w:ascii="Arial" w:cs="Arial" w:eastAsia="Arial" w:hAnsi="Arial"/>
          <w:sz w:val="17"/>
          <w:szCs w:val="17"/>
          <w:color w:val="auto"/>
        </w:rPr>
        <w:t>several major initiatives that we anticipate will redefine the future of personal mobility and advance our vision of zero crashes, zero emissions, zero congestion while also strengthening the core of our business: earning customers for life by delivering winning vehicles, leading the industry in quality and safety and improving the customer ownership experience; leading in technology and innovation, including electrification, autonomous vehicles and data connectivity; growing our brands; making tough, strategic decisions about the markets and products in which we will invest and compete; building profitable adjacent businesses; and targeting 10% core margins on an EBIT-adjusted basis.</w:t>
      </w:r>
    </w:p>
    <w:p>
      <w:pPr>
        <w:spacing w:after="0" w:line="231" w:lineRule="exact"/>
        <w:rPr>
          <w:sz w:val="20"/>
          <w:szCs w:val="20"/>
          <w:color w:val="auto"/>
        </w:rPr>
      </w:pPr>
    </w:p>
    <w:p>
      <w:pPr>
        <w:jc w:val="both"/>
        <w:ind w:firstLine="162"/>
        <w:spacing w:after="0" w:line="252" w:lineRule="auto"/>
        <w:rPr>
          <w:sz w:val="20"/>
          <w:szCs w:val="20"/>
          <w:color w:val="auto"/>
        </w:rPr>
      </w:pPr>
      <w:r>
        <w:rPr>
          <w:rFonts w:ascii="Arial" w:cs="Arial" w:eastAsia="Arial" w:hAnsi="Arial"/>
          <w:sz w:val="17"/>
          <w:szCs w:val="17"/>
          <w:color w:val="auto"/>
        </w:rPr>
        <w:t>COVID-19 and government actions and measures to prevent its spread continue to affect our operations and business in a number of significant ways. In response to COVID-19, we previously suspended the majority of our global manufacturing operations and our Automotive China JVs’ manufacturing operations. By April 2020, we fully resumed our Automotive China JVs’ manufacturing operations. Beginning in May 2020, we resumed our critical manufacturing operations in North America, and we continue to take actions to increase production and replenish dealer inventories. Government-imposed restrictions on businesses, operations and travel and the related economic uncertainty have impacted demand for our vehicles in most of our global markets. We expect COVID-19 to continue to materially impact our results of operations during the remainder of 2020. In response, we are executing a number of austerity measures, including aggressive actions to reduce costs, such as limiting advertising and other third-party spending, deferring salaried employee compensation and delaying non-critical projects, including certain future product programs. The extent of COVID-19’s impact on our future operations and the demand for our products will depend upon, among other things, the duration, spread and intensity of the pandemic and related government responses such as required physical distancing, restrictions on business operations and travel, the pace of recovery of economic activity and the impact to consumers, all of which are uncertain and difficult to predict in light of the rapidly evolving landscape. Refer to Item 1A. Risk Factors for a full discussion of the risks associated with the COVID-19 pandemic.</w:t>
      </w:r>
    </w:p>
    <w:p>
      <w:pPr>
        <w:spacing w:after="0" w:line="210"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color w:val="auto"/>
        </w:rPr>
        <w:t>We are committed to help reduce the supply shortage of necessary medical equipment arising from the COVID-19 pandemic, including manufacturing face masks beginning in March 2020 and collaborating with Ventec Life Systems to produce critical care ventilators in our U.S. facilities beginning in April 2020. We are providing our resources related to these initiatives at cost.</w:t>
      </w:r>
    </w:p>
    <w:p>
      <w:pPr>
        <w:spacing w:after="0" w:line="211" w:lineRule="exact"/>
        <w:rPr>
          <w:sz w:val="20"/>
          <w:szCs w:val="20"/>
          <w:color w:val="auto"/>
        </w:rPr>
      </w:pPr>
    </w:p>
    <w:p>
      <w:pPr>
        <w:jc w:val="both"/>
        <w:ind w:firstLine="162"/>
        <w:spacing w:after="0" w:line="311" w:lineRule="auto"/>
        <w:rPr>
          <w:sz w:val="20"/>
          <w:szCs w:val="20"/>
          <w:color w:val="auto"/>
        </w:rPr>
      </w:pPr>
      <w:r>
        <w:rPr>
          <w:rFonts w:ascii="Arial" w:cs="Arial" w:eastAsia="Arial" w:hAnsi="Arial"/>
          <w:sz w:val="16"/>
          <w:szCs w:val="16"/>
          <w:color w:val="auto"/>
        </w:rPr>
        <w:t>We also face continuing market, operating and regulatory challenges in several countries across the globe due to, among other factors, weak economic conditions, competitive pressures, our product portfolio offerings, heightened emissions standards, labor disruptions, foreign exchange volatility, rising material prices, evolving trade policy and political uncertainty. Refer to Item 1A. Risk Factors of our 2019 Form 10-K for a discussion of these challenges.</w:t>
      </w:r>
    </w:p>
    <w:p>
      <w:pPr>
        <w:spacing w:after="0" w:line="176" w:lineRule="exact"/>
        <w:rPr>
          <w:sz w:val="20"/>
          <w:szCs w:val="20"/>
          <w:color w:val="auto"/>
        </w:rPr>
      </w:pPr>
    </w:p>
    <w:p>
      <w:pPr>
        <w:jc w:val="both"/>
        <w:ind w:firstLine="162"/>
        <w:spacing w:after="0" w:line="254" w:lineRule="auto"/>
        <w:rPr>
          <w:sz w:val="20"/>
          <w:szCs w:val="20"/>
          <w:color w:val="auto"/>
        </w:rPr>
      </w:pPr>
      <w:r>
        <w:rPr>
          <w:rFonts w:ascii="Arial" w:cs="Arial" w:eastAsia="Arial" w:hAnsi="Arial"/>
          <w:sz w:val="18"/>
          <w:szCs w:val="18"/>
          <w:color w:val="auto"/>
        </w:rPr>
        <w:t>In November 2018, we announced plans to accelerate steps to improve our overall business performance, including the reorganization of global product development staffs, the realignment of manufacturing capacity in response to market-related volume declines in passenger cars and a reduction of our salaried workforce. We are on track for these transformation activities to drive between $5.5 billion and $6.0 billion of annual cash savings by the end of 2020, consisting of $4.0 billion to $4.5 billion in cost savings primarily from reductions in Automotive and other cost of sales in our condensed consolidated financial statements, with the remainder in reduced capital expenditures. We are on track to reduce capital expenditures from approximately $8.5 billion to approximately $7.0 billion on a normalized run-rate basis. As we continue to assess our performance and the needs of our evolving business, additional restructuring and rationalization actions could be required. These actions could give rise to future asset impairments or other charges, which may have a material impact on our operating</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results. Capital spending originally expected to be incurred in 2020 will be re-timed to 2021, however over the two-year period we expect to maintain our normalized run-rate.</w:t>
      </w:r>
    </w:p>
    <w:p>
      <w:pPr>
        <w:spacing w:after="0" w:line="197" w:lineRule="exact"/>
        <w:rPr>
          <w:sz w:val="20"/>
          <w:szCs w:val="20"/>
          <w:color w:val="auto"/>
        </w:rPr>
      </w:pPr>
    </w:p>
    <w:p>
      <w:pPr>
        <w:jc w:val="both"/>
        <w:ind w:firstLine="162"/>
        <w:spacing w:after="0" w:line="296" w:lineRule="auto"/>
        <w:rPr>
          <w:sz w:val="20"/>
          <w:szCs w:val="20"/>
          <w:color w:val="auto"/>
        </w:rPr>
      </w:pPr>
      <w:r>
        <w:rPr>
          <w:rFonts w:ascii="Arial" w:cs="Arial" w:eastAsia="Arial" w:hAnsi="Arial"/>
          <w:sz w:val="16"/>
          <w:szCs w:val="16"/>
          <w:b w:val="1"/>
          <w:bCs w:val="1"/>
          <w:i w:val="1"/>
          <w:iCs w:val="1"/>
          <w:color w:val="auto"/>
        </w:rPr>
        <w:t xml:space="preserve">GMNA </w:t>
      </w:r>
      <w:r>
        <w:rPr>
          <w:rFonts w:ascii="Arial" w:cs="Arial" w:eastAsia="Arial" w:hAnsi="Arial"/>
          <w:sz w:val="16"/>
          <w:szCs w:val="16"/>
          <w:color w:val="auto"/>
        </w:rPr>
        <w:t>Industry sales in North America were 7.8 million units in the six months ended June 30, 2020, representing a decrease of 25.5% compared to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corresponding period in 2019. U.S. industry sales were 6.6 million units in the six months ended June 30, 2020, representing a decrease of 23.7% compared to the corresponding period in 2019. As described above, we expect COVID-19 to result in a significant contraction of total North America industry volumes in 2020. However, industry volumes will ultimately depend upon, among other things, the duration, spread and intensity of the pandemic, related government responses and economic recovery all of which are uncertain and difficult to predict in light of the rapidly evolving landscape.</w:t>
      </w:r>
    </w:p>
    <w:p>
      <w:pPr>
        <w:spacing w:after="0" w:line="188"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color w:val="auto"/>
        </w:rPr>
        <w:t>Our total vehicle sales in the U.S., our largest market in North America, totaled 1.1 million units for market share of 16.8% in the six months ended June 30, 2020, representing an increase of 0.5 percentage points compared to the corresponding period in 2019. We continue to lead the U.S. industry in market share.</w:t>
      </w:r>
    </w:p>
    <w:p>
      <w:pPr>
        <w:spacing w:after="0" w:line="211"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As discussed above, in response to COVID-19, we suspended production across our manufacturing facilities in the U.S., Canada and Mexico in March 2020. We gradually resumed critical manufacturing operations in North America beginning in May 2020 and reached production levels in line with industry demand in June 2020. We continue to follow physical distancing guidance, enhanced deep cleaning procedures and provide personal protective equipment to protect our employees.</w:t>
      </w:r>
    </w:p>
    <w:p>
      <w:pPr>
        <w:spacing w:after="0" w:line="214"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The Unifor contract ratified in September 2016 covering certain hourly employees in Canada expires in September 2020. For discussion of the risks related to a significant labor disruption at one of our facilities, refer to Item 1A. Risk Factors of our 2019 Form 10-K.</w:t>
      </w:r>
    </w:p>
    <w:p>
      <w:pPr>
        <w:spacing w:after="0" w:line="197" w:lineRule="exact"/>
        <w:rPr>
          <w:sz w:val="20"/>
          <w:szCs w:val="20"/>
          <w:color w:val="auto"/>
        </w:rPr>
      </w:pPr>
    </w:p>
    <w:p>
      <w:pPr>
        <w:jc w:val="both"/>
        <w:ind w:firstLine="162"/>
        <w:spacing w:after="0" w:line="269" w:lineRule="auto"/>
        <w:rPr>
          <w:sz w:val="20"/>
          <w:szCs w:val="20"/>
          <w:color w:val="auto"/>
        </w:rPr>
      </w:pPr>
      <w:r>
        <w:rPr>
          <w:rFonts w:ascii="Arial" w:cs="Arial" w:eastAsia="Arial" w:hAnsi="Arial"/>
          <w:sz w:val="17"/>
          <w:szCs w:val="17"/>
          <w:b w:val="1"/>
          <w:bCs w:val="1"/>
          <w:i w:val="1"/>
          <w:iCs w:val="1"/>
          <w:color w:val="auto"/>
        </w:rPr>
        <w:t xml:space="preserve">GMI </w:t>
      </w:r>
      <w:r>
        <w:rPr>
          <w:rFonts w:ascii="Arial" w:cs="Arial" w:eastAsia="Arial" w:hAnsi="Arial"/>
          <w:sz w:val="17"/>
          <w:szCs w:val="17"/>
          <w:color w:val="auto"/>
        </w:rPr>
        <w:t>Industry sales in China were 10.2 million units in the six months ended June 30, 2020, representing a decrease of 19.3% compared to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corresponding period in 2019. Our total vehicle sales in China were 1.2 million units for market share of 11.5% in the six months ended June 30, 2020, representing a decrease of 0.9 percentage points compared to the corresponding period in 2019. The sales across all brands decreased in the six months ended June 30, 2020, compared to the corresponding period in 2019, primarily driven by an industry downturn significantly impacted by the COVID-19 pandemic. We expect both GM and industry sales to gradually recover as the impact of the COVID-19 pandemic in China subsides; however, the ongoing global macro-economic impact of COVID-19 and geopolitical tensions may continue to place pressure on China's automotive industry. Our Automotive China JVs generated equity income of $0.2 billion and an equity loss of $0.2 billion in the three months ended June 30, 2020 and March 31, 2020. A continuation of industry weakness and pricing pressures, a more challenging regulatory environment related to emissions, fuel consumption and new energy vehicles, and continued weakness in the Chinese Yuan against the U.S. Dollar will continue to place pressure on our operations in China. While we expect lower China equity income in the near term, we will continue to build upon our strong brands, network, and partnerships in China as well as continue to drive improvements in vehicle mix and cost.</w:t>
      </w:r>
    </w:p>
    <w:p>
      <w:pPr>
        <w:spacing w:after="0" w:line="20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Outside of China, industry sales were 9.5 million units in the six months ended June 30, 2020, representing a decrease of 27.0% compared to the corresponding period in 2019, primarily due to the ongoing global macro-economic impact of COVID-19. Our total vehicle sales outside of China were 0.5 million units for market share of 4.9% in the six months ended June 30, 2020, representing an increase of 0.3 percentage points compared to the corresponding period in 2019.</w:t>
      </w:r>
    </w:p>
    <w:p>
      <w:pPr>
        <w:spacing w:after="0" w:line="214" w:lineRule="exact"/>
        <w:rPr>
          <w:sz w:val="20"/>
          <w:szCs w:val="20"/>
          <w:color w:val="auto"/>
        </w:rPr>
      </w:pPr>
    </w:p>
    <w:p>
      <w:pPr>
        <w:jc w:val="both"/>
        <w:ind w:firstLine="162"/>
        <w:spacing w:after="0" w:line="269" w:lineRule="auto"/>
        <w:rPr>
          <w:sz w:val="20"/>
          <w:szCs w:val="20"/>
          <w:color w:val="auto"/>
        </w:rPr>
      </w:pPr>
      <w:r>
        <w:rPr>
          <w:rFonts w:ascii="Arial" w:cs="Arial" w:eastAsia="Arial" w:hAnsi="Arial"/>
          <w:sz w:val="17"/>
          <w:szCs w:val="17"/>
          <w:color w:val="auto"/>
        </w:rPr>
        <w:t>In the six months ended June 30, 2020, restructuring actions in GMI were related to the wind-down of Holden sales, design and engineering operations in Australia and New Zealand, with cessation of Holden vehicle sales by 2021, the execution of binding term sheets with Great Wall Motors to sell our vehicle and powertrain manufacturing facilities in Thailand, and the wind-down of our vehicle sales operations in Thailand, targeted for completion by the end of 2020. These actions were taken to strengthen the Company's core business and focus investment on other opportunities that will derive the greatest returns for shareholders and support investment in future technologies. We recorded charges of $0.6 billion in the six months ended June 30, 2020 and expect to incur additional charges of $0.4 billion in the six months ending December 31, 2020. We also recorded deferred tax charges of $0.2 billion in the six months ended June 30, 2020. We expect additional net cash outflows of approximately $0.2 billion, which includes expected proceeds of approximately $0.1 billion from the sale of our manufacturing facility in Thailand, to be substantially complete by the end of 2020. The charges will primarily be considered special for EBIT-adjusted, EPS-diluted-adjusted and adjusted automotive free cash flow purposes. We intend to continue to provide servicing and spare parts to customers for an extended period of time in Australia, New Zealand and Thailand. Refer to Note 17 to our condensed consolidated financial statements for additional information related to these restructuring actions.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81"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 xml:space="preserve">Cruise </w:t>
      </w:r>
      <w:r>
        <w:rPr>
          <w:rFonts w:ascii="Arial" w:cs="Arial" w:eastAsia="Arial" w:hAnsi="Arial"/>
          <w:sz w:val="18"/>
          <w:szCs w:val="18"/>
          <w:color w:val="auto"/>
        </w:rPr>
        <w:t>We are actively testing our autonomous vehicles in the U.S. Gated by safety and regulation, we continue to make significant progress towards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commercialization of a network of on-demand autonomous vehicles in the U.S.</w:t>
      </w:r>
    </w:p>
    <w:p>
      <w:pPr>
        <w:spacing w:after="0" w:line="197"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b w:val="1"/>
          <w:bCs w:val="1"/>
          <w:i w:val="1"/>
          <w:iCs w:val="1"/>
          <w:color w:val="auto"/>
        </w:rPr>
        <w:t xml:space="preserve">Corporate </w:t>
      </w:r>
      <w:r>
        <w:rPr>
          <w:rFonts w:ascii="Arial" w:cs="Arial" w:eastAsia="Arial" w:hAnsi="Arial"/>
          <w:sz w:val="17"/>
          <w:szCs w:val="17"/>
          <w:color w:val="auto"/>
        </w:rPr>
        <w:t>Mark-to-market equity securities and warrants held by Corporate totaled $0.7 billion at June 30, 2020, a decrease of $0.8 billion from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December 2019, due to the liquidation of our shares in Lyft and market price fluctuations. Market price changes of our PSA warrants generated unrealized losses of $0.3 billion in the six months ended June 30, 2020, compared to a gain of $0.2 billion in the corresponding period in 2019.</w:t>
      </w:r>
    </w:p>
    <w:p>
      <w:pPr>
        <w:spacing w:after="0" w:line="192" w:lineRule="exact"/>
        <w:rPr>
          <w:sz w:val="20"/>
          <w:szCs w:val="20"/>
          <w:color w:val="auto"/>
        </w:rPr>
      </w:pPr>
    </w:p>
    <w:p>
      <w:pPr>
        <w:jc w:val="both"/>
        <w:ind w:firstLine="162"/>
        <w:spacing w:after="0" w:line="342" w:lineRule="auto"/>
        <w:rPr>
          <w:sz w:val="20"/>
          <w:szCs w:val="20"/>
          <w:color w:val="auto"/>
        </w:rPr>
      </w:pPr>
      <w:r>
        <w:rPr>
          <w:rFonts w:ascii="Arial" w:cs="Arial" w:eastAsia="Arial" w:hAnsi="Arial"/>
          <w:sz w:val="16"/>
          <w:szCs w:val="16"/>
          <w:b w:val="1"/>
          <w:bCs w:val="1"/>
          <w:i w:val="1"/>
          <w:iCs w:val="1"/>
          <w:color w:val="auto"/>
        </w:rPr>
        <w:t xml:space="preserve">Vehicle Sales </w:t>
      </w:r>
      <w:r>
        <w:rPr>
          <w:rFonts w:ascii="Arial" w:cs="Arial" w:eastAsia="Arial" w:hAnsi="Arial"/>
          <w:sz w:val="16"/>
          <w:szCs w:val="16"/>
          <w:color w:val="auto"/>
        </w:rPr>
        <w:t>The principal factors that determine consumer vehicle preferences in the markets in which we operate include overall vehicle design, price,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quality, available options, safety, reliability, fuel economy and functionality. Market leadership in individual countries in which we compete varies widely.</w:t>
      </w:r>
    </w:p>
    <w:p>
      <w:pPr>
        <w:spacing w:after="0" w:line="151"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We present both wholesale and total vehicle sales data to assist in the analysis of our revenue and our market share. Wholesale vehicle sales data consists of sales to GM's dealers and distributors as well as sales to the U.S. Government and excludes vehicles sold by our joint ventures. Wholesale vehicle sales data correlates to our revenue recognized from the sale of vehicles, which is the largest component of Automotive net sales and revenue. In the six months ended June 30, 2020, 32.3% of our wholesale vehicle sales volume was generated outside the U.S. The following table summarizes wholesale vehicle sales by automotive segment (vehicles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rPr>
              <w:t>Six Months Ended</w:t>
            </w:r>
          </w:p>
        </w:tc>
        <w:tc>
          <w:tcPr>
            <w:tcW w:w="880" w:type="dxa"/>
            <w:vAlign w:val="bottom"/>
            <w:tcBorders>
              <w:bottom w:val="single" w:sz="8" w:color="auto"/>
            </w:tcBorders>
          </w:tcPr>
          <w:p>
            <w:pPr>
              <w:spacing w:after="0"/>
              <w:rPr>
                <w:sz w:val="16"/>
                <w:szCs w:val="16"/>
                <w:color w:val="auto"/>
              </w:rPr>
            </w:pPr>
          </w:p>
        </w:tc>
      </w:tr>
      <w:tr>
        <w:trPr>
          <w:trHeight w:val="196"/>
        </w:trPr>
        <w:tc>
          <w:tcPr>
            <w:tcW w:w="3900" w:type="dxa"/>
            <w:vAlign w:val="bottom"/>
          </w:tcPr>
          <w:p>
            <w:pPr>
              <w:spacing w:after="0"/>
              <w:rPr>
                <w:sz w:val="17"/>
                <w:szCs w:val="17"/>
                <w:color w:val="auto"/>
              </w:rPr>
            </w:pPr>
          </w:p>
        </w:tc>
        <w:tc>
          <w:tcPr>
            <w:tcW w:w="1840" w:type="dxa"/>
            <w:vAlign w:val="bottom"/>
            <w:gridSpan w:val="4"/>
          </w:tcPr>
          <w:p>
            <w:pPr>
              <w:ind w:left="460"/>
              <w:spacing w:after="0"/>
              <w:rPr>
                <w:sz w:val="20"/>
                <w:szCs w:val="20"/>
                <w:color w:val="auto"/>
              </w:rPr>
            </w:pPr>
            <w:r>
              <w:rPr>
                <w:rFonts w:ascii="Arial" w:cs="Arial" w:eastAsia="Arial" w:hAnsi="Arial"/>
                <w:sz w:val="14"/>
                <w:szCs w:val="14"/>
                <w:b w:val="1"/>
                <w:bCs w:val="1"/>
                <w:color w:val="auto"/>
              </w:rPr>
              <w:t>June 30, 2020</w:t>
            </w:r>
          </w:p>
        </w:tc>
        <w:tc>
          <w:tcPr>
            <w:tcW w:w="1860" w:type="dxa"/>
            <w:vAlign w:val="bottom"/>
            <w:gridSpan w:val="4"/>
          </w:tcPr>
          <w:p>
            <w:pPr>
              <w:ind w:left="460"/>
              <w:spacing w:after="0"/>
              <w:rPr>
                <w:sz w:val="20"/>
                <w:szCs w:val="20"/>
                <w:color w:val="auto"/>
              </w:rPr>
            </w:pPr>
            <w:r>
              <w:rPr>
                <w:rFonts w:ascii="Arial" w:cs="Arial" w:eastAsia="Arial" w:hAnsi="Arial"/>
                <w:sz w:val="14"/>
                <w:szCs w:val="14"/>
                <w:b w:val="1"/>
                <w:bCs w:val="1"/>
                <w:color w:val="auto"/>
              </w:rPr>
              <w:t>June 30, 2019</w:t>
            </w:r>
          </w:p>
        </w:tc>
        <w:tc>
          <w:tcPr>
            <w:tcW w:w="1880" w:type="dxa"/>
            <w:vAlign w:val="bottom"/>
            <w:gridSpan w:val="4"/>
          </w:tcPr>
          <w:p>
            <w:pPr>
              <w:ind w:left="460"/>
              <w:spacing w:after="0"/>
              <w:rPr>
                <w:sz w:val="20"/>
                <w:szCs w:val="20"/>
                <w:color w:val="auto"/>
              </w:rPr>
            </w:pPr>
            <w:r>
              <w:rPr>
                <w:rFonts w:ascii="Arial" w:cs="Arial" w:eastAsia="Arial" w:hAnsi="Arial"/>
                <w:sz w:val="14"/>
                <w:szCs w:val="14"/>
                <w:b w:val="1"/>
                <w:bCs w:val="1"/>
                <w:color w:val="auto"/>
              </w:rPr>
              <w:t>June 30, 2020</w:t>
            </w:r>
          </w:p>
        </w:tc>
        <w:tc>
          <w:tcPr>
            <w:tcW w:w="1760" w:type="dxa"/>
            <w:vAlign w:val="bottom"/>
            <w:gridSpan w:val="3"/>
          </w:tcPr>
          <w:p>
            <w:pPr>
              <w:jc w:val="right"/>
              <w:ind w:right="370"/>
              <w:spacing w:after="0"/>
              <w:rPr>
                <w:sz w:val="20"/>
                <w:szCs w:val="20"/>
                <w:color w:val="auto"/>
              </w:rPr>
            </w:pPr>
            <w:r>
              <w:rPr>
                <w:rFonts w:ascii="Arial" w:cs="Arial" w:eastAsia="Arial" w:hAnsi="Arial"/>
                <w:sz w:val="14"/>
                <w:szCs w:val="14"/>
                <w:b w:val="1"/>
                <w:bCs w:val="1"/>
                <w:color w:val="auto"/>
              </w:rPr>
              <w:t>June 30, 2019</w:t>
            </w:r>
          </w:p>
        </w:tc>
      </w:tr>
      <w:tr>
        <w:trPr>
          <w:trHeight w:val="249"/>
        </w:trPr>
        <w:tc>
          <w:tcPr>
            <w:tcW w:w="3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GMNA</w:t>
            </w:r>
          </w:p>
        </w:tc>
        <w:tc>
          <w:tcPr>
            <w:tcW w:w="780" w:type="dxa"/>
            <w:vAlign w:val="bottom"/>
            <w:tcBorders>
              <w:top w:val="single" w:sz="8" w:color="auto"/>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331</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78.6 %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870</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77.1 %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1,106</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79.8 %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1,729</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77.7 %</w:t>
            </w:r>
          </w:p>
        </w:tc>
      </w:tr>
      <w:tr>
        <w:trPr>
          <w:trHeight w:val="243"/>
        </w:trPr>
        <w:tc>
          <w:tcPr>
            <w:tcW w:w="3900" w:type="dxa"/>
            <w:vAlign w:val="bottom"/>
          </w:tcPr>
          <w:p>
            <w:pPr>
              <w:ind w:left="20"/>
              <w:spacing w:after="0"/>
              <w:rPr>
                <w:sz w:val="20"/>
                <w:szCs w:val="20"/>
                <w:color w:val="auto"/>
              </w:rPr>
            </w:pPr>
            <w:r>
              <w:rPr>
                <w:rFonts w:ascii="Arial" w:cs="Arial" w:eastAsia="Arial" w:hAnsi="Arial"/>
                <w:sz w:val="18"/>
                <w:szCs w:val="18"/>
                <w:color w:val="auto"/>
              </w:rPr>
              <w:t>GMI</w:t>
            </w:r>
          </w:p>
        </w:tc>
        <w:tc>
          <w:tcPr>
            <w:tcW w:w="780" w:type="dxa"/>
            <w:vAlign w:val="bottom"/>
          </w:tcPr>
          <w:p>
            <w:pPr>
              <w:jc w:val="right"/>
              <w:ind w:right="75"/>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21.4 %</w:t>
            </w:r>
          </w:p>
        </w:tc>
        <w:tc>
          <w:tcPr>
            <w:tcW w:w="100" w:type="dxa"/>
            <w:vAlign w:val="bottom"/>
          </w:tcPr>
          <w:p>
            <w:pPr>
              <w:spacing w:after="0"/>
              <w:rPr>
                <w:sz w:val="21"/>
                <w:szCs w:val="21"/>
                <w:color w:val="auto"/>
              </w:rPr>
            </w:pPr>
          </w:p>
        </w:tc>
        <w:tc>
          <w:tcPr>
            <w:tcW w:w="780" w:type="dxa"/>
            <w:vAlign w:val="bottom"/>
          </w:tcPr>
          <w:p>
            <w:pPr>
              <w:jc w:val="right"/>
              <w:ind w:right="55"/>
              <w:spacing w:after="0"/>
              <w:rPr>
                <w:sz w:val="20"/>
                <w:szCs w:val="20"/>
                <w:color w:val="auto"/>
              </w:rPr>
            </w:pPr>
            <w:r>
              <w:rPr>
                <w:rFonts w:ascii="Arial" w:cs="Arial" w:eastAsia="Arial" w:hAnsi="Arial"/>
                <w:sz w:val="18"/>
                <w:szCs w:val="18"/>
                <w:color w:val="auto"/>
              </w:rPr>
              <w:t>259</w:t>
            </w: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22.9 %</w:t>
            </w:r>
          </w:p>
        </w:tc>
        <w:tc>
          <w:tcPr>
            <w:tcW w:w="100" w:type="dxa"/>
            <w:vAlign w:val="bottom"/>
          </w:tcPr>
          <w:p>
            <w:pPr>
              <w:spacing w:after="0"/>
              <w:rPr>
                <w:sz w:val="21"/>
                <w:szCs w:val="21"/>
                <w:color w:val="auto"/>
              </w:rPr>
            </w:pPr>
          </w:p>
        </w:tc>
        <w:tc>
          <w:tcPr>
            <w:tcW w:w="800" w:type="dxa"/>
            <w:vAlign w:val="bottom"/>
          </w:tcPr>
          <w:p>
            <w:pPr>
              <w:jc w:val="right"/>
              <w:ind w:right="75"/>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20.2 %</w:t>
            </w:r>
          </w:p>
        </w:tc>
        <w:tc>
          <w:tcPr>
            <w:tcW w:w="120" w:type="dxa"/>
            <w:vAlign w:val="bottom"/>
          </w:tcPr>
          <w:p>
            <w:pPr>
              <w:spacing w:after="0"/>
              <w:rPr>
                <w:sz w:val="21"/>
                <w:szCs w:val="21"/>
                <w:color w:val="auto"/>
              </w:rPr>
            </w:pPr>
          </w:p>
        </w:tc>
        <w:tc>
          <w:tcPr>
            <w:tcW w:w="780" w:type="dxa"/>
            <w:vAlign w:val="bottom"/>
          </w:tcPr>
          <w:p>
            <w:pPr>
              <w:jc w:val="right"/>
              <w:ind w:right="75"/>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22.3 %</w:t>
            </w:r>
          </w:p>
        </w:tc>
      </w:tr>
      <w:tr>
        <w:trPr>
          <w:trHeight w:val="27"/>
        </w:trPr>
        <w:tc>
          <w:tcPr>
            <w:tcW w:w="39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88"/>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78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421</w:t>
            </w:r>
          </w:p>
        </w:tc>
        <w:tc>
          <w:tcPr>
            <w:tcW w:w="10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1,129</w:t>
            </w:r>
          </w:p>
        </w:tc>
        <w:tc>
          <w:tcPr>
            <w:tcW w:w="12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1,387</w:t>
            </w:r>
          </w:p>
        </w:tc>
        <w:tc>
          <w:tcPr>
            <w:tcW w:w="10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2,224</w:t>
            </w:r>
          </w:p>
        </w:tc>
        <w:tc>
          <w:tcPr>
            <w:tcW w:w="10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162"/>
        <w:spacing w:after="0" w:line="290" w:lineRule="auto"/>
        <w:rPr>
          <w:sz w:val="20"/>
          <w:szCs w:val="20"/>
          <w:color w:val="auto"/>
        </w:rPr>
      </w:pPr>
      <w:r>
        <w:rPr>
          <w:rFonts w:ascii="Arial" w:cs="Arial" w:eastAsia="Arial" w:hAnsi="Arial"/>
          <w:sz w:val="16"/>
          <w:szCs w:val="16"/>
          <w:color w:val="auto"/>
        </w:rPr>
        <w:t>Total vehicle sales data represents: (1) retail sales (i.e., sales to consumers who purchase new vehicles from dealers or distributors); (2) fleet sales, such as sales to large and small businesses, governments, and daily rental car companies; and (3) vehicles used by dealers in their businesses, including courtesy transportation vehicles. Total vehicle sales data includes all sales by joint ventures on a total vehicle basis, not based on our percentage ownership interest in the joint venture. Certain joint venture agreements in China allow for the contractual right to report vehicle sales of non-GM trademarked vehicles by those joint ventures, which are included in the total vehicle sales we report for China. While total vehicle sales data does not correlate directly to the revenue we recognize during a particular period, we believe it is indicative of the underlying demand for our vehicles. Total vehicle sales data represents management's good faith estimate based on sales reported by GM's dealers, distributors, and joint ventures, commercially available data sources such as registration and insurance data, and internal estimates and forecasts when other data is not available.</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following table summarizes industry and GM total vehicle sales and our related competitive position by geographic region (vehicles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92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8"/>
              </w:rPr>
              <w:t>Three Months Ended</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4"/>
          </w:tcPr>
          <w:p>
            <w:pPr>
              <w:jc w:val="right"/>
              <w:ind w:right="88"/>
              <w:spacing w:after="0"/>
              <w:rPr>
                <w:sz w:val="20"/>
                <w:szCs w:val="20"/>
                <w:color w:val="auto"/>
              </w:rPr>
            </w:pPr>
            <w:r>
              <w:rPr>
                <w:rFonts w:ascii="Arial" w:cs="Arial" w:eastAsia="Arial" w:hAnsi="Arial"/>
                <w:sz w:val="14"/>
                <w:szCs w:val="14"/>
                <w:b w:val="1"/>
                <w:bCs w:val="1"/>
                <w:color w:val="auto"/>
              </w:rPr>
              <w:t>Six Months Ended</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192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5"/>
          </w:tcPr>
          <w:p>
            <w:pPr>
              <w:jc w:val="center"/>
              <w:ind w:right="40"/>
              <w:spacing w:after="0"/>
              <w:rPr>
                <w:sz w:val="20"/>
                <w:szCs w:val="20"/>
                <w:color w:val="auto"/>
              </w:rPr>
            </w:pPr>
            <w:r>
              <w:rPr>
                <w:rFonts w:ascii="Arial" w:cs="Arial" w:eastAsia="Arial" w:hAnsi="Arial"/>
                <w:sz w:val="14"/>
                <w:szCs w:val="14"/>
                <w:b w:val="1"/>
                <w:bCs w:val="1"/>
                <w:color w:val="auto"/>
                <w:w w:val="92"/>
              </w:rPr>
              <w:t>June 30, 2020</w:t>
            </w:r>
          </w:p>
        </w:tc>
        <w:tc>
          <w:tcPr>
            <w:tcW w:w="4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4"/>
                <w:szCs w:val="14"/>
                <w:b w:val="1"/>
                <w:bCs w:val="1"/>
                <w:color w:val="auto"/>
                <w:w w:val="92"/>
              </w:rPr>
              <w:t>June 30, 2019</w:t>
            </w:r>
          </w:p>
        </w:tc>
        <w:tc>
          <w:tcPr>
            <w:tcW w:w="5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5"/>
          </w:tcPr>
          <w:p>
            <w:pPr>
              <w:jc w:val="center"/>
              <w:ind w:right="40"/>
              <w:spacing w:after="0"/>
              <w:rPr>
                <w:sz w:val="20"/>
                <w:szCs w:val="20"/>
                <w:color w:val="auto"/>
              </w:rPr>
            </w:pPr>
            <w:r>
              <w:rPr>
                <w:rFonts w:ascii="Arial" w:cs="Arial" w:eastAsia="Arial" w:hAnsi="Arial"/>
                <w:sz w:val="14"/>
                <w:szCs w:val="14"/>
                <w:b w:val="1"/>
                <w:bCs w:val="1"/>
                <w:color w:val="auto"/>
                <w:w w:val="92"/>
              </w:rPr>
              <w:t>June 30, 2020</w:t>
            </w:r>
          </w:p>
        </w:tc>
        <w:tc>
          <w:tcPr>
            <w:tcW w:w="5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4"/>
                <w:szCs w:val="14"/>
                <w:b w:val="1"/>
                <w:bCs w:val="1"/>
                <w:color w:val="auto"/>
                <w:w w:val="90"/>
              </w:rPr>
              <w:t>June 30, 2019</w:t>
            </w:r>
          </w:p>
        </w:tc>
        <w:tc>
          <w:tcPr>
            <w:tcW w:w="5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2"/>
        </w:trPr>
        <w:tc>
          <w:tcPr>
            <w:tcW w:w="192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Industry</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rPr>
              <w:t>GM</w:t>
            </w:r>
          </w:p>
        </w:tc>
        <w:tc>
          <w:tcPr>
            <w:tcW w:w="740" w:type="dxa"/>
            <w:vAlign w:val="bottom"/>
            <w:gridSpan w:val="3"/>
          </w:tcPr>
          <w:p>
            <w:pPr>
              <w:ind w:left="40"/>
              <w:spacing w:after="0" w:line="153" w:lineRule="exact"/>
              <w:rPr>
                <w:sz w:val="20"/>
                <w:szCs w:val="20"/>
                <w:color w:val="auto"/>
              </w:rPr>
            </w:pPr>
            <w:r>
              <w:rPr>
                <w:rFonts w:ascii="Arial" w:cs="Arial" w:eastAsia="Arial" w:hAnsi="Arial"/>
                <w:sz w:val="14"/>
                <w:szCs w:val="14"/>
                <w:b w:val="1"/>
                <w:bCs w:val="1"/>
                <w:color w:val="auto"/>
              </w:rPr>
              <w:t>Market</w:t>
            </w: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Industry</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rPr>
              <w:t>GM</w:t>
            </w:r>
          </w:p>
        </w:tc>
        <w:tc>
          <w:tcPr>
            <w:tcW w:w="760" w:type="dxa"/>
            <w:vAlign w:val="bottom"/>
            <w:gridSpan w:val="3"/>
          </w:tcPr>
          <w:p>
            <w:pPr>
              <w:ind w:left="60"/>
              <w:spacing w:after="0" w:line="153" w:lineRule="exact"/>
              <w:rPr>
                <w:sz w:val="20"/>
                <w:szCs w:val="20"/>
                <w:color w:val="auto"/>
              </w:rPr>
            </w:pPr>
            <w:r>
              <w:rPr>
                <w:rFonts w:ascii="Arial" w:cs="Arial" w:eastAsia="Arial" w:hAnsi="Arial"/>
                <w:sz w:val="14"/>
                <w:szCs w:val="14"/>
                <w:b w:val="1"/>
                <w:bCs w:val="1"/>
                <w:color w:val="auto"/>
              </w:rPr>
              <w:t>Market</w:t>
            </w: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Industry</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rPr>
              <w:t>GM</w:t>
            </w:r>
          </w:p>
        </w:tc>
        <w:tc>
          <w:tcPr>
            <w:tcW w:w="50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Market</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Industry</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rPr>
              <w:t>GM</w:t>
            </w:r>
          </w:p>
        </w:tc>
        <w:tc>
          <w:tcPr>
            <w:tcW w:w="52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Market</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19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3"/>
            <w:vMerge w:val="continue"/>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Share</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3"/>
            <w:vMerge w:val="continue"/>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Share</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3"/>
            <w:vMerge w:val="continue"/>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Share</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3"/>
            <w:vMerge w:val="continue"/>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Share</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920" w:type="dxa"/>
            <w:vAlign w:val="bottom"/>
          </w:tcPr>
          <w:p>
            <w:pPr>
              <w:ind w:left="20"/>
              <w:spacing w:after="0"/>
              <w:rPr>
                <w:sz w:val="20"/>
                <w:szCs w:val="20"/>
                <w:color w:val="auto"/>
              </w:rPr>
            </w:pPr>
            <w:r>
              <w:rPr>
                <w:rFonts w:ascii="Arial" w:cs="Arial" w:eastAsia="Arial" w:hAnsi="Arial"/>
                <w:sz w:val="14"/>
                <w:szCs w:val="14"/>
                <w:b w:val="1"/>
                <w:bCs w:val="1"/>
                <w:color w:val="auto"/>
              </w:rPr>
              <w:t>North America</w:t>
            </w:r>
          </w:p>
        </w:tc>
        <w:tc>
          <w:tcPr>
            <w:tcW w:w="6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1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United States</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3,030</w:t>
            </w:r>
          </w:p>
        </w:tc>
        <w:tc>
          <w:tcPr>
            <w:tcW w:w="720" w:type="dxa"/>
            <w:vAlign w:val="bottom"/>
            <w:gridSpan w:val="3"/>
            <w:shd w:val="clear" w:color="auto" w:fill="CCEEFF"/>
          </w:tcPr>
          <w:p>
            <w:pPr>
              <w:jc w:val="right"/>
              <w:ind w:right="68"/>
              <w:spacing w:after="0"/>
              <w:rPr>
                <w:sz w:val="20"/>
                <w:szCs w:val="20"/>
                <w:color w:val="auto"/>
              </w:rPr>
            </w:pPr>
            <w:r>
              <w:rPr>
                <w:rFonts w:ascii="Arial" w:cs="Arial" w:eastAsia="Arial" w:hAnsi="Arial"/>
                <w:sz w:val="14"/>
                <w:szCs w:val="14"/>
                <w:color w:val="auto"/>
              </w:rPr>
              <w:t>492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4,560</w:t>
            </w:r>
          </w:p>
        </w:tc>
        <w:tc>
          <w:tcPr>
            <w:tcW w:w="720" w:type="dxa"/>
            <w:vAlign w:val="bottom"/>
            <w:gridSpan w:val="3"/>
            <w:shd w:val="clear" w:color="auto" w:fill="CCEEFF"/>
          </w:tcPr>
          <w:p>
            <w:pPr>
              <w:jc w:val="right"/>
              <w:ind w:right="68"/>
              <w:spacing w:after="0"/>
              <w:rPr>
                <w:sz w:val="20"/>
                <w:szCs w:val="20"/>
                <w:color w:val="auto"/>
              </w:rPr>
            </w:pPr>
            <w:r>
              <w:rPr>
                <w:rFonts w:ascii="Arial" w:cs="Arial" w:eastAsia="Arial" w:hAnsi="Arial"/>
                <w:sz w:val="14"/>
                <w:szCs w:val="14"/>
                <w:color w:val="auto"/>
              </w:rPr>
              <w:t>747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6,611</w:t>
            </w:r>
          </w:p>
        </w:tc>
        <w:tc>
          <w:tcPr>
            <w:tcW w:w="720" w:type="dxa"/>
            <w:vAlign w:val="bottom"/>
            <w:gridSpan w:val="3"/>
            <w:shd w:val="clear" w:color="auto" w:fill="CCEEFF"/>
          </w:tcPr>
          <w:p>
            <w:pPr>
              <w:jc w:val="right"/>
              <w:ind w:right="88"/>
              <w:spacing w:after="0"/>
              <w:rPr>
                <w:sz w:val="20"/>
                <w:szCs w:val="20"/>
                <w:color w:val="auto"/>
              </w:rPr>
            </w:pPr>
            <w:r>
              <w:rPr>
                <w:rFonts w:ascii="Arial" w:cs="Arial" w:eastAsia="Arial" w:hAnsi="Arial"/>
                <w:sz w:val="14"/>
                <w:szCs w:val="14"/>
                <w:color w:val="auto"/>
              </w:rPr>
              <w:t>1,111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8,667</w:t>
            </w:r>
          </w:p>
        </w:tc>
        <w:tc>
          <w:tcPr>
            <w:tcW w:w="720" w:type="dxa"/>
            <w:vAlign w:val="bottom"/>
            <w:gridSpan w:val="3"/>
            <w:shd w:val="clear" w:color="auto" w:fill="CCEEFF"/>
          </w:tcPr>
          <w:p>
            <w:pPr>
              <w:jc w:val="right"/>
              <w:ind w:right="68"/>
              <w:spacing w:after="0"/>
              <w:rPr>
                <w:sz w:val="20"/>
                <w:szCs w:val="20"/>
                <w:color w:val="auto"/>
              </w:rPr>
            </w:pPr>
            <w:r>
              <w:rPr>
                <w:rFonts w:ascii="Arial" w:cs="Arial" w:eastAsia="Arial" w:hAnsi="Arial"/>
                <w:sz w:val="14"/>
                <w:szCs w:val="14"/>
                <w:color w:val="auto"/>
              </w:rPr>
              <w:t>1,412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97"/>
        </w:trPr>
        <w:tc>
          <w:tcPr>
            <w:tcW w:w="19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492</w:t>
            </w: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73</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14.7</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977</w:t>
            </w: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129</w:t>
            </w: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5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13.2</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1,198</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173</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14.5</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w w:val="79"/>
              </w:rPr>
              <w:t>%</w:t>
            </w:r>
          </w:p>
        </w:tc>
        <w:tc>
          <w:tcPr>
            <w:tcW w:w="12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1,816</w:t>
            </w: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239</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13.1</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202"/>
        </w:trPr>
        <w:tc>
          <w:tcPr>
            <w:tcW w:w="1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North America</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3,522</w:t>
            </w:r>
          </w:p>
        </w:tc>
        <w:tc>
          <w:tcPr>
            <w:tcW w:w="720" w:type="dxa"/>
            <w:vAlign w:val="bottom"/>
            <w:gridSpan w:val="3"/>
            <w:shd w:val="clear" w:color="auto" w:fill="CCEEFF"/>
          </w:tcPr>
          <w:p>
            <w:pPr>
              <w:jc w:val="right"/>
              <w:ind w:right="68"/>
              <w:spacing w:after="0"/>
              <w:rPr>
                <w:sz w:val="20"/>
                <w:szCs w:val="20"/>
                <w:color w:val="auto"/>
              </w:rPr>
            </w:pPr>
            <w:r>
              <w:rPr>
                <w:rFonts w:ascii="Arial" w:cs="Arial" w:eastAsia="Arial" w:hAnsi="Arial"/>
                <w:sz w:val="14"/>
                <w:szCs w:val="14"/>
                <w:color w:val="auto"/>
              </w:rPr>
              <w:t>565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5,537</w:t>
            </w:r>
          </w:p>
        </w:tc>
        <w:tc>
          <w:tcPr>
            <w:tcW w:w="720" w:type="dxa"/>
            <w:vAlign w:val="bottom"/>
            <w:gridSpan w:val="3"/>
            <w:shd w:val="clear" w:color="auto" w:fill="CCEEFF"/>
          </w:tcPr>
          <w:p>
            <w:pPr>
              <w:jc w:val="right"/>
              <w:ind w:right="68"/>
              <w:spacing w:after="0"/>
              <w:rPr>
                <w:sz w:val="20"/>
                <w:szCs w:val="20"/>
                <w:color w:val="auto"/>
              </w:rPr>
            </w:pPr>
            <w:r>
              <w:rPr>
                <w:rFonts w:ascii="Arial" w:cs="Arial" w:eastAsia="Arial" w:hAnsi="Arial"/>
                <w:sz w:val="14"/>
                <w:szCs w:val="14"/>
                <w:color w:val="auto"/>
              </w:rPr>
              <w:t>876</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7,809</w:t>
            </w:r>
          </w:p>
        </w:tc>
        <w:tc>
          <w:tcPr>
            <w:tcW w:w="720" w:type="dxa"/>
            <w:vAlign w:val="bottom"/>
            <w:gridSpan w:val="3"/>
            <w:shd w:val="clear" w:color="auto" w:fill="CCEEFF"/>
          </w:tcPr>
          <w:p>
            <w:pPr>
              <w:jc w:val="right"/>
              <w:ind w:right="88"/>
              <w:spacing w:after="0"/>
              <w:rPr>
                <w:sz w:val="20"/>
                <w:szCs w:val="20"/>
                <w:color w:val="auto"/>
              </w:rPr>
            </w:pPr>
            <w:r>
              <w:rPr>
                <w:rFonts w:ascii="Arial" w:cs="Arial" w:eastAsia="Arial" w:hAnsi="Arial"/>
                <w:sz w:val="14"/>
                <w:szCs w:val="14"/>
                <w:color w:val="auto"/>
              </w:rPr>
              <w:t>1,284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10,483</w:t>
            </w:r>
          </w:p>
        </w:tc>
        <w:tc>
          <w:tcPr>
            <w:tcW w:w="720" w:type="dxa"/>
            <w:vAlign w:val="bottom"/>
            <w:gridSpan w:val="3"/>
            <w:shd w:val="clear" w:color="auto" w:fill="CCEEFF"/>
          </w:tcPr>
          <w:p>
            <w:pPr>
              <w:jc w:val="right"/>
              <w:ind w:right="68"/>
              <w:spacing w:after="0"/>
              <w:rPr>
                <w:sz w:val="20"/>
                <w:szCs w:val="20"/>
                <w:color w:val="auto"/>
              </w:rPr>
            </w:pPr>
            <w:r>
              <w:rPr>
                <w:rFonts w:ascii="Arial" w:cs="Arial" w:eastAsia="Arial" w:hAnsi="Arial"/>
                <w:sz w:val="14"/>
                <w:szCs w:val="14"/>
                <w:color w:val="auto"/>
              </w:rPr>
              <w:t>1,651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15"/>
        </w:trPr>
        <w:tc>
          <w:tcPr>
            <w:tcW w:w="1920" w:type="dxa"/>
            <w:vAlign w:val="bottom"/>
          </w:tcPr>
          <w:p>
            <w:pPr>
              <w:ind w:left="20"/>
              <w:spacing w:after="0" w:line="115" w:lineRule="exact"/>
              <w:rPr>
                <w:sz w:val="20"/>
                <w:szCs w:val="20"/>
                <w:color w:val="auto"/>
              </w:rPr>
            </w:pPr>
            <w:r>
              <w:rPr>
                <w:rFonts w:ascii="Arial" w:cs="Arial" w:eastAsia="Arial" w:hAnsi="Arial"/>
                <w:sz w:val="13"/>
                <w:szCs w:val="13"/>
                <w:b w:val="1"/>
                <w:bCs w:val="1"/>
                <w:color w:val="auto"/>
              </w:rPr>
              <w:t>Asia/Pacific, Middle East and</w:t>
            </w:r>
          </w:p>
        </w:tc>
        <w:tc>
          <w:tcPr>
            <w:tcW w:w="6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1920" w:type="dxa"/>
            <w:vAlign w:val="bottom"/>
          </w:tcPr>
          <w:p>
            <w:pPr>
              <w:ind w:left="180"/>
              <w:spacing w:after="0"/>
              <w:rPr>
                <w:sz w:val="20"/>
                <w:szCs w:val="20"/>
                <w:color w:val="auto"/>
              </w:rPr>
            </w:pPr>
            <w:r>
              <w:rPr>
                <w:rFonts w:ascii="Arial" w:cs="Arial" w:eastAsia="Arial" w:hAnsi="Arial"/>
                <w:sz w:val="14"/>
                <w:szCs w:val="14"/>
                <w:b w:val="1"/>
                <w:bCs w:val="1"/>
                <w:color w:val="auto"/>
              </w:rPr>
              <w:t>Africa</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China(a)</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6,280</w:t>
            </w:r>
          </w:p>
        </w:tc>
        <w:tc>
          <w:tcPr>
            <w:tcW w:w="720" w:type="dxa"/>
            <w:vAlign w:val="bottom"/>
            <w:gridSpan w:val="3"/>
            <w:shd w:val="clear" w:color="auto" w:fill="CCEEFF"/>
          </w:tcPr>
          <w:p>
            <w:pPr>
              <w:jc w:val="right"/>
              <w:ind w:right="68"/>
              <w:spacing w:after="0"/>
              <w:rPr>
                <w:sz w:val="20"/>
                <w:szCs w:val="20"/>
                <w:color w:val="auto"/>
              </w:rPr>
            </w:pPr>
            <w:r>
              <w:rPr>
                <w:rFonts w:ascii="Arial" w:cs="Arial" w:eastAsia="Arial" w:hAnsi="Arial"/>
                <w:sz w:val="14"/>
                <w:szCs w:val="14"/>
                <w:color w:val="auto"/>
              </w:rPr>
              <w:t>714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6,464</w:t>
            </w:r>
          </w:p>
        </w:tc>
        <w:tc>
          <w:tcPr>
            <w:tcW w:w="720" w:type="dxa"/>
            <w:vAlign w:val="bottom"/>
            <w:gridSpan w:val="3"/>
            <w:shd w:val="clear" w:color="auto" w:fill="CCEEFF"/>
          </w:tcPr>
          <w:p>
            <w:pPr>
              <w:jc w:val="right"/>
              <w:ind w:right="68"/>
              <w:spacing w:after="0"/>
              <w:rPr>
                <w:sz w:val="20"/>
                <w:szCs w:val="20"/>
                <w:color w:val="auto"/>
              </w:rPr>
            </w:pPr>
            <w:r>
              <w:rPr>
                <w:rFonts w:ascii="Arial" w:cs="Arial" w:eastAsia="Arial" w:hAnsi="Arial"/>
                <w:sz w:val="14"/>
                <w:szCs w:val="14"/>
                <w:color w:val="auto"/>
              </w:rPr>
              <w:t>754</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10,226</w:t>
            </w:r>
          </w:p>
        </w:tc>
        <w:tc>
          <w:tcPr>
            <w:tcW w:w="720" w:type="dxa"/>
            <w:vAlign w:val="bottom"/>
            <w:gridSpan w:val="3"/>
            <w:shd w:val="clear" w:color="auto" w:fill="CCEEFF"/>
          </w:tcPr>
          <w:p>
            <w:pPr>
              <w:jc w:val="right"/>
              <w:ind w:right="88"/>
              <w:spacing w:after="0"/>
              <w:rPr>
                <w:sz w:val="20"/>
                <w:szCs w:val="20"/>
                <w:color w:val="auto"/>
              </w:rPr>
            </w:pPr>
            <w:r>
              <w:rPr>
                <w:rFonts w:ascii="Arial" w:cs="Arial" w:eastAsia="Arial" w:hAnsi="Arial"/>
                <w:sz w:val="14"/>
                <w:szCs w:val="14"/>
                <w:color w:val="auto"/>
              </w:rPr>
              <w:t>1,175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12,678</w:t>
            </w:r>
          </w:p>
        </w:tc>
        <w:tc>
          <w:tcPr>
            <w:tcW w:w="720" w:type="dxa"/>
            <w:vAlign w:val="bottom"/>
            <w:gridSpan w:val="3"/>
            <w:shd w:val="clear" w:color="auto" w:fill="CCEEFF"/>
          </w:tcPr>
          <w:p>
            <w:pPr>
              <w:jc w:val="right"/>
              <w:ind w:right="68"/>
              <w:spacing w:after="0"/>
              <w:rPr>
                <w:sz w:val="20"/>
                <w:szCs w:val="20"/>
                <w:color w:val="auto"/>
              </w:rPr>
            </w:pPr>
            <w:r>
              <w:rPr>
                <w:rFonts w:ascii="Arial" w:cs="Arial" w:eastAsia="Arial" w:hAnsi="Arial"/>
                <w:sz w:val="14"/>
                <w:szCs w:val="14"/>
                <w:color w:val="auto"/>
              </w:rPr>
              <w:t>1,568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97"/>
        </w:trPr>
        <w:tc>
          <w:tcPr>
            <w:tcW w:w="19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3,299</w:t>
            </w: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130</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4.0</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5,245</w:t>
            </w: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145</w:t>
            </w: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5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2.8</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8,208</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275</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3.3</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w w:val="79"/>
              </w:rPr>
              <w:t>%</w:t>
            </w:r>
          </w:p>
        </w:tc>
        <w:tc>
          <w:tcPr>
            <w:tcW w:w="12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10,886</w:t>
            </w: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277</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2.6</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1"/>
        </w:trPr>
        <w:tc>
          <w:tcPr>
            <w:tcW w:w="1920" w:type="dxa"/>
            <w:vAlign w:val="bottom"/>
            <w:shd w:val="clear" w:color="auto" w:fill="CCEEFF"/>
          </w:tcPr>
          <w:p>
            <w:pPr>
              <w:ind w:left="20"/>
              <w:spacing w:after="0" w:line="121" w:lineRule="exact"/>
              <w:rPr>
                <w:sz w:val="20"/>
                <w:szCs w:val="20"/>
                <w:color w:val="auto"/>
              </w:rPr>
            </w:pPr>
            <w:r>
              <w:rPr>
                <w:rFonts w:ascii="Arial" w:cs="Arial" w:eastAsia="Arial" w:hAnsi="Arial"/>
                <w:sz w:val="14"/>
                <w:szCs w:val="14"/>
                <w:color w:val="auto"/>
                <w:w w:val="99"/>
              </w:rPr>
              <w:t>Total Asia/Pacific, Middle East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9,579</w:t>
            </w:r>
          </w:p>
        </w:tc>
        <w:tc>
          <w:tcPr>
            <w:tcW w:w="720" w:type="dxa"/>
            <w:vAlign w:val="bottom"/>
            <w:gridSpan w:val="3"/>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844</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11,709</w:t>
            </w:r>
          </w:p>
        </w:tc>
        <w:tc>
          <w:tcPr>
            <w:tcW w:w="720" w:type="dxa"/>
            <w:vAlign w:val="bottom"/>
            <w:gridSpan w:val="3"/>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899</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18,434</w:t>
            </w:r>
          </w:p>
        </w:tc>
        <w:tc>
          <w:tcPr>
            <w:tcW w:w="720" w:type="dxa"/>
            <w:vAlign w:val="bottom"/>
            <w:gridSpan w:val="3"/>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1,450</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12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23,564</w:t>
            </w:r>
          </w:p>
        </w:tc>
        <w:tc>
          <w:tcPr>
            <w:tcW w:w="720" w:type="dxa"/>
            <w:vAlign w:val="bottom"/>
            <w:gridSpan w:val="3"/>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1,845</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89"/>
        </w:trPr>
        <w:tc>
          <w:tcPr>
            <w:tcW w:w="19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and Africa</w:t>
            </w:r>
          </w:p>
        </w:tc>
        <w:tc>
          <w:tcPr>
            <w:tcW w:w="660" w:type="dxa"/>
            <w:vAlign w:val="bottom"/>
            <w:vMerge w:val="continue"/>
            <w:shd w:val="clear" w:color="auto" w:fill="CCEEFF"/>
          </w:tcPr>
          <w:p>
            <w:pPr>
              <w:spacing w:after="0"/>
              <w:rPr>
                <w:sz w:val="16"/>
                <w:szCs w:val="16"/>
                <w:color w:val="auto"/>
              </w:rPr>
            </w:pPr>
          </w:p>
        </w:tc>
        <w:tc>
          <w:tcPr>
            <w:tcW w:w="720" w:type="dxa"/>
            <w:vAlign w:val="bottom"/>
            <w:gridSpan w:val="3"/>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vMerge w:val="continue"/>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720" w:type="dxa"/>
            <w:vAlign w:val="bottom"/>
            <w:gridSpan w:val="3"/>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vMerge w:val="continue"/>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720" w:type="dxa"/>
            <w:vAlign w:val="bottom"/>
            <w:gridSpan w:val="3"/>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vMerge w:val="continue"/>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720" w:type="dxa"/>
            <w:vAlign w:val="bottom"/>
            <w:gridSpan w:val="3"/>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1920" w:type="dxa"/>
            <w:vAlign w:val="bottom"/>
          </w:tcPr>
          <w:p>
            <w:pPr>
              <w:ind w:left="20"/>
              <w:spacing w:after="0"/>
              <w:rPr>
                <w:sz w:val="20"/>
                <w:szCs w:val="20"/>
                <w:color w:val="auto"/>
              </w:rPr>
            </w:pPr>
            <w:r>
              <w:rPr>
                <w:rFonts w:ascii="Arial" w:cs="Arial" w:eastAsia="Arial" w:hAnsi="Arial"/>
                <w:sz w:val="14"/>
                <w:szCs w:val="14"/>
                <w:b w:val="1"/>
                <w:bCs w:val="1"/>
                <w:color w:val="auto"/>
              </w:rPr>
              <w:t>South America</w:t>
            </w:r>
          </w:p>
        </w:tc>
        <w:tc>
          <w:tcPr>
            <w:tcW w:w="6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1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Brazil</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w:t>
            </w:r>
          </w:p>
        </w:tc>
        <w:tc>
          <w:tcPr>
            <w:tcW w:w="720" w:type="dxa"/>
            <w:vAlign w:val="bottom"/>
            <w:gridSpan w:val="3"/>
            <w:shd w:val="clear" w:color="auto" w:fill="CCEEFF"/>
          </w:tcPr>
          <w:p>
            <w:pPr>
              <w:jc w:val="right"/>
              <w:ind w:right="68"/>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700</w:t>
            </w:r>
          </w:p>
        </w:tc>
        <w:tc>
          <w:tcPr>
            <w:tcW w:w="720" w:type="dxa"/>
            <w:vAlign w:val="bottom"/>
            <w:gridSpan w:val="3"/>
            <w:shd w:val="clear" w:color="auto" w:fill="CCEEFF"/>
          </w:tcPr>
          <w:p>
            <w:pPr>
              <w:jc w:val="right"/>
              <w:ind w:right="68"/>
              <w:spacing w:after="0"/>
              <w:rPr>
                <w:sz w:val="20"/>
                <w:szCs w:val="20"/>
                <w:color w:val="auto"/>
              </w:rPr>
            </w:pPr>
            <w:r>
              <w:rPr>
                <w:rFonts w:ascii="Arial" w:cs="Arial" w:eastAsia="Arial" w:hAnsi="Arial"/>
                <w:sz w:val="14"/>
                <w:szCs w:val="14"/>
                <w:color w:val="auto"/>
              </w:rPr>
              <w:t>116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809</w:t>
            </w:r>
          </w:p>
        </w:tc>
        <w:tc>
          <w:tcPr>
            <w:tcW w:w="720" w:type="dxa"/>
            <w:vAlign w:val="bottom"/>
            <w:gridSpan w:val="3"/>
            <w:shd w:val="clear" w:color="auto" w:fill="CCEEFF"/>
          </w:tcPr>
          <w:p>
            <w:pPr>
              <w:jc w:val="right"/>
              <w:ind w:right="88"/>
              <w:spacing w:after="0"/>
              <w:rPr>
                <w:sz w:val="20"/>
                <w:szCs w:val="20"/>
                <w:color w:val="auto"/>
              </w:rPr>
            </w:pPr>
            <w:r>
              <w:rPr>
                <w:rFonts w:ascii="Arial" w:cs="Arial" w:eastAsia="Arial" w:hAnsi="Arial"/>
                <w:sz w:val="14"/>
                <w:szCs w:val="14"/>
                <w:color w:val="auto"/>
              </w:rPr>
              <w:t>134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1,308</w:t>
            </w:r>
          </w:p>
        </w:tc>
        <w:tc>
          <w:tcPr>
            <w:tcW w:w="720" w:type="dxa"/>
            <w:vAlign w:val="bottom"/>
            <w:gridSpan w:val="3"/>
            <w:shd w:val="clear" w:color="auto" w:fill="CCEEFF"/>
          </w:tcPr>
          <w:p>
            <w:pPr>
              <w:jc w:val="right"/>
              <w:ind w:right="68"/>
              <w:spacing w:after="0"/>
              <w:rPr>
                <w:sz w:val="20"/>
                <w:szCs w:val="20"/>
                <w:color w:val="auto"/>
              </w:rPr>
            </w:pPr>
            <w:r>
              <w:rPr>
                <w:rFonts w:ascii="Arial" w:cs="Arial" w:eastAsia="Arial" w:hAnsi="Arial"/>
                <w:sz w:val="14"/>
                <w:szCs w:val="14"/>
                <w:color w:val="auto"/>
              </w:rPr>
              <w:t>222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97"/>
        </w:trPr>
        <w:tc>
          <w:tcPr>
            <w:tcW w:w="19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w:t>
            </w: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17</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12.4</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374</w:t>
            </w: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46</w:t>
            </w: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5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12.4</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445</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55</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12.3</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w w:val="79"/>
              </w:rPr>
              <w:t>%</w:t>
            </w:r>
          </w:p>
        </w:tc>
        <w:tc>
          <w:tcPr>
            <w:tcW w:w="12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769</w:t>
            </w: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96</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12.4</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202"/>
        </w:trPr>
        <w:tc>
          <w:tcPr>
            <w:tcW w:w="1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South America</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389</w:t>
            </w:r>
          </w:p>
        </w:tc>
        <w:tc>
          <w:tcPr>
            <w:tcW w:w="8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1,074</w:t>
            </w:r>
          </w:p>
        </w:tc>
        <w:tc>
          <w:tcPr>
            <w:tcW w:w="8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162</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1,254</w:t>
            </w:r>
          </w:p>
        </w:tc>
        <w:tc>
          <w:tcPr>
            <w:tcW w:w="8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189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12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2,077</w:t>
            </w:r>
          </w:p>
        </w:tc>
        <w:tc>
          <w:tcPr>
            <w:tcW w:w="8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318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90"/>
        </w:trPr>
        <w:tc>
          <w:tcPr>
            <w:tcW w:w="1920" w:type="dxa"/>
            <w:vAlign w:val="bottom"/>
          </w:tcPr>
          <w:p>
            <w:pPr>
              <w:ind w:left="20"/>
              <w:spacing w:after="0"/>
              <w:rPr>
                <w:sz w:val="20"/>
                <w:szCs w:val="20"/>
                <w:color w:val="auto"/>
              </w:rPr>
            </w:pPr>
            <w:r>
              <w:rPr>
                <w:rFonts w:ascii="Arial" w:cs="Arial" w:eastAsia="Arial" w:hAnsi="Arial"/>
                <w:sz w:val="14"/>
                <w:szCs w:val="14"/>
                <w:b w:val="1"/>
                <w:bCs w:val="1"/>
                <w:color w:val="auto"/>
              </w:rPr>
              <w:t>Total in GM markets</w:t>
            </w:r>
          </w:p>
        </w:tc>
        <w:tc>
          <w:tcPr>
            <w:tcW w:w="660" w:type="dxa"/>
            <w:vAlign w:val="bottom"/>
          </w:tcPr>
          <w:p>
            <w:pPr>
              <w:jc w:val="right"/>
              <w:spacing w:after="0"/>
              <w:rPr>
                <w:sz w:val="20"/>
                <w:szCs w:val="20"/>
                <w:color w:val="auto"/>
              </w:rPr>
            </w:pPr>
            <w:r>
              <w:rPr>
                <w:rFonts w:ascii="Arial" w:cs="Arial" w:eastAsia="Arial" w:hAnsi="Arial"/>
                <w:sz w:val="14"/>
                <w:szCs w:val="14"/>
                <w:color w:val="auto"/>
              </w:rPr>
              <w:t>13,490</w:t>
            </w:r>
          </w:p>
        </w:tc>
        <w:tc>
          <w:tcPr>
            <w:tcW w:w="720" w:type="dxa"/>
            <w:vAlign w:val="bottom"/>
            <w:gridSpan w:val="3"/>
          </w:tcPr>
          <w:p>
            <w:pPr>
              <w:jc w:val="right"/>
              <w:ind w:right="68"/>
              <w:spacing w:after="0"/>
              <w:rPr>
                <w:sz w:val="20"/>
                <w:szCs w:val="20"/>
                <w:color w:val="auto"/>
              </w:rPr>
            </w:pPr>
            <w:r>
              <w:rPr>
                <w:rFonts w:ascii="Arial" w:cs="Arial" w:eastAsia="Arial" w:hAnsi="Arial"/>
                <w:sz w:val="14"/>
                <w:szCs w:val="14"/>
                <w:color w:val="auto"/>
              </w:rPr>
              <w:t>1,466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10.9</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18,320</w:t>
            </w:r>
          </w:p>
        </w:tc>
        <w:tc>
          <w:tcPr>
            <w:tcW w:w="720" w:type="dxa"/>
            <w:vAlign w:val="bottom"/>
            <w:gridSpan w:val="3"/>
          </w:tcPr>
          <w:p>
            <w:pPr>
              <w:jc w:val="right"/>
              <w:ind w:right="68"/>
              <w:spacing w:after="0"/>
              <w:rPr>
                <w:sz w:val="20"/>
                <w:szCs w:val="20"/>
                <w:color w:val="auto"/>
              </w:rPr>
            </w:pPr>
            <w:r>
              <w:rPr>
                <w:rFonts w:ascii="Arial" w:cs="Arial" w:eastAsia="Arial" w:hAnsi="Arial"/>
                <w:sz w:val="14"/>
                <w:szCs w:val="14"/>
                <w:color w:val="auto"/>
              </w:rPr>
              <w:t>1,937</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10.6</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27,497</w:t>
            </w:r>
          </w:p>
        </w:tc>
        <w:tc>
          <w:tcPr>
            <w:tcW w:w="720" w:type="dxa"/>
            <w:vAlign w:val="bottom"/>
            <w:gridSpan w:val="3"/>
          </w:tcPr>
          <w:p>
            <w:pPr>
              <w:jc w:val="right"/>
              <w:ind w:right="88"/>
              <w:spacing w:after="0"/>
              <w:rPr>
                <w:sz w:val="20"/>
                <w:szCs w:val="20"/>
                <w:color w:val="auto"/>
              </w:rPr>
            </w:pPr>
            <w:r>
              <w:rPr>
                <w:rFonts w:ascii="Arial" w:cs="Arial" w:eastAsia="Arial" w:hAnsi="Arial"/>
                <w:sz w:val="14"/>
                <w:szCs w:val="14"/>
                <w:color w:val="auto"/>
              </w:rPr>
              <w:t>2,923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10.6</w:t>
            </w:r>
          </w:p>
        </w:tc>
        <w:tc>
          <w:tcPr>
            <w:tcW w:w="140" w:type="dxa"/>
            <w:vAlign w:val="bottom"/>
          </w:tcPr>
          <w:p>
            <w:pPr>
              <w:jc w:val="right"/>
              <w:spacing w:after="0"/>
              <w:rPr>
                <w:sz w:val="20"/>
                <w:szCs w:val="20"/>
                <w:color w:val="auto"/>
              </w:rPr>
            </w:pPr>
            <w:r>
              <w:rPr>
                <w:rFonts w:ascii="Arial" w:cs="Arial" w:eastAsia="Arial" w:hAnsi="Arial"/>
                <w:sz w:val="14"/>
                <w:szCs w:val="14"/>
                <w:color w:val="auto"/>
                <w:w w:val="79"/>
              </w:rPr>
              <w:t>%</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36,124</w:t>
            </w:r>
          </w:p>
        </w:tc>
        <w:tc>
          <w:tcPr>
            <w:tcW w:w="720" w:type="dxa"/>
            <w:vAlign w:val="bottom"/>
            <w:gridSpan w:val="3"/>
          </w:tcPr>
          <w:p>
            <w:pPr>
              <w:jc w:val="right"/>
              <w:ind w:right="68"/>
              <w:spacing w:after="0"/>
              <w:rPr>
                <w:sz w:val="20"/>
                <w:szCs w:val="20"/>
                <w:color w:val="auto"/>
              </w:rPr>
            </w:pPr>
            <w:r>
              <w:rPr>
                <w:rFonts w:ascii="Arial" w:cs="Arial" w:eastAsia="Arial" w:hAnsi="Arial"/>
                <w:sz w:val="14"/>
                <w:szCs w:val="14"/>
                <w:color w:val="auto"/>
              </w:rPr>
              <w:t>3,814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10.6</w:t>
            </w:r>
          </w:p>
        </w:tc>
        <w:tc>
          <w:tcPr>
            <w:tcW w:w="140" w:type="dxa"/>
            <w:vAlign w:val="bottom"/>
          </w:tcPr>
          <w:p>
            <w:pPr>
              <w:jc w:val="right"/>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209"/>
        </w:trPr>
        <w:tc>
          <w:tcPr>
            <w:tcW w:w="1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Europe</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2,479</w:t>
            </w: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spacing w:after="0"/>
              <w:rPr>
                <w:sz w:val="18"/>
                <w:szCs w:val="18"/>
                <w:color w:val="auto"/>
              </w:rPr>
            </w:pP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 %</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5,145</w:t>
            </w: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 %</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6,193</w:t>
            </w: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spacing w:after="0"/>
              <w:rPr>
                <w:sz w:val="18"/>
                <w:szCs w:val="18"/>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 %</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10,081</w:t>
            </w: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96"/>
        </w:trPr>
        <w:tc>
          <w:tcPr>
            <w:tcW w:w="1920" w:type="dxa"/>
            <w:vAlign w:val="bottom"/>
          </w:tcPr>
          <w:p>
            <w:pPr>
              <w:ind w:left="20"/>
              <w:spacing w:after="0"/>
              <w:rPr>
                <w:sz w:val="20"/>
                <w:szCs w:val="20"/>
                <w:color w:val="auto"/>
              </w:rPr>
            </w:pPr>
            <w:r>
              <w:rPr>
                <w:rFonts w:ascii="Arial" w:cs="Arial" w:eastAsia="Arial" w:hAnsi="Arial"/>
                <w:sz w:val="14"/>
                <w:szCs w:val="14"/>
                <w:b w:val="1"/>
                <w:bCs w:val="1"/>
                <w:color w:val="auto"/>
              </w:rPr>
              <w:t>Total Worldwide(b)</w:t>
            </w:r>
          </w:p>
        </w:tc>
        <w:tc>
          <w:tcPr>
            <w:tcW w:w="660" w:type="dxa"/>
            <w:vAlign w:val="bottom"/>
          </w:tcPr>
          <w:p>
            <w:pPr>
              <w:jc w:val="right"/>
              <w:spacing w:after="0"/>
              <w:rPr>
                <w:sz w:val="20"/>
                <w:szCs w:val="20"/>
                <w:color w:val="auto"/>
              </w:rPr>
            </w:pPr>
            <w:r>
              <w:rPr>
                <w:rFonts w:ascii="Arial" w:cs="Arial" w:eastAsia="Arial" w:hAnsi="Arial"/>
                <w:sz w:val="14"/>
                <w:szCs w:val="14"/>
                <w:color w:val="auto"/>
              </w:rPr>
              <w:t>15,969</w:t>
            </w:r>
          </w:p>
        </w:tc>
        <w:tc>
          <w:tcPr>
            <w:tcW w:w="720" w:type="dxa"/>
            <w:vAlign w:val="bottom"/>
            <w:gridSpan w:val="3"/>
          </w:tcPr>
          <w:p>
            <w:pPr>
              <w:jc w:val="right"/>
              <w:ind w:right="68"/>
              <w:spacing w:after="0"/>
              <w:rPr>
                <w:sz w:val="20"/>
                <w:szCs w:val="20"/>
                <w:color w:val="auto"/>
              </w:rPr>
            </w:pPr>
            <w:r>
              <w:rPr>
                <w:rFonts w:ascii="Arial" w:cs="Arial" w:eastAsia="Arial" w:hAnsi="Arial"/>
                <w:sz w:val="14"/>
                <w:szCs w:val="14"/>
                <w:color w:val="auto"/>
              </w:rPr>
              <w:t>1,466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9.2</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23,465</w:t>
            </w:r>
          </w:p>
        </w:tc>
        <w:tc>
          <w:tcPr>
            <w:tcW w:w="720" w:type="dxa"/>
            <w:vAlign w:val="bottom"/>
            <w:gridSpan w:val="3"/>
          </w:tcPr>
          <w:p>
            <w:pPr>
              <w:jc w:val="right"/>
              <w:ind w:right="68"/>
              <w:spacing w:after="0"/>
              <w:rPr>
                <w:sz w:val="20"/>
                <w:szCs w:val="20"/>
                <w:color w:val="auto"/>
              </w:rPr>
            </w:pPr>
            <w:r>
              <w:rPr>
                <w:rFonts w:ascii="Arial" w:cs="Arial" w:eastAsia="Arial" w:hAnsi="Arial"/>
                <w:sz w:val="14"/>
                <w:szCs w:val="14"/>
                <w:color w:val="auto"/>
              </w:rPr>
              <w:t>1,938</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8.3</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33,690</w:t>
            </w:r>
          </w:p>
        </w:tc>
        <w:tc>
          <w:tcPr>
            <w:tcW w:w="720" w:type="dxa"/>
            <w:vAlign w:val="bottom"/>
            <w:gridSpan w:val="3"/>
          </w:tcPr>
          <w:p>
            <w:pPr>
              <w:jc w:val="right"/>
              <w:ind w:right="88"/>
              <w:spacing w:after="0"/>
              <w:rPr>
                <w:sz w:val="20"/>
                <w:szCs w:val="20"/>
                <w:color w:val="auto"/>
              </w:rPr>
            </w:pPr>
            <w:r>
              <w:rPr>
                <w:rFonts w:ascii="Arial" w:cs="Arial" w:eastAsia="Arial" w:hAnsi="Arial"/>
                <w:sz w:val="14"/>
                <w:szCs w:val="14"/>
                <w:color w:val="auto"/>
              </w:rPr>
              <w:t>2,923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8.7</w:t>
            </w:r>
          </w:p>
        </w:tc>
        <w:tc>
          <w:tcPr>
            <w:tcW w:w="140" w:type="dxa"/>
            <w:vAlign w:val="bottom"/>
          </w:tcPr>
          <w:p>
            <w:pPr>
              <w:jc w:val="right"/>
              <w:spacing w:after="0"/>
              <w:rPr>
                <w:sz w:val="20"/>
                <w:szCs w:val="20"/>
                <w:color w:val="auto"/>
              </w:rPr>
            </w:pPr>
            <w:r>
              <w:rPr>
                <w:rFonts w:ascii="Arial" w:cs="Arial" w:eastAsia="Arial" w:hAnsi="Arial"/>
                <w:sz w:val="14"/>
                <w:szCs w:val="14"/>
                <w:color w:val="auto"/>
                <w:w w:val="79"/>
              </w:rPr>
              <w:t>%</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46,205</w:t>
            </w:r>
          </w:p>
        </w:tc>
        <w:tc>
          <w:tcPr>
            <w:tcW w:w="720" w:type="dxa"/>
            <w:vAlign w:val="bottom"/>
            <w:gridSpan w:val="3"/>
          </w:tcPr>
          <w:p>
            <w:pPr>
              <w:jc w:val="right"/>
              <w:ind w:right="68"/>
              <w:spacing w:after="0"/>
              <w:rPr>
                <w:sz w:val="20"/>
                <w:szCs w:val="20"/>
                <w:color w:val="auto"/>
              </w:rPr>
            </w:pPr>
            <w:r>
              <w:rPr>
                <w:rFonts w:ascii="Arial" w:cs="Arial" w:eastAsia="Arial" w:hAnsi="Arial"/>
                <w:sz w:val="14"/>
                <w:szCs w:val="14"/>
                <w:color w:val="auto"/>
              </w:rPr>
              <w:t>3,816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8.3</w:t>
            </w:r>
          </w:p>
        </w:tc>
        <w:tc>
          <w:tcPr>
            <w:tcW w:w="140" w:type="dxa"/>
            <w:vAlign w:val="bottom"/>
          </w:tcPr>
          <w:p>
            <w:pPr>
              <w:jc w:val="right"/>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20"/>
        </w:trPr>
        <w:tc>
          <w:tcPr>
            <w:tcW w:w="19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9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United States</w:t>
            </w: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1920" w:type="dxa"/>
            <w:vAlign w:val="bottom"/>
          </w:tcPr>
          <w:p>
            <w:pPr>
              <w:ind w:left="20"/>
              <w:spacing w:after="0"/>
              <w:rPr>
                <w:sz w:val="20"/>
                <w:szCs w:val="20"/>
                <w:color w:val="auto"/>
              </w:rPr>
            </w:pPr>
            <w:r>
              <w:rPr>
                <w:rFonts w:ascii="Arial" w:cs="Arial" w:eastAsia="Arial" w:hAnsi="Arial"/>
                <w:sz w:val="14"/>
                <w:szCs w:val="14"/>
                <w:color w:val="auto"/>
              </w:rPr>
              <w:t>Cars</w:t>
            </w:r>
          </w:p>
        </w:tc>
        <w:tc>
          <w:tcPr>
            <w:tcW w:w="660" w:type="dxa"/>
            <w:vAlign w:val="bottom"/>
          </w:tcPr>
          <w:p>
            <w:pPr>
              <w:jc w:val="right"/>
              <w:spacing w:after="0"/>
              <w:rPr>
                <w:sz w:val="20"/>
                <w:szCs w:val="20"/>
                <w:color w:val="auto"/>
              </w:rPr>
            </w:pPr>
            <w:r>
              <w:rPr>
                <w:rFonts w:ascii="Arial" w:cs="Arial" w:eastAsia="Arial" w:hAnsi="Arial"/>
                <w:sz w:val="14"/>
                <w:szCs w:val="14"/>
                <w:color w:val="auto"/>
              </w:rPr>
              <w:t>671</w:t>
            </w:r>
          </w:p>
        </w:tc>
        <w:tc>
          <w:tcPr>
            <w:tcW w:w="720" w:type="dxa"/>
            <w:vAlign w:val="bottom"/>
            <w:gridSpan w:val="3"/>
          </w:tcPr>
          <w:p>
            <w:pPr>
              <w:jc w:val="right"/>
              <w:ind w:right="68"/>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5.5</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1,263</w:t>
            </w:r>
          </w:p>
        </w:tc>
        <w:tc>
          <w:tcPr>
            <w:tcW w:w="720" w:type="dxa"/>
            <w:vAlign w:val="bottom"/>
            <w:gridSpan w:val="3"/>
          </w:tcPr>
          <w:p>
            <w:pPr>
              <w:jc w:val="right"/>
              <w:ind w:right="68"/>
              <w:spacing w:after="0"/>
              <w:rPr>
                <w:sz w:val="20"/>
                <w:szCs w:val="20"/>
                <w:color w:val="auto"/>
              </w:rPr>
            </w:pPr>
            <w:r>
              <w:rPr>
                <w:rFonts w:ascii="Arial" w:cs="Arial" w:eastAsia="Arial" w:hAnsi="Arial"/>
                <w:sz w:val="14"/>
                <w:szCs w:val="14"/>
                <w:color w:val="auto"/>
              </w:rPr>
              <w:t>107</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8.5</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1,559</w:t>
            </w:r>
          </w:p>
        </w:tc>
        <w:tc>
          <w:tcPr>
            <w:tcW w:w="720" w:type="dxa"/>
            <w:vAlign w:val="bottom"/>
            <w:gridSpan w:val="3"/>
          </w:tcPr>
          <w:p>
            <w:pPr>
              <w:jc w:val="right"/>
              <w:ind w:right="88"/>
              <w:spacing w:after="0"/>
              <w:rPr>
                <w:sz w:val="20"/>
                <w:szCs w:val="20"/>
                <w:color w:val="auto"/>
              </w:rPr>
            </w:pPr>
            <w:r>
              <w:rPr>
                <w:rFonts w:ascii="Arial" w:cs="Arial" w:eastAsia="Arial" w:hAnsi="Arial"/>
                <w:sz w:val="14"/>
                <w:szCs w:val="14"/>
                <w:color w:val="auto"/>
              </w:rPr>
              <w:t>109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7.0</w:t>
            </w:r>
          </w:p>
        </w:tc>
        <w:tc>
          <w:tcPr>
            <w:tcW w:w="140" w:type="dxa"/>
            <w:vAlign w:val="bottom"/>
          </w:tcPr>
          <w:p>
            <w:pPr>
              <w:jc w:val="right"/>
              <w:spacing w:after="0"/>
              <w:rPr>
                <w:sz w:val="20"/>
                <w:szCs w:val="20"/>
                <w:color w:val="auto"/>
              </w:rPr>
            </w:pPr>
            <w:r>
              <w:rPr>
                <w:rFonts w:ascii="Arial" w:cs="Arial" w:eastAsia="Arial" w:hAnsi="Arial"/>
                <w:sz w:val="14"/>
                <w:szCs w:val="14"/>
                <w:color w:val="auto"/>
                <w:w w:val="79"/>
              </w:rPr>
              <w:t>%</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2,442</w:t>
            </w:r>
          </w:p>
        </w:tc>
        <w:tc>
          <w:tcPr>
            <w:tcW w:w="720" w:type="dxa"/>
            <w:vAlign w:val="bottom"/>
            <w:gridSpan w:val="3"/>
          </w:tcPr>
          <w:p>
            <w:pPr>
              <w:jc w:val="right"/>
              <w:ind w:right="68"/>
              <w:spacing w:after="0"/>
              <w:rPr>
                <w:sz w:val="20"/>
                <w:szCs w:val="20"/>
                <w:color w:val="auto"/>
              </w:rPr>
            </w:pPr>
            <w:r>
              <w:rPr>
                <w:rFonts w:ascii="Arial" w:cs="Arial" w:eastAsia="Arial" w:hAnsi="Arial"/>
                <w:sz w:val="14"/>
                <w:szCs w:val="14"/>
                <w:color w:val="auto"/>
              </w:rPr>
              <w:t>223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9.1</w:t>
            </w:r>
          </w:p>
        </w:tc>
        <w:tc>
          <w:tcPr>
            <w:tcW w:w="140" w:type="dxa"/>
            <w:vAlign w:val="bottom"/>
          </w:tcPr>
          <w:p>
            <w:pPr>
              <w:jc w:val="right"/>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208"/>
        </w:trPr>
        <w:tc>
          <w:tcPr>
            <w:tcW w:w="1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Trucks</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840</w:t>
            </w:r>
          </w:p>
        </w:tc>
        <w:tc>
          <w:tcPr>
            <w:tcW w:w="720" w:type="dxa"/>
            <w:vAlign w:val="bottom"/>
            <w:gridSpan w:val="3"/>
            <w:shd w:val="clear" w:color="auto" w:fill="CCEEFF"/>
          </w:tcPr>
          <w:p>
            <w:pPr>
              <w:jc w:val="right"/>
              <w:ind w:right="68"/>
              <w:spacing w:after="0"/>
              <w:rPr>
                <w:sz w:val="20"/>
                <w:szCs w:val="20"/>
                <w:color w:val="auto"/>
              </w:rPr>
            </w:pPr>
            <w:r>
              <w:rPr>
                <w:rFonts w:ascii="Arial" w:cs="Arial" w:eastAsia="Arial" w:hAnsi="Arial"/>
                <w:sz w:val="14"/>
                <w:szCs w:val="14"/>
                <w:color w:val="auto"/>
              </w:rPr>
              <w:t>253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30.2</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1,181</w:t>
            </w:r>
          </w:p>
        </w:tc>
        <w:tc>
          <w:tcPr>
            <w:tcW w:w="720" w:type="dxa"/>
            <w:vAlign w:val="bottom"/>
            <w:gridSpan w:val="3"/>
            <w:shd w:val="clear" w:color="auto" w:fill="CCEEFF"/>
          </w:tcPr>
          <w:p>
            <w:pPr>
              <w:jc w:val="right"/>
              <w:ind w:right="68"/>
              <w:spacing w:after="0"/>
              <w:rPr>
                <w:sz w:val="20"/>
                <w:szCs w:val="20"/>
                <w:color w:val="auto"/>
              </w:rPr>
            </w:pPr>
            <w:r>
              <w:rPr>
                <w:rFonts w:ascii="Arial" w:cs="Arial" w:eastAsia="Arial" w:hAnsi="Arial"/>
                <w:sz w:val="14"/>
                <w:szCs w:val="14"/>
                <w:color w:val="auto"/>
              </w:rPr>
              <w:t>356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1,788</w:t>
            </w:r>
          </w:p>
        </w:tc>
        <w:tc>
          <w:tcPr>
            <w:tcW w:w="720" w:type="dxa"/>
            <w:vAlign w:val="bottom"/>
            <w:gridSpan w:val="3"/>
            <w:shd w:val="clear" w:color="auto" w:fill="CCEEFF"/>
          </w:tcPr>
          <w:p>
            <w:pPr>
              <w:jc w:val="right"/>
              <w:ind w:right="88"/>
              <w:spacing w:after="0"/>
              <w:rPr>
                <w:sz w:val="20"/>
                <w:szCs w:val="20"/>
                <w:color w:val="auto"/>
              </w:rPr>
            </w:pPr>
            <w:r>
              <w:rPr>
                <w:rFonts w:ascii="Arial" w:cs="Arial" w:eastAsia="Arial" w:hAnsi="Arial"/>
                <w:sz w:val="14"/>
                <w:szCs w:val="14"/>
                <w:color w:val="auto"/>
              </w:rPr>
              <w:t>545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2,150</w:t>
            </w:r>
          </w:p>
        </w:tc>
        <w:tc>
          <w:tcPr>
            <w:tcW w:w="720" w:type="dxa"/>
            <w:vAlign w:val="bottom"/>
            <w:gridSpan w:val="3"/>
            <w:shd w:val="clear" w:color="auto" w:fill="CCEEFF"/>
          </w:tcPr>
          <w:p>
            <w:pPr>
              <w:jc w:val="right"/>
              <w:ind w:right="68"/>
              <w:spacing w:after="0"/>
              <w:rPr>
                <w:sz w:val="20"/>
                <w:szCs w:val="20"/>
                <w:color w:val="auto"/>
              </w:rPr>
            </w:pPr>
            <w:r>
              <w:rPr>
                <w:rFonts w:ascii="Arial" w:cs="Arial" w:eastAsia="Arial" w:hAnsi="Arial"/>
                <w:sz w:val="14"/>
                <w:szCs w:val="14"/>
                <w:color w:val="auto"/>
              </w:rPr>
              <w:t>629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97"/>
        </w:trPr>
        <w:tc>
          <w:tcPr>
            <w:tcW w:w="19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Crossovers</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1,519</w:t>
            </w: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202</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13.3</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2,116</w:t>
            </w: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284</w:t>
            </w: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5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13.4</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3,264</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457</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14.0</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w w:val="79"/>
              </w:rPr>
              <w:t>%</w:t>
            </w:r>
          </w:p>
        </w:tc>
        <w:tc>
          <w:tcPr>
            <w:tcW w:w="12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4,075</w:t>
            </w: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560</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13.7</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222"/>
        </w:trPr>
        <w:tc>
          <w:tcPr>
            <w:tcW w:w="1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United States</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3,030</w:t>
            </w:r>
          </w:p>
        </w:tc>
        <w:tc>
          <w:tcPr>
            <w:tcW w:w="720" w:type="dxa"/>
            <w:vAlign w:val="bottom"/>
            <w:gridSpan w:val="3"/>
            <w:shd w:val="clear" w:color="auto" w:fill="CCEEFF"/>
          </w:tcPr>
          <w:p>
            <w:pPr>
              <w:jc w:val="right"/>
              <w:ind w:right="68"/>
              <w:spacing w:after="0"/>
              <w:rPr>
                <w:sz w:val="20"/>
                <w:szCs w:val="20"/>
                <w:color w:val="auto"/>
              </w:rPr>
            </w:pPr>
            <w:r>
              <w:rPr>
                <w:rFonts w:ascii="Arial" w:cs="Arial" w:eastAsia="Arial" w:hAnsi="Arial"/>
                <w:sz w:val="14"/>
                <w:szCs w:val="14"/>
                <w:color w:val="auto"/>
              </w:rPr>
              <w:t>492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4,560</w:t>
            </w:r>
          </w:p>
        </w:tc>
        <w:tc>
          <w:tcPr>
            <w:tcW w:w="720" w:type="dxa"/>
            <w:vAlign w:val="bottom"/>
            <w:gridSpan w:val="3"/>
            <w:shd w:val="clear" w:color="auto" w:fill="CCEEFF"/>
          </w:tcPr>
          <w:p>
            <w:pPr>
              <w:jc w:val="right"/>
              <w:ind w:right="68"/>
              <w:spacing w:after="0"/>
              <w:rPr>
                <w:sz w:val="20"/>
                <w:szCs w:val="20"/>
                <w:color w:val="auto"/>
              </w:rPr>
            </w:pPr>
            <w:r>
              <w:rPr>
                <w:rFonts w:ascii="Arial" w:cs="Arial" w:eastAsia="Arial" w:hAnsi="Arial"/>
                <w:sz w:val="14"/>
                <w:szCs w:val="14"/>
                <w:color w:val="auto"/>
              </w:rPr>
              <w:t>747</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6,611</w:t>
            </w:r>
          </w:p>
        </w:tc>
        <w:tc>
          <w:tcPr>
            <w:tcW w:w="720" w:type="dxa"/>
            <w:vAlign w:val="bottom"/>
            <w:gridSpan w:val="3"/>
            <w:shd w:val="clear" w:color="auto" w:fill="CCEEFF"/>
          </w:tcPr>
          <w:p>
            <w:pPr>
              <w:jc w:val="right"/>
              <w:ind w:right="88"/>
              <w:spacing w:after="0"/>
              <w:rPr>
                <w:sz w:val="20"/>
                <w:szCs w:val="20"/>
                <w:color w:val="auto"/>
              </w:rPr>
            </w:pPr>
            <w:r>
              <w:rPr>
                <w:rFonts w:ascii="Arial" w:cs="Arial" w:eastAsia="Arial" w:hAnsi="Arial"/>
                <w:sz w:val="14"/>
                <w:szCs w:val="14"/>
                <w:color w:val="auto"/>
              </w:rPr>
              <w:t>1,111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8,667</w:t>
            </w:r>
          </w:p>
        </w:tc>
        <w:tc>
          <w:tcPr>
            <w:tcW w:w="720" w:type="dxa"/>
            <w:vAlign w:val="bottom"/>
            <w:gridSpan w:val="3"/>
            <w:shd w:val="clear" w:color="auto" w:fill="CCEEFF"/>
          </w:tcPr>
          <w:p>
            <w:pPr>
              <w:jc w:val="right"/>
              <w:ind w:right="68"/>
              <w:spacing w:after="0"/>
              <w:rPr>
                <w:sz w:val="20"/>
                <w:szCs w:val="20"/>
                <w:color w:val="auto"/>
              </w:rPr>
            </w:pPr>
            <w:r>
              <w:rPr>
                <w:rFonts w:ascii="Arial" w:cs="Arial" w:eastAsia="Arial" w:hAnsi="Arial"/>
                <w:sz w:val="14"/>
                <w:szCs w:val="14"/>
                <w:color w:val="auto"/>
              </w:rPr>
              <w:t>1,412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20"/>
        </w:trPr>
        <w:tc>
          <w:tcPr>
            <w:tcW w:w="19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China(a)</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192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1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SGMS</w:t>
            </w:r>
          </w:p>
        </w:tc>
        <w:tc>
          <w:tcPr>
            <w:tcW w:w="66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68"/>
              <w:spacing w:after="0"/>
              <w:rPr>
                <w:sz w:val="20"/>
                <w:szCs w:val="20"/>
                <w:color w:val="auto"/>
              </w:rPr>
            </w:pPr>
            <w:r>
              <w:rPr>
                <w:rFonts w:ascii="Arial" w:cs="Arial" w:eastAsia="Arial" w:hAnsi="Arial"/>
                <w:sz w:val="14"/>
                <w:szCs w:val="14"/>
                <w:color w:val="auto"/>
              </w:rPr>
              <w:t>350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68"/>
              <w:spacing w:after="0"/>
              <w:rPr>
                <w:sz w:val="20"/>
                <w:szCs w:val="20"/>
                <w:color w:val="auto"/>
              </w:rPr>
            </w:pPr>
            <w:r>
              <w:rPr>
                <w:rFonts w:ascii="Arial" w:cs="Arial" w:eastAsia="Arial" w:hAnsi="Arial"/>
                <w:sz w:val="14"/>
                <w:szCs w:val="14"/>
                <w:color w:val="auto"/>
              </w:rPr>
              <w:t>372</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88"/>
              <w:spacing w:after="0"/>
              <w:rPr>
                <w:sz w:val="20"/>
                <w:szCs w:val="20"/>
                <w:color w:val="auto"/>
              </w:rPr>
            </w:pPr>
            <w:r>
              <w:rPr>
                <w:rFonts w:ascii="Arial" w:cs="Arial" w:eastAsia="Arial" w:hAnsi="Arial"/>
                <w:sz w:val="14"/>
                <w:szCs w:val="14"/>
                <w:color w:val="auto"/>
              </w:rPr>
              <w:t>557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68"/>
              <w:spacing w:after="0"/>
              <w:rPr>
                <w:sz w:val="20"/>
                <w:szCs w:val="20"/>
                <w:color w:val="auto"/>
              </w:rPr>
            </w:pPr>
            <w:r>
              <w:rPr>
                <w:rFonts w:ascii="Arial" w:cs="Arial" w:eastAsia="Arial" w:hAnsi="Arial"/>
                <w:sz w:val="14"/>
                <w:szCs w:val="14"/>
                <w:color w:val="auto"/>
              </w:rPr>
              <w:t>754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9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SGMW</w:t>
            </w:r>
          </w:p>
        </w:tc>
        <w:tc>
          <w:tcPr>
            <w:tcW w:w="66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gridSpan w:val="2"/>
          </w:tcPr>
          <w:p>
            <w:pPr>
              <w:spacing w:after="0"/>
              <w:rPr>
                <w:sz w:val="17"/>
                <w:szCs w:val="17"/>
                <w:color w:val="auto"/>
              </w:rPr>
            </w:pPr>
          </w:p>
        </w:tc>
        <w:tc>
          <w:tcPr>
            <w:tcW w:w="5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364</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gridSpan w:val="2"/>
          </w:tcPr>
          <w:p>
            <w:pPr>
              <w:spacing w:after="0"/>
              <w:rPr>
                <w:sz w:val="17"/>
                <w:szCs w:val="17"/>
                <w:color w:val="auto"/>
              </w:rPr>
            </w:pPr>
          </w:p>
        </w:tc>
        <w:tc>
          <w:tcPr>
            <w:tcW w:w="5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382</w:t>
            </w: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5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gridSpan w:val="2"/>
          </w:tcPr>
          <w:p>
            <w:pPr>
              <w:spacing w:after="0"/>
              <w:rPr>
                <w:sz w:val="17"/>
                <w:szCs w:val="17"/>
                <w:color w:val="auto"/>
              </w:rPr>
            </w:pPr>
          </w:p>
        </w:tc>
        <w:tc>
          <w:tcPr>
            <w:tcW w:w="5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618</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gridSpan w:val="2"/>
          </w:tcPr>
          <w:p>
            <w:pPr>
              <w:spacing w:after="0"/>
              <w:rPr>
                <w:sz w:val="17"/>
                <w:szCs w:val="17"/>
                <w:color w:val="auto"/>
              </w:rPr>
            </w:pPr>
          </w:p>
        </w:tc>
        <w:tc>
          <w:tcPr>
            <w:tcW w:w="5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814</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China</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6,280</w:t>
            </w:r>
          </w:p>
        </w:tc>
        <w:tc>
          <w:tcPr>
            <w:tcW w:w="720" w:type="dxa"/>
            <w:vAlign w:val="bottom"/>
            <w:gridSpan w:val="3"/>
            <w:shd w:val="clear" w:color="auto" w:fill="CCEEFF"/>
          </w:tcPr>
          <w:p>
            <w:pPr>
              <w:jc w:val="right"/>
              <w:ind w:right="68"/>
              <w:spacing w:after="0"/>
              <w:rPr>
                <w:sz w:val="20"/>
                <w:szCs w:val="20"/>
                <w:color w:val="auto"/>
              </w:rPr>
            </w:pPr>
            <w:r>
              <w:rPr>
                <w:rFonts w:ascii="Arial" w:cs="Arial" w:eastAsia="Arial" w:hAnsi="Arial"/>
                <w:sz w:val="14"/>
                <w:szCs w:val="14"/>
                <w:color w:val="auto"/>
              </w:rPr>
              <w:t>714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6,464</w:t>
            </w:r>
          </w:p>
        </w:tc>
        <w:tc>
          <w:tcPr>
            <w:tcW w:w="720" w:type="dxa"/>
            <w:vAlign w:val="bottom"/>
            <w:gridSpan w:val="3"/>
            <w:shd w:val="clear" w:color="auto" w:fill="CCEEFF"/>
          </w:tcPr>
          <w:p>
            <w:pPr>
              <w:jc w:val="right"/>
              <w:ind w:right="68"/>
              <w:spacing w:after="0"/>
              <w:rPr>
                <w:sz w:val="20"/>
                <w:szCs w:val="20"/>
                <w:color w:val="auto"/>
              </w:rPr>
            </w:pPr>
            <w:r>
              <w:rPr>
                <w:rFonts w:ascii="Arial" w:cs="Arial" w:eastAsia="Arial" w:hAnsi="Arial"/>
                <w:sz w:val="14"/>
                <w:szCs w:val="14"/>
                <w:color w:val="auto"/>
              </w:rPr>
              <w:t>754</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10,226</w:t>
            </w:r>
          </w:p>
        </w:tc>
        <w:tc>
          <w:tcPr>
            <w:tcW w:w="720" w:type="dxa"/>
            <w:vAlign w:val="bottom"/>
            <w:gridSpan w:val="3"/>
            <w:shd w:val="clear" w:color="auto" w:fill="CCEEFF"/>
          </w:tcPr>
          <w:p>
            <w:pPr>
              <w:jc w:val="right"/>
              <w:ind w:right="88"/>
              <w:spacing w:after="0"/>
              <w:rPr>
                <w:sz w:val="20"/>
                <w:szCs w:val="20"/>
                <w:color w:val="auto"/>
              </w:rPr>
            </w:pPr>
            <w:r>
              <w:rPr>
                <w:rFonts w:ascii="Arial" w:cs="Arial" w:eastAsia="Arial" w:hAnsi="Arial"/>
                <w:sz w:val="14"/>
                <w:szCs w:val="14"/>
                <w:color w:val="auto"/>
              </w:rPr>
              <w:t>1,175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12,678</w:t>
            </w:r>
          </w:p>
        </w:tc>
        <w:tc>
          <w:tcPr>
            <w:tcW w:w="720" w:type="dxa"/>
            <w:vAlign w:val="bottom"/>
            <w:gridSpan w:val="3"/>
            <w:shd w:val="clear" w:color="auto" w:fill="CCEEFF"/>
          </w:tcPr>
          <w:p>
            <w:pPr>
              <w:jc w:val="right"/>
              <w:ind w:right="68"/>
              <w:spacing w:after="0"/>
              <w:rPr>
                <w:sz w:val="20"/>
                <w:szCs w:val="20"/>
                <w:color w:val="auto"/>
              </w:rPr>
            </w:pPr>
            <w:r>
              <w:rPr>
                <w:rFonts w:ascii="Arial" w:cs="Arial" w:eastAsia="Arial" w:hAnsi="Arial"/>
                <w:sz w:val="14"/>
                <w:szCs w:val="14"/>
                <w:color w:val="auto"/>
              </w:rPr>
              <w:t>1,568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20"/>
        </w:trPr>
        <w:tc>
          <w:tcPr>
            <w:tcW w:w="19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9" w:lineRule="exact"/>
        <w:rPr>
          <w:sz w:val="20"/>
          <w:szCs w:val="20"/>
          <w:color w:val="auto"/>
        </w:rPr>
      </w:pPr>
    </w:p>
    <w:p>
      <w:pPr>
        <w:ind w:left="320" w:hanging="312"/>
        <w:spacing w:after="0"/>
        <w:tabs>
          <w:tab w:leader="none" w:pos="3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Includes sales by the Automotive China JVs: SAIC General Motors Sales Co., Ltd. (SGMS) and SAIC GM Wuling Automobile Co., Ltd. (SGMW).</w:t>
      </w:r>
    </w:p>
    <w:p>
      <w:pPr>
        <w:spacing w:after="0" w:line="5" w:lineRule="exact"/>
        <w:rPr>
          <w:rFonts w:ascii="Arial" w:cs="Arial" w:eastAsia="Arial" w:hAnsi="Arial"/>
          <w:sz w:val="16"/>
          <w:szCs w:val="16"/>
          <w:color w:val="auto"/>
        </w:rPr>
      </w:pPr>
    </w:p>
    <w:p>
      <w:pPr>
        <w:ind w:left="340" w:right="20" w:hanging="332"/>
        <w:spacing w:after="0" w:line="257" w:lineRule="auto"/>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Cuba, Iran, North Korea, Sudan and Syria are subject to broad economic sanctions. Accordingly these countries are excluded from industry sales data and corresponding calculation of market share.</w:t>
      </w:r>
    </w:p>
    <w:p>
      <w:pPr>
        <w:spacing w:after="0" w:line="208"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In the six months ended June 30, 2020, we estimate we were the market share leader in North America and South America and had the number two market share in China.</w:t>
      </w:r>
    </w:p>
    <w:p>
      <w:pPr>
        <w:spacing w:after="0" w:line="197"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color w:val="auto"/>
        </w:rPr>
        <w:t>As discussed above, total vehicle sales and market share data provided in the table above includes fleet vehicles. Certain fleet transactions, particularly sales to daily rental car companies, are generally less profitable than retail sales to end customers. The following table summarizes estimated fleet sales and those sales as a percentage of total vehicle sales (vehicles 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2840" w:type="dxa"/>
            <w:vAlign w:val="bottom"/>
            <w:tcBorders>
              <w:bottom w:val="single" w:sz="8" w:color="auto"/>
            </w:tcBorders>
            <w:gridSpan w:val="4"/>
          </w:tcPr>
          <w:p>
            <w:pPr>
              <w:jc w:val="right"/>
              <w:ind w:right="574"/>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60" w:type="dxa"/>
            <w:vAlign w:val="bottom"/>
            <w:tcBorders>
              <w:bottom w:val="single" w:sz="8" w:color="auto"/>
            </w:tcBorders>
            <w:gridSpan w:val="4"/>
          </w:tcPr>
          <w:p>
            <w:pPr>
              <w:jc w:val="right"/>
              <w:ind w:right="674"/>
              <w:spacing w:after="0"/>
              <w:rPr>
                <w:sz w:val="20"/>
                <w:szCs w:val="20"/>
                <w:color w:val="auto"/>
              </w:rPr>
            </w:pPr>
            <w:r>
              <w:rPr>
                <w:rFonts w:ascii="Arial" w:cs="Arial" w:eastAsia="Arial" w:hAnsi="Arial"/>
                <w:sz w:val="14"/>
                <w:szCs w:val="14"/>
                <w:b w:val="1"/>
                <w:bCs w:val="1"/>
                <w:color w:val="auto"/>
              </w:rPr>
              <w:t>Six Months Ended</w:t>
            </w:r>
          </w:p>
        </w:tc>
        <w:tc>
          <w:tcPr>
            <w:tcW w:w="200" w:type="dxa"/>
            <w:vAlign w:val="bottom"/>
            <w:tcBorders>
              <w:bottom w:val="single" w:sz="8" w:color="auto"/>
            </w:tcBorders>
          </w:tcPr>
          <w:p>
            <w:pPr>
              <w:spacing w:after="0"/>
              <w:rPr>
                <w:sz w:val="16"/>
                <w:szCs w:val="16"/>
                <w:color w:val="auto"/>
              </w:rPr>
            </w:pPr>
          </w:p>
        </w:tc>
      </w:tr>
      <w:tr>
        <w:trPr>
          <w:trHeight w:val="196"/>
        </w:trPr>
        <w:tc>
          <w:tcPr>
            <w:tcW w:w="504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June 30, 2020</w:t>
            </w: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June 30, 2019</w:t>
            </w: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June 30, 2020</w:t>
            </w: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June 30, 2019</w:t>
            </w:r>
          </w:p>
        </w:tc>
        <w:tc>
          <w:tcPr>
            <w:tcW w:w="200" w:type="dxa"/>
            <w:vAlign w:val="bottom"/>
            <w:tcBorders>
              <w:bottom w:val="single" w:sz="8" w:color="auto"/>
            </w:tcBorders>
          </w:tcPr>
          <w:p>
            <w:pPr>
              <w:spacing w:after="0"/>
              <w:rPr>
                <w:sz w:val="17"/>
                <w:szCs w:val="17"/>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GMNA</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GMI</w:t>
            </w:r>
          </w:p>
        </w:tc>
        <w:tc>
          <w:tcPr>
            <w:tcW w:w="1260" w:type="dxa"/>
            <w:vAlign w:val="bottom"/>
          </w:tcPr>
          <w:p>
            <w:pPr>
              <w:jc w:val="right"/>
              <w:spacing w:after="0"/>
              <w:rPr>
                <w:sz w:val="20"/>
                <w:szCs w:val="20"/>
                <w:color w:val="auto"/>
              </w:rPr>
            </w:pPr>
            <w:r>
              <w:rPr>
                <w:rFonts w:ascii="Arial" w:cs="Arial" w:eastAsia="Arial" w:hAnsi="Arial"/>
                <w:sz w:val="18"/>
                <w:szCs w:val="18"/>
                <w:color w:val="auto"/>
              </w:rPr>
              <w:t>47</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127</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126</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219</w:t>
            </w:r>
          </w:p>
        </w:tc>
        <w:tc>
          <w:tcPr>
            <w:tcW w:w="200" w:type="dxa"/>
            <w:vAlign w:val="bottom"/>
          </w:tcPr>
          <w:p>
            <w:pPr>
              <w:spacing w:after="0"/>
              <w:rPr>
                <w:sz w:val="21"/>
                <w:szCs w:val="2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88"/>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fleet sales</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20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20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20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200" w:type="dxa"/>
            <w:vAlign w:val="bottom"/>
            <w:tcBorders>
              <w:bottom w:val="single" w:sz="8" w:color="auto"/>
            </w:tcBorders>
            <w:shd w:val="clear" w:color="auto" w:fill="CCEEFF"/>
          </w:tcPr>
          <w:p>
            <w:pPr>
              <w:spacing w:after="0"/>
              <w:rPr>
                <w:sz w:val="24"/>
                <w:szCs w:val="24"/>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r>
      <w:tr>
        <w:trPr>
          <w:trHeight w:val="251"/>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Fleet sales as a percentage of total vehicle sales</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661"/>
        </w:trPr>
        <w:tc>
          <w:tcPr>
            <w:tcW w:w="5040" w:type="dxa"/>
            <w:vAlign w:val="bottom"/>
          </w:tcPr>
          <w:p>
            <w:pPr>
              <w:spacing w:after="0"/>
              <w:rPr>
                <w:sz w:val="24"/>
                <w:szCs w:val="24"/>
                <w:color w:val="auto"/>
              </w:rPr>
            </w:pPr>
          </w:p>
        </w:tc>
        <w:tc>
          <w:tcPr>
            <w:tcW w:w="1260" w:type="dxa"/>
            <w:vAlign w:val="bottom"/>
          </w:tcPr>
          <w:p>
            <w:pPr>
              <w:jc w:val="right"/>
              <w:ind w:right="495"/>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58"/>
        </w:trPr>
        <w:tc>
          <w:tcPr>
            <w:tcW w:w="50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81" w:lineRule="exact"/>
        <w:rPr>
          <w:sz w:val="20"/>
          <w:szCs w:val="20"/>
          <w:color w:val="auto"/>
        </w:rPr>
      </w:pPr>
    </w:p>
    <w:p>
      <w:pPr>
        <w:jc w:val="both"/>
        <w:ind w:firstLine="162"/>
        <w:spacing w:after="0" w:line="285" w:lineRule="auto"/>
        <w:rPr>
          <w:sz w:val="20"/>
          <w:szCs w:val="20"/>
          <w:color w:val="auto"/>
        </w:rPr>
      </w:pPr>
      <w:r>
        <w:rPr>
          <w:rFonts w:ascii="Arial" w:cs="Arial" w:eastAsia="Arial" w:hAnsi="Arial"/>
          <w:sz w:val="16"/>
          <w:szCs w:val="16"/>
          <w:b w:val="1"/>
          <w:bCs w:val="1"/>
          <w:i w:val="1"/>
          <w:iCs w:val="1"/>
          <w:color w:val="auto"/>
        </w:rPr>
        <w:t xml:space="preserve">GM Financial </w:t>
      </w:r>
      <w:r>
        <w:rPr>
          <w:rFonts w:ascii="Arial" w:cs="Arial" w:eastAsia="Arial" w:hAnsi="Arial"/>
          <w:sz w:val="16"/>
          <w:szCs w:val="16"/>
          <w:color w:val="auto"/>
        </w:rPr>
        <w:t>We believe that offering a comprehensive suite of financing products will generate incremental sales of our vehicles, drive incremental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GM Financial earnings and help support our sales throughout various economic cycles. GM Financial's leasing program is exposed to residual values, which are heavily dependent on used vehicle prices. Used vehicle prices for the six months ended June 30, 2020 decreased compared to the same period in 2019. Prices were heavily impacted by softening in the used vehicle market in late March and April, primarily due to impacts from the COVID-19 pandemic. Sales volume and pricing increased in May and June relative to April, primarily due to lower new vehicle inventory and strong demand for used vehicles. However, GM Financial’s current outlook for used vehicle prices is consistent with industry forecasts of a 6% to 8% decrease in 2020 compared to 2019 due to expected continued impacts from the COVID-19 pandemic. Despite a very strong recovery from the lowest prices in April, used vehicle prices face headwinds in the second half of 2020; driven by increased supply due to: (1) increased off-lease supply from terminated leases that were extended; (2) sales of rental car fleets; (3) increased repossession activity; and (4) weaker dealer demand due to increases in new vehicle inventory and trade-in activity. Additional headwinds to used vehicle prices in the second half of 2020 include economic uncertainty, new vehicle incentive levels and normal seasonal pricing weakness. GM Financial updated residual value estimates as of March 31, 2020 based upon used vehicle market forecasts at that date and increased the depreciation rate for the three months ended June 30, 2020. GM Financial’s residual value estimates as of June 30, 2020 are consistent with the prior quarter; therefore, we expect to record increased depreciation expense in the second half of 2020. If used vehicle prices outperform industry expectations, GM Financial may record increased gains on sales of off-lease vehicles due to lower net book values and/or decreased depreciation expense in future quarters. The following table summarizes the estimated residual value based on our most recent estimates and the number of units included in GM Financial Equipment on operating leases, net by vehicle type (units in thousands):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June 30, 2020</w:t>
            </w:r>
          </w:p>
        </w:tc>
        <w:tc>
          <w:tcPr>
            <w:tcW w:w="1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w w:val="99"/>
              </w:rPr>
              <w:t>December 31, 2019</w:t>
            </w:r>
          </w:p>
        </w:tc>
        <w:tc>
          <w:tcPr>
            <w:tcW w:w="1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r>
      <w:tr>
        <w:trPr>
          <w:trHeight w:val="196"/>
        </w:trPr>
        <w:tc>
          <w:tcPr>
            <w:tcW w:w="3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Residual Value</w:t>
            </w:r>
          </w:p>
        </w:tc>
        <w:tc>
          <w:tcPr>
            <w:tcW w:w="1340" w:type="dxa"/>
            <w:vAlign w:val="bottom"/>
            <w:gridSpan w:val="2"/>
          </w:tcPr>
          <w:p>
            <w:pPr>
              <w:ind w:left="440"/>
              <w:spacing w:after="0"/>
              <w:rPr>
                <w:sz w:val="20"/>
                <w:szCs w:val="20"/>
                <w:color w:val="auto"/>
              </w:rPr>
            </w:pPr>
            <w:r>
              <w:rPr>
                <w:rFonts w:ascii="Arial" w:cs="Arial" w:eastAsia="Arial" w:hAnsi="Arial"/>
                <w:sz w:val="14"/>
                <w:szCs w:val="14"/>
                <w:b w:val="1"/>
                <w:bCs w:val="1"/>
                <w:color w:val="auto"/>
              </w:rPr>
              <w:t>Units</w:t>
            </w:r>
          </w:p>
        </w:tc>
        <w:tc>
          <w:tcPr>
            <w:tcW w:w="1120" w:type="dxa"/>
            <w:vAlign w:val="bottom"/>
          </w:tcPr>
          <w:p>
            <w:pPr>
              <w:jc w:val="right"/>
              <w:ind w:right="33"/>
              <w:spacing w:after="0"/>
              <w:rPr>
                <w:sz w:val="20"/>
                <w:szCs w:val="20"/>
                <w:color w:val="auto"/>
              </w:rPr>
            </w:pPr>
            <w:r>
              <w:rPr>
                <w:rFonts w:ascii="Arial" w:cs="Arial" w:eastAsia="Arial" w:hAnsi="Arial"/>
                <w:sz w:val="14"/>
                <w:szCs w:val="14"/>
                <w:b w:val="1"/>
                <w:bCs w:val="1"/>
                <w:color w:val="auto"/>
              </w:rPr>
              <w:t>Percentage</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Residual Value</w:t>
            </w:r>
          </w:p>
        </w:tc>
        <w:tc>
          <w:tcPr>
            <w:tcW w:w="1360" w:type="dxa"/>
            <w:vAlign w:val="bottom"/>
            <w:gridSpan w:val="2"/>
          </w:tcPr>
          <w:p>
            <w:pPr>
              <w:ind w:left="460"/>
              <w:spacing w:after="0"/>
              <w:rPr>
                <w:sz w:val="20"/>
                <w:szCs w:val="20"/>
                <w:color w:val="auto"/>
              </w:rPr>
            </w:pPr>
            <w:r>
              <w:rPr>
                <w:rFonts w:ascii="Arial" w:cs="Arial" w:eastAsia="Arial" w:hAnsi="Arial"/>
                <w:sz w:val="14"/>
                <w:szCs w:val="14"/>
                <w:b w:val="1"/>
                <w:bCs w:val="1"/>
                <w:color w:val="auto"/>
              </w:rPr>
              <w:t>Units</w:t>
            </w:r>
          </w:p>
        </w:tc>
        <w:tc>
          <w:tcPr>
            <w:tcW w:w="1120" w:type="dxa"/>
            <w:vAlign w:val="bottom"/>
          </w:tcPr>
          <w:p>
            <w:pPr>
              <w:jc w:val="right"/>
              <w:ind w:right="33"/>
              <w:spacing w:after="0"/>
              <w:rPr>
                <w:sz w:val="20"/>
                <w:szCs w:val="20"/>
                <w:color w:val="auto"/>
              </w:rPr>
            </w:pPr>
            <w:r>
              <w:rPr>
                <w:rFonts w:ascii="Arial" w:cs="Arial" w:eastAsia="Arial" w:hAnsi="Arial"/>
                <w:sz w:val="14"/>
                <w:szCs w:val="14"/>
                <w:b w:val="1"/>
                <w:bCs w:val="1"/>
                <w:color w:val="auto"/>
              </w:rPr>
              <w:t>Percentage</w:t>
            </w:r>
          </w:p>
        </w:tc>
        <w:tc>
          <w:tcPr>
            <w:tcW w:w="200" w:type="dxa"/>
            <w:vAlign w:val="bottom"/>
          </w:tcPr>
          <w:p>
            <w:pPr>
              <w:spacing w:after="0"/>
              <w:rPr>
                <w:sz w:val="17"/>
                <w:szCs w:val="17"/>
                <w:color w:val="auto"/>
              </w:rPr>
            </w:pPr>
          </w:p>
        </w:tc>
      </w:tr>
      <w:tr>
        <w:trPr>
          <w:trHeight w:val="249"/>
        </w:trPr>
        <w:tc>
          <w:tcPr>
            <w:tcW w:w="3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Crossovers</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15,752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966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15,950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972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3080" w:type="dxa"/>
            <w:vAlign w:val="bottom"/>
          </w:tcPr>
          <w:p>
            <w:pPr>
              <w:ind w:left="20"/>
              <w:spacing w:after="0"/>
              <w:rPr>
                <w:sz w:val="20"/>
                <w:szCs w:val="20"/>
                <w:color w:val="auto"/>
              </w:rPr>
            </w:pPr>
            <w:r>
              <w:rPr>
                <w:rFonts w:ascii="Arial" w:cs="Arial" w:eastAsia="Arial" w:hAnsi="Arial"/>
                <w:sz w:val="18"/>
                <w:szCs w:val="18"/>
                <w:color w:val="auto"/>
              </w:rPr>
              <w:t>Trucks</w:t>
            </w:r>
          </w:p>
        </w:tc>
        <w:tc>
          <w:tcPr>
            <w:tcW w:w="140" w:type="dxa"/>
            <w:vAlign w:val="bottom"/>
          </w:tcPr>
          <w:p>
            <w:pPr>
              <w:spacing w:after="0"/>
              <w:rPr>
                <w:sz w:val="21"/>
                <w:szCs w:val="21"/>
                <w:color w:val="auto"/>
              </w:rPr>
            </w:pPr>
          </w:p>
        </w:tc>
        <w:tc>
          <w:tcPr>
            <w:tcW w:w="1100" w:type="dxa"/>
            <w:vAlign w:val="bottom"/>
          </w:tcPr>
          <w:p>
            <w:pPr>
              <w:jc w:val="right"/>
              <w:ind w:right="53"/>
              <w:spacing w:after="0"/>
              <w:rPr>
                <w:sz w:val="20"/>
                <w:szCs w:val="20"/>
                <w:color w:val="auto"/>
              </w:rPr>
            </w:pPr>
            <w:r>
              <w:rPr>
                <w:rFonts w:ascii="Arial" w:cs="Arial" w:eastAsia="Arial" w:hAnsi="Arial"/>
                <w:sz w:val="18"/>
                <w:szCs w:val="18"/>
                <w:color w:val="auto"/>
              </w:rPr>
              <w:t>7,021</w:t>
            </w:r>
          </w:p>
        </w:tc>
        <w:tc>
          <w:tcPr>
            <w:tcW w:w="120" w:type="dxa"/>
            <w:vAlign w:val="bottom"/>
          </w:tcPr>
          <w:p>
            <w:pPr>
              <w:spacing w:after="0"/>
              <w:rPr>
                <w:sz w:val="21"/>
                <w:szCs w:val="21"/>
                <w:color w:val="auto"/>
              </w:rPr>
            </w:pPr>
          </w:p>
        </w:tc>
        <w:tc>
          <w:tcPr>
            <w:tcW w:w="1220" w:type="dxa"/>
            <w:vAlign w:val="bottom"/>
          </w:tcPr>
          <w:p>
            <w:pPr>
              <w:jc w:val="right"/>
              <w:ind w:right="55"/>
              <w:spacing w:after="0"/>
              <w:rPr>
                <w:sz w:val="20"/>
                <w:szCs w:val="20"/>
                <w:color w:val="auto"/>
              </w:rPr>
            </w:pPr>
            <w:r>
              <w:rPr>
                <w:rFonts w:ascii="Arial" w:cs="Arial" w:eastAsia="Arial" w:hAnsi="Arial"/>
                <w:sz w:val="18"/>
                <w:szCs w:val="18"/>
                <w:color w:val="auto"/>
              </w:rPr>
              <w:t>280</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7,256</w:t>
            </w:r>
          </w:p>
        </w:tc>
        <w:tc>
          <w:tcPr>
            <w:tcW w:w="100" w:type="dxa"/>
            <w:vAlign w:val="bottom"/>
          </w:tcPr>
          <w:p>
            <w:pPr>
              <w:spacing w:after="0"/>
              <w:rPr>
                <w:sz w:val="21"/>
                <w:szCs w:val="21"/>
                <w:color w:val="auto"/>
              </w:rPr>
            </w:pPr>
          </w:p>
        </w:tc>
        <w:tc>
          <w:tcPr>
            <w:tcW w:w="1240" w:type="dxa"/>
            <w:vAlign w:val="bottom"/>
          </w:tcPr>
          <w:p>
            <w:pPr>
              <w:jc w:val="right"/>
              <w:ind w:right="55"/>
              <w:spacing w:after="0"/>
              <w:rPr>
                <w:sz w:val="20"/>
                <w:szCs w:val="20"/>
                <w:color w:val="auto"/>
              </w:rPr>
            </w:pPr>
            <w:r>
              <w:rPr>
                <w:rFonts w:ascii="Arial" w:cs="Arial" w:eastAsia="Arial" w:hAnsi="Arial"/>
                <w:sz w:val="18"/>
                <w:szCs w:val="18"/>
                <w:color w:val="auto"/>
              </w:rPr>
              <w:t>288</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3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SUVs</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3,415</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6.4 %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3,917</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6.7 %</w:t>
            </w:r>
          </w:p>
        </w:tc>
      </w:tr>
      <w:tr>
        <w:trPr>
          <w:trHeight w:val="243"/>
        </w:trPr>
        <w:tc>
          <w:tcPr>
            <w:tcW w:w="3080" w:type="dxa"/>
            <w:vAlign w:val="bottom"/>
          </w:tcPr>
          <w:p>
            <w:pPr>
              <w:ind w:left="20"/>
              <w:spacing w:after="0"/>
              <w:rPr>
                <w:sz w:val="20"/>
                <w:szCs w:val="20"/>
                <w:color w:val="auto"/>
              </w:rPr>
            </w:pPr>
            <w:r>
              <w:rPr>
                <w:rFonts w:ascii="Arial" w:cs="Arial" w:eastAsia="Arial" w:hAnsi="Arial"/>
                <w:sz w:val="18"/>
                <w:szCs w:val="18"/>
                <w:color w:val="auto"/>
              </w:rPr>
              <w:t>Cars</w:t>
            </w:r>
          </w:p>
        </w:tc>
        <w:tc>
          <w:tcPr>
            <w:tcW w:w="140" w:type="dxa"/>
            <w:vAlign w:val="bottom"/>
          </w:tcPr>
          <w:p>
            <w:pPr>
              <w:spacing w:after="0"/>
              <w:rPr>
                <w:sz w:val="21"/>
                <w:szCs w:val="21"/>
                <w:color w:val="auto"/>
              </w:rPr>
            </w:pPr>
          </w:p>
        </w:tc>
        <w:tc>
          <w:tcPr>
            <w:tcW w:w="1100" w:type="dxa"/>
            <w:vAlign w:val="bottom"/>
          </w:tcPr>
          <w:p>
            <w:pPr>
              <w:jc w:val="right"/>
              <w:ind w:right="53"/>
              <w:spacing w:after="0"/>
              <w:rPr>
                <w:sz w:val="20"/>
                <w:szCs w:val="20"/>
                <w:color w:val="auto"/>
              </w:rPr>
            </w:pPr>
            <w:r>
              <w:rPr>
                <w:rFonts w:ascii="Arial" w:cs="Arial" w:eastAsia="Arial" w:hAnsi="Arial"/>
                <w:sz w:val="18"/>
                <w:szCs w:val="18"/>
                <w:color w:val="auto"/>
              </w:rPr>
              <w:t>2,501</w:t>
            </w:r>
          </w:p>
        </w:tc>
        <w:tc>
          <w:tcPr>
            <w:tcW w:w="120" w:type="dxa"/>
            <w:vAlign w:val="bottom"/>
          </w:tcPr>
          <w:p>
            <w:pPr>
              <w:spacing w:after="0"/>
              <w:rPr>
                <w:sz w:val="21"/>
                <w:szCs w:val="21"/>
                <w:color w:val="auto"/>
              </w:rPr>
            </w:pPr>
          </w:p>
        </w:tc>
        <w:tc>
          <w:tcPr>
            <w:tcW w:w="1220" w:type="dxa"/>
            <w:vAlign w:val="bottom"/>
          </w:tcPr>
          <w:p>
            <w:pPr>
              <w:jc w:val="right"/>
              <w:ind w:right="55"/>
              <w:spacing w:after="0"/>
              <w:rPr>
                <w:sz w:val="20"/>
                <w:szCs w:val="20"/>
                <w:color w:val="auto"/>
              </w:rPr>
            </w:pPr>
            <w:r>
              <w:rPr>
                <w:rFonts w:ascii="Arial" w:cs="Arial" w:eastAsia="Arial" w:hAnsi="Arial"/>
                <w:sz w:val="18"/>
                <w:szCs w:val="18"/>
                <w:color w:val="auto"/>
              </w:rPr>
              <w:t>185</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3,276</w:t>
            </w:r>
          </w:p>
        </w:tc>
        <w:tc>
          <w:tcPr>
            <w:tcW w:w="100" w:type="dxa"/>
            <w:vAlign w:val="bottom"/>
          </w:tcPr>
          <w:p>
            <w:pPr>
              <w:spacing w:after="0"/>
              <w:rPr>
                <w:sz w:val="21"/>
                <w:szCs w:val="21"/>
                <w:color w:val="auto"/>
              </w:rPr>
            </w:pPr>
          </w:p>
        </w:tc>
        <w:tc>
          <w:tcPr>
            <w:tcW w:w="1240" w:type="dxa"/>
            <w:vAlign w:val="bottom"/>
          </w:tcPr>
          <w:p>
            <w:pPr>
              <w:jc w:val="right"/>
              <w:ind w:right="55"/>
              <w:spacing w:after="0"/>
              <w:rPr>
                <w:sz w:val="20"/>
                <w:szCs w:val="20"/>
                <w:color w:val="auto"/>
              </w:rPr>
            </w:pPr>
            <w:r>
              <w:rPr>
                <w:rFonts w:ascii="Arial" w:cs="Arial" w:eastAsia="Arial" w:hAnsi="Arial"/>
                <w:sz w:val="18"/>
                <w:szCs w:val="18"/>
                <w:color w:val="auto"/>
              </w:rPr>
              <w:t>238</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30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88"/>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28,689</w:t>
            </w:r>
          </w:p>
        </w:tc>
        <w:tc>
          <w:tcPr>
            <w:tcW w:w="12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1,528</w:t>
            </w:r>
          </w:p>
        </w:tc>
        <w:tc>
          <w:tcPr>
            <w:tcW w:w="12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30,399</w:t>
            </w:r>
          </w:p>
        </w:tc>
        <w:tc>
          <w:tcPr>
            <w:tcW w:w="10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1,606</w:t>
            </w:r>
          </w:p>
        </w:tc>
        <w:tc>
          <w:tcPr>
            <w:tcW w:w="12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162"/>
        <w:spacing w:after="0" w:line="275" w:lineRule="auto"/>
        <w:rPr>
          <w:sz w:val="20"/>
          <w:szCs w:val="20"/>
          <w:color w:val="auto"/>
        </w:rPr>
      </w:pPr>
      <w:r>
        <w:rPr>
          <w:rFonts w:ascii="Arial" w:cs="Arial" w:eastAsia="Arial" w:hAnsi="Arial"/>
          <w:sz w:val="17"/>
          <w:szCs w:val="17"/>
          <w:color w:val="auto"/>
        </w:rPr>
        <w:t>GM Financial's penetration of our retail sales in the U.S. decreased to 49% in the six months ended June 30, 2020 from 50% in the corresponding period in 2019. Penetration levels vary depending on incentive financing programs available and competing third-party financing products in the market. GM Financial's prime loan originations as a percentage of total loan originations in North America increased to 74% in the six months ended June 30, 2020 from 73% in the six months ended June 30, 2019. In the six months ended June 30, 2020, GM Financial's revenue consisted of leased vehicle income of 70%, retail finance charge income of 25% and commercial finance charge income of 3%.</w:t>
      </w:r>
    </w:p>
    <w:p>
      <w:pPr>
        <w:spacing w:after="0" w:line="19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Consolidated Results </w:t>
      </w:r>
      <w:r>
        <w:rPr>
          <w:rFonts w:ascii="Arial" w:cs="Arial" w:eastAsia="Arial" w:hAnsi="Arial"/>
          <w:sz w:val="17"/>
          <w:szCs w:val="17"/>
          <w:color w:val="auto"/>
        </w:rPr>
        <w:t>We review changes in our results of operations under five categories: volume, mix, price, cost and other. Volume measures the</w:t>
      </w:r>
      <w:r>
        <w:rPr>
          <w:rFonts w:ascii="Arial" w:cs="Arial" w:eastAsia="Arial" w:hAnsi="Arial"/>
          <w:sz w:val="17"/>
          <w:szCs w:val="17"/>
          <w:b w:val="1"/>
          <w:bCs w:val="1"/>
          <w:color w:val="auto"/>
        </w:rPr>
        <w:t xml:space="preserve"> </w:t>
      </w:r>
      <w:r>
        <w:rPr>
          <w:rFonts w:ascii="Arial" w:cs="Arial" w:eastAsia="Arial" w:hAnsi="Arial"/>
          <w:sz w:val="17"/>
          <w:szCs w:val="17"/>
          <w:color w:val="auto"/>
        </w:rPr>
        <w:t>impact of changes in wholesale vehicle volumes driven by industry volume, market share and changes in dealer stock levels. Mix measures the impact of changes to the regional portfolio due to product, model, trim, country and option penetration in current year wholesale vehicle volumes. Price measures the impact of changes related to Manufacturer’s Suggested Retail Price and various sales allowances. Cost primarily includes: (1) material and freight; (2) manufacturing, engineering, advertising, administrative and selling and warranty expense; and (3) non-vehicle related activity. Other primarily includes foreign exchange and non-vehicle related automotive revenues as well as equity income or loss from our nonconsolidated affiliates. Due to the uncertainty related to the COVID-19 pandemic, our results in the three and six months ended June 30, 2020 in revenues and costs may not be indicative of results for the remainder of 2020. Refer to the regional sections of this MD&amp;A for additional information.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GENERAL MOTORS COMPANY AND SUBSIDIARIES</w:t>
      </w:r>
    </w:p>
    <w:p>
      <w:pPr>
        <w:sectPr>
          <w:pgSz w:w="11900" w:h="16838" w:orient="portrait"/>
          <w:cols w:equalWidth="0" w:num="1">
            <w:col w:w="11180"/>
          </w:cols>
          <w:pgMar w:left="320" w:top="125" w:right="399" w:bottom="1440" w:gutter="0" w:footer="0" w:header="0"/>
        </w:sect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Net Sales and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089140" cy="17399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089140" cy="1739900"/>
                    </a:xfrm>
                    <a:prstGeom prst="rect">
                      <a:avLst/>
                    </a:prstGeom>
                    <a:noFill/>
                  </pic:spPr>
                </pic:pic>
              </a:graphicData>
            </a:graphic>
          </wp:anchor>
        </w:drawing>
      </w:r>
    </w:p>
    <w:p>
      <w:pPr>
        <w:spacing w:after="0" w:line="129"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24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76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181"/>
              <w:spacing w:after="0"/>
              <w:rPr>
                <w:sz w:val="20"/>
                <w:szCs w:val="20"/>
                <w:color w:val="auto"/>
              </w:rPr>
            </w:pPr>
            <w:r>
              <w:rPr>
                <w:rFonts w:ascii="Arial" w:cs="Arial" w:eastAsia="Arial" w:hAnsi="Arial"/>
                <w:sz w:val="14"/>
                <w:szCs w:val="14"/>
                <w:b w:val="1"/>
                <w:bCs w:val="1"/>
                <w:color w:val="auto"/>
              </w:rPr>
              <w:t>Favorable/</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7"/>
        </w:trPr>
        <w:tc>
          <w:tcPr>
            <w:tcW w:w="24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June 30, 2020</w:t>
            </w: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June 30, 2019</w:t>
            </w: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w w:val="97"/>
              </w:rPr>
              <w:t>(Unfavorable)</w:t>
            </w:r>
          </w:p>
        </w:tc>
        <w:tc>
          <w:tcPr>
            <w:tcW w:w="100" w:type="dxa"/>
            <w:vAlign w:val="bottom"/>
          </w:tcPr>
          <w:p>
            <w:pPr>
              <w:spacing w:after="0"/>
              <w:rPr>
                <w:sz w:val="17"/>
                <w:szCs w:val="17"/>
                <w:color w:val="auto"/>
              </w:rPr>
            </w:pPr>
          </w:p>
        </w:tc>
        <w:tc>
          <w:tcPr>
            <w:tcW w:w="8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w:t>
            </w:r>
          </w:p>
        </w:tc>
      </w:tr>
      <w:tr>
        <w:trPr>
          <w:trHeight w:val="426"/>
        </w:trPr>
        <w:tc>
          <w:tcPr>
            <w:tcW w:w="2440" w:type="dxa"/>
            <w:vAlign w:val="bottom"/>
          </w:tcPr>
          <w:p>
            <w:pPr>
              <w:spacing w:after="0"/>
              <w:rPr>
                <w:sz w:val="20"/>
                <w:szCs w:val="20"/>
                <w:color w:val="auto"/>
              </w:rPr>
            </w:pPr>
            <w:r>
              <w:rPr>
                <w:rFonts w:ascii="Arial" w:cs="Arial" w:eastAsia="Arial" w:hAnsi="Arial"/>
                <w:sz w:val="16"/>
                <w:szCs w:val="16"/>
                <w:color w:val="auto"/>
              </w:rPr>
              <w:t>GMNA</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61"/>
              <w:spacing w:after="0"/>
              <w:rPr>
                <w:sz w:val="20"/>
                <w:szCs w:val="20"/>
                <w:color w:val="auto"/>
              </w:rPr>
            </w:pPr>
            <w:r>
              <w:rPr>
                <w:rFonts w:ascii="Arial" w:cs="Arial" w:eastAsia="Arial" w:hAnsi="Arial"/>
                <w:sz w:val="16"/>
                <w:szCs w:val="16"/>
                <w:color w:val="auto"/>
              </w:rPr>
              <w:t>11,604</w:t>
            </w:r>
          </w:p>
        </w:tc>
        <w:tc>
          <w:tcPr>
            <w:tcW w:w="12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60"/>
              <w:spacing w:after="0"/>
              <w:rPr>
                <w:sz w:val="20"/>
                <w:szCs w:val="20"/>
                <w:color w:val="auto"/>
              </w:rPr>
            </w:pPr>
            <w:r>
              <w:rPr>
                <w:rFonts w:ascii="Arial" w:cs="Arial" w:eastAsia="Arial" w:hAnsi="Arial"/>
                <w:sz w:val="16"/>
                <w:szCs w:val="16"/>
                <w:color w:val="auto"/>
              </w:rPr>
              <w:t>28,324</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(16,720)</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(59.0) %</w:t>
            </w:r>
          </w:p>
        </w:tc>
      </w:tr>
      <w:tr>
        <w:trPr>
          <w:trHeight w:val="256"/>
        </w:trPr>
        <w:tc>
          <w:tcPr>
            <w:tcW w:w="2440" w:type="dxa"/>
            <w:vAlign w:val="bottom"/>
          </w:tcPr>
          <w:p>
            <w:pPr>
              <w:spacing w:after="0"/>
              <w:rPr>
                <w:sz w:val="20"/>
                <w:szCs w:val="20"/>
                <w:color w:val="auto"/>
              </w:rPr>
            </w:pPr>
            <w:r>
              <w:rPr>
                <w:rFonts w:ascii="Arial" w:cs="Arial" w:eastAsia="Arial" w:hAnsi="Arial"/>
                <w:sz w:val="16"/>
                <w:szCs w:val="16"/>
                <w:color w:val="auto"/>
              </w:rPr>
              <w:t>GMI</w:t>
            </w:r>
          </w:p>
        </w:tc>
        <w:tc>
          <w:tcPr>
            <w:tcW w:w="220" w:type="dxa"/>
            <w:vAlign w:val="bottom"/>
          </w:tcPr>
          <w:p>
            <w:pPr>
              <w:spacing w:after="0"/>
              <w:rPr>
                <w:sz w:val="22"/>
                <w:szCs w:val="22"/>
                <w:color w:val="auto"/>
              </w:rPr>
            </w:pPr>
          </w:p>
        </w:tc>
        <w:tc>
          <w:tcPr>
            <w:tcW w:w="1240" w:type="dxa"/>
            <w:vAlign w:val="bottom"/>
          </w:tcPr>
          <w:p>
            <w:pPr>
              <w:jc w:val="right"/>
              <w:ind w:right="61"/>
              <w:spacing w:after="0"/>
              <w:rPr>
                <w:sz w:val="20"/>
                <w:szCs w:val="20"/>
                <w:color w:val="auto"/>
              </w:rPr>
            </w:pPr>
            <w:r>
              <w:rPr>
                <w:rFonts w:ascii="Arial" w:cs="Arial" w:eastAsia="Arial" w:hAnsi="Arial"/>
                <w:sz w:val="16"/>
                <w:szCs w:val="16"/>
                <w:color w:val="auto"/>
              </w:rPr>
              <w:t>1,677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jc w:val="right"/>
              <w:ind w:right="60"/>
              <w:spacing w:after="0"/>
              <w:rPr>
                <w:sz w:val="20"/>
                <w:szCs w:val="20"/>
                <w:color w:val="auto"/>
              </w:rPr>
            </w:pPr>
            <w:r>
              <w:rPr>
                <w:rFonts w:ascii="Arial" w:cs="Arial" w:eastAsia="Arial" w:hAnsi="Arial"/>
                <w:sz w:val="16"/>
                <w:szCs w:val="16"/>
                <w:color w:val="auto"/>
              </w:rPr>
              <w:t>4,047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(2,370)</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(58.6) %</w:t>
            </w:r>
          </w:p>
        </w:tc>
      </w:tr>
      <w:tr>
        <w:trPr>
          <w:trHeight w:val="257"/>
        </w:trPr>
        <w:tc>
          <w:tcPr>
            <w:tcW w:w="2440" w:type="dxa"/>
            <w:vAlign w:val="bottom"/>
          </w:tcPr>
          <w:p>
            <w:pPr>
              <w:spacing w:after="0"/>
              <w:rPr>
                <w:sz w:val="20"/>
                <w:szCs w:val="20"/>
                <w:color w:val="auto"/>
              </w:rPr>
            </w:pPr>
            <w:r>
              <w:rPr>
                <w:rFonts w:ascii="Arial" w:cs="Arial" w:eastAsia="Arial" w:hAnsi="Arial"/>
                <w:sz w:val="16"/>
                <w:szCs w:val="16"/>
                <w:color w:val="auto"/>
              </w:rPr>
              <w:t>Corporate</w:t>
            </w:r>
          </w:p>
        </w:tc>
        <w:tc>
          <w:tcPr>
            <w:tcW w:w="220" w:type="dxa"/>
            <w:vAlign w:val="bottom"/>
          </w:tcPr>
          <w:p>
            <w:pPr>
              <w:spacing w:after="0"/>
              <w:rPr>
                <w:sz w:val="22"/>
                <w:szCs w:val="22"/>
                <w:color w:val="auto"/>
              </w:rPr>
            </w:pPr>
          </w:p>
        </w:tc>
        <w:tc>
          <w:tcPr>
            <w:tcW w:w="1240" w:type="dxa"/>
            <w:vAlign w:val="bottom"/>
          </w:tcPr>
          <w:p>
            <w:pPr>
              <w:jc w:val="right"/>
              <w:ind w:right="61"/>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jc w:val="right"/>
              <w:ind w:right="60"/>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jc w:val="right"/>
              <w:ind w:right="81"/>
              <w:spacing w:after="0"/>
              <w:rPr>
                <w:sz w:val="20"/>
                <w:szCs w:val="20"/>
                <w:color w:val="auto"/>
              </w:rPr>
            </w:pPr>
            <w:r>
              <w:rPr>
                <w:rFonts w:ascii="Arial" w:cs="Arial" w:eastAsia="Arial" w:hAnsi="Arial"/>
                <w:sz w:val="16"/>
                <w:szCs w:val="16"/>
                <w:color w:val="auto"/>
              </w:rPr>
              <w:t>26</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48.1 %</w:t>
            </w:r>
          </w:p>
        </w:tc>
      </w:tr>
      <w:tr>
        <w:trPr>
          <w:trHeight w:val="33"/>
        </w:trPr>
        <w:tc>
          <w:tcPr>
            <w:tcW w:w="2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17"/>
        </w:trPr>
        <w:tc>
          <w:tcPr>
            <w:tcW w:w="2440" w:type="dxa"/>
            <w:vAlign w:val="bottom"/>
          </w:tcPr>
          <w:p>
            <w:pPr>
              <w:spacing w:after="0"/>
              <w:rPr>
                <w:sz w:val="20"/>
                <w:szCs w:val="20"/>
                <w:color w:val="auto"/>
              </w:rPr>
            </w:pPr>
            <w:r>
              <w:rPr>
                <w:rFonts w:ascii="Arial" w:cs="Arial" w:eastAsia="Arial" w:hAnsi="Arial"/>
                <w:sz w:val="16"/>
                <w:szCs w:val="16"/>
                <w:color w:val="auto"/>
              </w:rPr>
              <w:t>Automotive</w:t>
            </w:r>
          </w:p>
        </w:tc>
        <w:tc>
          <w:tcPr>
            <w:tcW w:w="220" w:type="dxa"/>
            <w:vAlign w:val="bottom"/>
          </w:tcPr>
          <w:p>
            <w:pPr>
              <w:spacing w:after="0"/>
              <w:rPr>
                <w:sz w:val="18"/>
                <w:szCs w:val="18"/>
                <w:color w:val="auto"/>
              </w:rPr>
            </w:pPr>
          </w:p>
        </w:tc>
        <w:tc>
          <w:tcPr>
            <w:tcW w:w="1240" w:type="dxa"/>
            <w:vAlign w:val="bottom"/>
          </w:tcPr>
          <w:p>
            <w:pPr>
              <w:jc w:val="right"/>
              <w:ind w:right="61"/>
              <w:spacing w:after="0"/>
              <w:rPr>
                <w:sz w:val="20"/>
                <w:szCs w:val="20"/>
                <w:color w:val="auto"/>
              </w:rPr>
            </w:pPr>
            <w:r>
              <w:rPr>
                <w:rFonts w:ascii="Arial" w:cs="Arial" w:eastAsia="Arial" w:hAnsi="Arial"/>
                <w:sz w:val="16"/>
                <w:szCs w:val="16"/>
                <w:color w:val="auto"/>
              </w:rPr>
              <w:t>13,361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ind w:right="60"/>
              <w:spacing w:after="0"/>
              <w:rPr>
                <w:sz w:val="20"/>
                <w:szCs w:val="20"/>
                <w:color w:val="auto"/>
              </w:rPr>
            </w:pPr>
            <w:r>
              <w:rPr>
                <w:rFonts w:ascii="Arial" w:cs="Arial" w:eastAsia="Arial" w:hAnsi="Arial"/>
                <w:sz w:val="16"/>
                <w:szCs w:val="16"/>
                <w:color w:val="auto"/>
              </w:rPr>
              <w:t>32,425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(19,064)</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(58.8) %</w:t>
            </w:r>
          </w:p>
        </w:tc>
      </w:tr>
      <w:tr>
        <w:trPr>
          <w:trHeight w:val="257"/>
        </w:trPr>
        <w:tc>
          <w:tcPr>
            <w:tcW w:w="2440" w:type="dxa"/>
            <w:vAlign w:val="bottom"/>
          </w:tcPr>
          <w:p>
            <w:pPr>
              <w:spacing w:after="0"/>
              <w:rPr>
                <w:sz w:val="20"/>
                <w:szCs w:val="20"/>
                <w:color w:val="auto"/>
              </w:rPr>
            </w:pPr>
            <w:r>
              <w:rPr>
                <w:rFonts w:ascii="Arial" w:cs="Arial" w:eastAsia="Arial" w:hAnsi="Arial"/>
                <w:sz w:val="16"/>
                <w:szCs w:val="16"/>
                <w:color w:val="auto"/>
              </w:rPr>
              <w:t>Cruise</w:t>
            </w:r>
          </w:p>
        </w:tc>
        <w:tc>
          <w:tcPr>
            <w:tcW w:w="220" w:type="dxa"/>
            <w:vAlign w:val="bottom"/>
          </w:tcPr>
          <w:p>
            <w:pPr>
              <w:spacing w:after="0"/>
              <w:rPr>
                <w:sz w:val="22"/>
                <w:szCs w:val="22"/>
                <w:color w:val="auto"/>
              </w:rPr>
            </w:pPr>
          </w:p>
        </w:tc>
        <w:tc>
          <w:tcPr>
            <w:tcW w:w="1240" w:type="dxa"/>
            <w:vAlign w:val="bottom"/>
          </w:tcPr>
          <w:p>
            <w:pPr>
              <w:jc w:val="right"/>
              <w:ind w:right="61"/>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jc w:val="right"/>
              <w:ind w:right="60"/>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jc w:val="right"/>
              <w:ind w:right="81"/>
              <w:spacing w:after="0"/>
              <w:rPr>
                <w:sz w:val="20"/>
                <w:szCs w:val="20"/>
                <w:color w:val="auto"/>
              </w:rPr>
            </w:pPr>
            <w:r>
              <w:rPr>
                <w:rFonts w:ascii="Arial" w:cs="Arial" w:eastAsia="Arial" w:hAnsi="Arial"/>
                <w:sz w:val="16"/>
                <w:szCs w:val="16"/>
                <w:color w:val="auto"/>
              </w:rPr>
              <w:t>3</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12.0 %</w:t>
            </w:r>
          </w:p>
        </w:tc>
      </w:tr>
      <w:tr>
        <w:trPr>
          <w:trHeight w:val="257"/>
        </w:trPr>
        <w:tc>
          <w:tcPr>
            <w:tcW w:w="2440" w:type="dxa"/>
            <w:vAlign w:val="bottom"/>
          </w:tcPr>
          <w:p>
            <w:pPr>
              <w:spacing w:after="0"/>
              <w:rPr>
                <w:sz w:val="20"/>
                <w:szCs w:val="20"/>
                <w:color w:val="auto"/>
              </w:rPr>
            </w:pPr>
            <w:r>
              <w:rPr>
                <w:rFonts w:ascii="Arial" w:cs="Arial" w:eastAsia="Arial" w:hAnsi="Arial"/>
                <w:sz w:val="16"/>
                <w:szCs w:val="16"/>
                <w:color w:val="auto"/>
              </w:rPr>
              <w:t>GM Financial</w:t>
            </w:r>
          </w:p>
        </w:tc>
        <w:tc>
          <w:tcPr>
            <w:tcW w:w="220" w:type="dxa"/>
            <w:vAlign w:val="bottom"/>
          </w:tcPr>
          <w:p>
            <w:pPr>
              <w:spacing w:after="0"/>
              <w:rPr>
                <w:sz w:val="22"/>
                <w:szCs w:val="22"/>
                <w:color w:val="auto"/>
              </w:rPr>
            </w:pPr>
          </w:p>
        </w:tc>
        <w:tc>
          <w:tcPr>
            <w:tcW w:w="1240" w:type="dxa"/>
            <w:vAlign w:val="bottom"/>
          </w:tcPr>
          <w:p>
            <w:pPr>
              <w:jc w:val="right"/>
              <w:ind w:right="61"/>
              <w:spacing w:after="0"/>
              <w:rPr>
                <w:sz w:val="20"/>
                <w:szCs w:val="20"/>
                <w:color w:val="auto"/>
              </w:rPr>
            </w:pPr>
            <w:r>
              <w:rPr>
                <w:rFonts w:ascii="Arial" w:cs="Arial" w:eastAsia="Arial" w:hAnsi="Arial"/>
                <w:sz w:val="16"/>
                <w:szCs w:val="16"/>
                <w:color w:val="auto"/>
              </w:rPr>
              <w:t>3,423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jc w:val="right"/>
              <w:ind w:right="60"/>
              <w:spacing w:after="0"/>
              <w:rPr>
                <w:sz w:val="20"/>
                <w:szCs w:val="20"/>
                <w:color w:val="auto"/>
              </w:rPr>
            </w:pPr>
            <w:r>
              <w:rPr>
                <w:rFonts w:ascii="Arial" w:cs="Arial" w:eastAsia="Arial" w:hAnsi="Arial"/>
                <w:sz w:val="16"/>
                <w:szCs w:val="16"/>
                <w:color w:val="auto"/>
              </w:rPr>
              <w:t>3,639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(216)</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(5.9) %</w:t>
            </w:r>
          </w:p>
        </w:tc>
      </w:tr>
      <w:tr>
        <w:trPr>
          <w:trHeight w:val="287"/>
        </w:trPr>
        <w:tc>
          <w:tcPr>
            <w:tcW w:w="2440" w:type="dxa"/>
            <w:vAlign w:val="bottom"/>
          </w:tcPr>
          <w:p>
            <w:pPr>
              <w:spacing w:after="0"/>
              <w:rPr>
                <w:sz w:val="20"/>
                <w:szCs w:val="20"/>
                <w:color w:val="auto"/>
              </w:rPr>
            </w:pPr>
            <w:r>
              <w:rPr>
                <w:rFonts w:ascii="Arial" w:cs="Arial" w:eastAsia="Arial" w:hAnsi="Arial"/>
                <w:sz w:val="16"/>
                <w:szCs w:val="16"/>
                <w:color w:val="auto"/>
              </w:rPr>
              <w:t>Eliminations/reclassifications</w:t>
            </w: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(5)</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(17.2) %</w:t>
            </w:r>
          </w:p>
        </w:tc>
      </w:tr>
      <w:tr>
        <w:trPr>
          <w:trHeight w:val="253"/>
        </w:trPr>
        <w:tc>
          <w:tcPr>
            <w:tcW w:w="2440" w:type="dxa"/>
            <w:vAlign w:val="bottom"/>
          </w:tcPr>
          <w:p>
            <w:pPr>
              <w:spacing w:after="0"/>
              <w:rPr>
                <w:sz w:val="20"/>
                <w:szCs w:val="20"/>
                <w:color w:val="auto"/>
              </w:rPr>
            </w:pPr>
            <w:r>
              <w:rPr>
                <w:rFonts w:ascii="Arial" w:cs="Arial" w:eastAsia="Arial" w:hAnsi="Arial"/>
                <w:sz w:val="16"/>
                <w:szCs w:val="16"/>
                <w:color w:val="auto"/>
              </w:rPr>
              <w:t>Total net sales and revenue</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16,778</w:t>
            </w: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36,060</w:t>
            </w:r>
          </w:p>
        </w:tc>
        <w:tc>
          <w:tcPr>
            <w:tcW w:w="12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(19,282)</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(53.5) %</w:t>
            </w:r>
          </w:p>
        </w:tc>
      </w:tr>
      <w:tr>
        <w:trPr>
          <w:trHeight w:val="20"/>
        </w:trPr>
        <w:tc>
          <w:tcPr>
            <w:tcW w:w="2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120"/>
        <w:spacing w:after="0"/>
        <w:rPr>
          <w:sz w:val="20"/>
          <w:szCs w:val="20"/>
          <w:color w:val="auto"/>
        </w:rPr>
      </w:pPr>
      <w:r>
        <w:rPr>
          <w:rFonts w:ascii="Arial" w:cs="Arial" w:eastAsia="Arial" w:hAnsi="Arial"/>
          <w:sz w:val="14"/>
          <w:szCs w:val="14"/>
          <w:b w:val="1"/>
          <w:bCs w:val="1"/>
          <w:color w:val="auto"/>
        </w:rPr>
        <w:t>Variance Due To</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w w:val="94"/>
              </w:rPr>
              <w:t>Volume</w:t>
            </w:r>
          </w:p>
        </w:tc>
        <w:tc>
          <w:tcPr>
            <w:tcW w:w="2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Mix</w:t>
            </w:r>
          </w:p>
        </w:tc>
        <w:tc>
          <w:tcPr>
            <w:tcW w:w="2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Price</w:t>
            </w:r>
          </w:p>
        </w:tc>
        <w:tc>
          <w:tcPr>
            <w:tcW w:w="2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Other</w:t>
            </w:r>
          </w:p>
        </w:tc>
      </w:tr>
      <w:tr>
        <w:trPr>
          <w:trHeight w:val="190"/>
        </w:trPr>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gridSpan w:val="3"/>
          </w:tcPr>
          <w:p>
            <w:pPr>
              <w:jc w:val="right"/>
              <w:ind w:right="101"/>
              <w:spacing w:after="0"/>
              <w:rPr>
                <w:sz w:val="20"/>
                <w:szCs w:val="20"/>
                <w:color w:val="auto"/>
              </w:rPr>
            </w:pPr>
            <w:r>
              <w:rPr>
                <w:rFonts w:ascii="Arial" w:cs="Arial" w:eastAsia="Arial" w:hAnsi="Arial"/>
                <w:sz w:val="14"/>
                <w:szCs w:val="14"/>
                <w:b w:val="1"/>
                <w:bCs w:val="1"/>
                <w:color w:val="auto"/>
                <w:w w:val="96"/>
              </w:rPr>
              <w:t>(Dollars in billions)</w:t>
            </w: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236"/>
        </w:trPr>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41"/>
              <w:spacing w:after="0"/>
              <w:rPr>
                <w:sz w:val="20"/>
                <w:szCs w:val="20"/>
                <w:color w:val="auto"/>
              </w:rPr>
            </w:pPr>
            <w:r>
              <w:rPr>
                <w:rFonts w:ascii="Arial" w:cs="Arial" w:eastAsia="Arial" w:hAnsi="Arial"/>
                <w:sz w:val="16"/>
                <w:szCs w:val="16"/>
                <w:color w:val="auto"/>
              </w:rPr>
              <w:t>(16.1)</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center"/>
              <w:spacing w:after="0"/>
              <w:rPr>
                <w:sz w:val="20"/>
                <w:szCs w:val="20"/>
                <w:color w:val="auto"/>
              </w:rPr>
            </w:pPr>
            <w:r>
              <w:rPr>
                <w:rFonts w:ascii="Arial" w:cs="Arial" w:eastAsia="Arial" w:hAnsi="Arial"/>
                <w:sz w:val="16"/>
                <w:szCs w:val="16"/>
                <w:color w:val="auto"/>
                <w:w w:val="97"/>
              </w:rPr>
              <w:t>(1.0)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61"/>
              <w:spacing w:after="0"/>
              <w:rPr>
                <w:sz w:val="20"/>
                <w:szCs w:val="20"/>
                <w:color w:val="auto"/>
              </w:rPr>
            </w:pPr>
            <w:r>
              <w:rPr>
                <w:rFonts w:ascii="Arial" w:cs="Arial" w:eastAsia="Arial" w:hAnsi="Arial"/>
                <w:sz w:val="16"/>
                <w:szCs w:val="16"/>
                <w:color w:val="auto"/>
              </w:rPr>
              <w:t>0.9</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40"/>
              <w:spacing w:after="0"/>
              <w:rPr>
                <w:sz w:val="20"/>
                <w:szCs w:val="20"/>
                <w:color w:val="auto"/>
              </w:rPr>
            </w:pPr>
            <w:r>
              <w:rPr>
                <w:rFonts w:ascii="Arial" w:cs="Arial" w:eastAsia="Arial" w:hAnsi="Arial"/>
                <w:sz w:val="16"/>
                <w:szCs w:val="16"/>
                <w:color w:val="auto"/>
              </w:rPr>
              <w:t>(0.5)</w:t>
            </w:r>
          </w:p>
        </w:tc>
      </w:tr>
      <w:tr>
        <w:trPr>
          <w:trHeight w:val="256"/>
        </w:trPr>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41"/>
              <w:spacing w:after="0"/>
              <w:rPr>
                <w:sz w:val="20"/>
                <w:szCs w:val="20"/>
                <w:color w:val="auto"/>
              </w:rPr>
            </w:pPr>
            <w:r>
              <w:rPr>
                <w:rFonts w:ascii="Arial" w:cs="Arial" w:eastAsia="Arial" w:hAnsi="Arial"/>
                <w:sz w:val="16"/>
                <w:szCs w:val="16"/>
                <w:color w:val="auto"/>
              </w:rPr>
              <w:t>(2.2)</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center"/>
              <w:ind w:left="2"/>
              <w:spacing w:after="0"/>
              <w:rPr>
                <w:sz w:val="20"/>
                <w:szCs w:val="20"/>
                <w:color w:val="auto"/>
              </w:rPr>
            </w:pPr>
            <w:r>
              <w:rPr>
                <w:rFonts w:ascii="Arial" w:cs="Arial" w:eastAsia="Arial" w:hAnsi="Arial"/>
                <w:sz w:val="16"/>
                <w:szCs w:val="16"/>
                <w:color w:val="auto"/>
                <w:w w:val="89"/>
              </w:rPr>
              <w:t>0.2</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40"/>
              <w:spacing w:after="0"/>
              <w:rPr>
                <w:sz w:val="20"/>
                <w:szCs w:val="20"/>
                <w:color w:val="auto"/>
              </w:rPr>
            </w:pPr>
            <w:r>
              <w:rPr>
                <w:rFonts w:ascii="Arial" w:cs="Arial" w:eastAsia="Arial" w:hAnsi="Arial"/>
                <w:sz w:val="16"/>
                <w:szCs w:val="16"/>
                <w:color w:val="auto"/>
              </w:rPr>
              <w:t>(0.4)</w:t>
            </w:r>
          </w:p>
        </w:tc>
      </w:tr>
      <w:tr>
        <w:trPr>
          <w:trHeight w:val="257"/>
        </w:trPr>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80"/>
              <w:spacing w:after="0"/>
              <w:rPr>
                <w:sz w:val="20"/>
                <w:szCs w:val="20"/>
                <w:color w:val="auto"/>
              </w:rPr>
            </w:pPr>
            <w:r>
              <w:rPr>
                <w:rFonts w:ascii="Arial" w:cs="Arial" w:eastAsia="Arial" w:hAnsi="Arial"/>
                <w:sz w:val="16"/>
                <w:szCs w:val="16"/>
                <w:color w:val="auto"/>
              </w:rPr>
              <w:t>—</w:t>
            </w:r>
          </w:p>
        </w:tc>
      </w:tr>
      <w:tr>
        <w:trPr>
          <w:trHeight w:val="270"/>
        </w:trPr>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41"/>
              <w:spacing w:after="0"/>
              <w:rPr>
                <w:sz w:val="20"/>
                <w:szCs w:val="20"/>
                <w:color w:val="auto"/>
              </w:rPr>
            </w:pPr>
            <w:r>
              <w:rPr>
                <w:rFonts w:ascii="Arial" w:cs="Arial" w:eastAsia="Arial" w:hAnsi="Arial"/>
                <w:sz w:val="16"/>
                <w:szCs w:val="16"/>
                <w:color w:val="auto"/>
              </w:rPr>
              <w:t>(18.3)</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center"/>
              <w:spacing w:after="0"/>
              <w:rPr>
                <w:sz w:val="20"/>
                <w:szCs w:val="20"/>
                <w:color w:val="auto"/>
              </w:rPr>
            </w:pPr>
            <w:r>
              <w:rPr>
                <w:rFonts w:ascii="Arial" w:cs="Arial" w:eastAsia="Arial" w:hAnsi="Arial"/>
                <w:sz w:val="16"/>
                <w:szCs w:val="16"/>
                <w:color w:val="auto"/>
                <w:w w:val="97"/>
              </w:rPr>
              <w:t>(0.8)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61"/>
              <w:spacing w:after="0"/>
              <w:rPr>
                <w:sz w:val="20"/>
                <w:szCs w:val="20"/>
                <w:color w:val="auto"/>
              </w:rPr>
            </w:pPr>
            <w:r>
              <w:rPr>
                <w:rFonts w:ascii="Arial" w:cs="Arial" w:eastAsia="Arial" w:hAnsi="Arial"/>
                <w:sz w:val="16"/>
                <w:szCs w:val="16"/>
                <w:color w:val="auto"/>
              </w:rPr>
              <w:t>0.9</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40"/>
              <w:spacing w:after="0"/>
              <w:rPr>
                <w:sz w:val="20"/>
                <w:szCs w:val="20"/>
                <w:color w:val="auto"/>
              </w:rPr>
            </w:pPr>
            <w:r>
              <w:rPr>
                <w:rFonts w:ascii="Arial" w:cs="Arial" w:eastAsia="Arial" w:hAnsi="Arial"/>
                <w:sz w:val="16"/>
                <w:szCs w:val="16"/>
                <w:color w:val="auto"/>
              </w:rPr>
              <w:t>(0.9)</w:t>
            </w:r>
          </w:p>
        </w:tc>
      </w:tr>
      <w:tr>
        <w:trPr>
          <w:trHeight w:val="257"/>
        </w:trPr>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80"/>
              <w:spacing w:after="0"/>
              <w:rPr>
                <w:sz w:val="20"/>
                <w:szCs w:val="20"/>
                <w:color w:val="auto"/>
              </w:rPr>
            </w:pPr>
            <w:r>
              <w:rPr>
                <w:rFonts w:ascii="Arial" w:cs="Arial" w:eastAsia="Arial" w:hAnsi="Arial"/>
                <w:sz w:val="16"/>
                <w:szCs w:val="16"/>
                <w:color w:val="auto"/>
              </w:rPr>
              <w:t>—</w:t>
            </w:r>
          </w:p>
        </w:tc>
      </w:tr>
      <w:tr>
        <w:trPr>
          <w:trHeight w:val="257"/>
        </w:trPr>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40"/>
              <w:spacing w:after="0"/>
              <w:rPr>
                <w:sz w:val="20"/>
                <w:szCs w:val="20"/>
                <w:color w:val="auto"/>
              </w:rPr>
            </w:pPr>
            <w:r>
              <w:rPr>
                <w:rFonts w:ascii="Arial" w:cs="Arial" w:eastAsia="Arial" w:hAnsi="Arial"/>
                <w:sz w:val="16"/>
                <w:szCs w:val="16"/>
                <w:color w:val="auto"/>
              </w:rPr>
              <w:t>(0.2)</w:t>
            </w:r>
          </w:p>
        </w:tc>
      </w:tr>
      <w:tr>
        <w:trPr>
          <w:trHeight w:val="257"/>
        </w:trPr>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80"/>
              <w:spacing w:after="0"/>
              <w:rPr>
                <w:sz w:val="20"/>
                <w:szCs w:val="20"/>
                <w:color w:val="auto"/>
              </w:rPr>
            </w:pPr>
            <w:r>
              <w:rPr>
                <w:rFonts w:ascii="Arial" w:cs="Arial" w:eastAsia="Arial" w:hAnsi="Arial"/>
                <w:sz w:val="16"/>
                <w:szCs w:val="16"/>
                <w:color w:val="auto"/>
              </w:rPr>
              <w:t>—</w:t>
            </w:r>
          </w:p>
        </w:tc>
      </w:tr>
      <w:tr>
        <w:trPr>
          <w:trHeight w:val="297"/>
        </w:trPr>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41"/>
              <w:spacing w:after="0"/>
              <w:rPr>
                <w:sz w:val="20"/>
                <w:szCs w:val="20"/>
                <w:color w:val="auto"/>
              </w:rPr>
            </w:pPr>
            <w:r>
              <w:rPr>
                <w:rFonts w:ascii="Arial" w:cs="Arial" w:eastAsia="Arial" w:hAnsi="Arial"/>
                <w:sz w:val="16"/>
                <w:szCs w:val="16"/>
                <w:color w:val="auto"/>
              </w:rPr>
              <w:t>(18.3)</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center"/>
              <w:spacing w:after="0"/>
              <w:rPr>
                <w:sz w:val="20"/>
                <w:szCs w:val="20"/>
                <w:color w:val="auto"/>
              </w:rPr>
            </w:pPr>
            <w:r>
              <w:rPr>
                <w:rFonts w:ascii="Arial" w:cs="Arial" w:eastAsia="Arial" w:hAnsi="Arial"/>
                <w:sz w:val="16"/>
                <w:szCs w:val="16"/>
                <w:color w:val="auto"/>
                <w:w w:val="97"/>
              </w:rPr>
              <w:t>(0.8)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61"/>
              <w:spacing w:after="0"/>
              <w:rPr>
                <w:sz w:val="20"/>
                <w:szCs w:val="20"/>
                <w:color w:val="auto"/>
              </w:rPr>
            </w:pPr>
            <w:r>
              <w:rPr>
                <w:rFonts w:ascii="Arial" w:cs="Arial" w:eastAsia="Arial" w:hAnsi="Arial"/>
                <w:sz w:val="16"/>
                <w:szCs w:val="16"/>
                <w:color w:val="auto"/>
              </w:rPr>
              <w:t>0.9</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40"/>
              <w:spacing w:after="0"/>
              <w:rPr>
                <w:sz w:val="20"/>
                <w:szCs w:val="20"/>
                <w:color w:val="auto"/>
              </w:rPr>
            </w:pPr>
            <w:r>
              <w:rPr>
                <w:rFonts w:ascii="Arial" w:cs="Arial" w:eastAsia="Arial" w:hAnsi="Arial"/>
                <w:sz w:val="16"/>
                <w:szCs w:val="16"/>
                <w:color w:val="auto"/>
              </w:rPr>
              <w:t>(1.1)</w:t>
            </w:r>
          </w:p>
        </w:tc>
      </w:tr>
    </w:tbl>
    <w:p>
      <w:pPr>
        <w:spacing w:after="0" w:line="260" w:lineRule="exact"/>
        <w:rPr>
          <w:sz w:val="20"/>
          <w:szCs w:val="20"/>
          <w:color w:val="auto"/>
        </w:rPr>
      </w:pPr>
    </w:p>
    <w:p>
      <w:pPr>
        <w:sectPr>
          <w:pgSz w:w="11900" w:h="16838" w:orient="portrait"/>
          <w:cols w:equalWidth="0" w:num="2">
            <w:col w:w="7680" w:space="220"/>
            <w:col w:w="3280"/>
          </w:cols>
          <w:pgMar w:left="320" w:top="125" w:right="399" w:bottom="1440" w:gutter="0" w:footer="0" w:header="0"/>
          <w:type w:val="continuous"/>
        </w:sect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4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4"/>
          </w:tcPr>
          <w:p>
            <w:pPr>
              <w:jc w:val="right"/>
              <w:ind w:right="900"/>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161"/>
              <w:spacing w:after="0"/>
              <w:rPr>
                <w:sz w:val="20"/>
                <w:szCs w:val="20"/>
                <w:color w:val="auto"/>
              </w:rPr>
            </w:pPr>
            <w:r>
              <w:rPr>
                <w:rFonts w:ascii="Arial" w:cs="Arial" w:eastAsia="Arial" w:hAnsi="Arial"/>
                <w:sz w:val="14"/>
                <w:szCs w:val="14"/>
                <w:b w:val="1"/>
                <w:bCs w:val="1"/>
                <w:color w:val="auto"/>
              </w:rPr>
              <w:t>Favorable/</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right"/>
              <w:ind w:right="181"/>
              <w:spacing w:after="0"/>
              <w:rPr>
                <w:sz w:val="20"/>
                <w:szCs w:val="20"/>
                <w:color w:val="auto"/>
              </w:rPr>
            </w:pPr>
            <w:r>
              <w:rPr>
                <w:rFonts w:ascii="Arial" w:cs="Arial" w:eastAsia="Arial" w:hAnsi="Arial"/>
                <w:sz w:val="14"/>
                <w:szCs w:val="14"/>
                <w:b w:val="1"/>
                <w:bCs w:val="1"/>
                <w:color w:val="auto"/>
              </w:rPr>
              <w:t>Variance Due To</w:t>
            </w:r>
          </w:p>
        </w:tc>
        <w:tc>
          <w:tcPr>
            <w:tcW w:w="2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r>
      <w:tr>
        <w:trPr>
          <w:trHeight w:val="190"/>
        </w:trPr>
        <w:tc>
          <w:tcPr>
            <w:tcW w:w="2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2020</w:t>
            </w:r>
          </w:p>
        </w:tc>
        <w:tc>
          <w:tcPr>
            <w:tcW w:w="200" w:type="dxa"/>
            <w:vAlign w:val="bottom"/>
          </w:tcPr>
          <w:p>
            <w:pPr>
              <w:spacing w:after="0"/>
              <w:rPr>
                <w:sz w:val="16"/>
                <w:szCs w:val="16"/>
                <w:color w:val="auto"/>
              </w:rPr>
            </w:pPr>
          </w:p>
        </w:tc>
        <w:tc>
          <w:tcPr>
            <w:tcW w:w="138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2019</w:t>
            </w:r>
          </w:p>
        </w:tc>
        <w:tc>
          <w:tcPr>
            <w:tcW w:w="120" w:type="dxa"/>
            <w:vAlign w:val="bottom"/>
          </w:tcPr>
          <w:p>
            <w:pPr>
              <w:spacing w:after="0"/>
              <w:rPr>
                <w:sz w:val="16"/>
                <w:szCs w:val="16"/>
                <w:color w:val="auto"/>
              </w:rPr>
            </w:pPr>
          </w:p>
        </w:tc>
        <w:tc>
          <w:tcPr>
            <w:tcW w:w="1040" w:type="dxa"/>
            <w:vAlign w:val="bottom"/>
          </w:tcPr>
          <w:p>
            <w:pPr>
              <w:jc w:val="right"/>
              <w:ind w:right="61"/>
              <w:spacing w:after="0"/>
              <w:rPr>
                <w:sz w:val="20"/>
                <w:szCs w:val="20"/>
                <w:color w:val="auto"/>
              </w:rPr>
            </w:pPr>
            <w:r>
              <w:rPr>
                <w:rFonts w:ascii="Arial" w:cs="Arial" w:eastAsia="Arial" w:hAnsi="Arial"/>
                <w:sz w:val="14"/>
                <w:szCs w:val="14"/>
                <w:b w:val="1"/>
                <w:bCs w:val="1"/>
                <w:color w:val="auto"/>
                <w:w w:val="97"/>
              </w:rPr>
              <w:t>(Unfavorable)</w:t>
            </w:r>
          </w:p>
        </w:tc>
        <w:tc>
          <w:tcPr>
            <w:tcW w:w="9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w:t>
            </w: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ind w:right="81"/>
              <w:spacing w:after="0"/>
              <w:rPr>
                <w:sz w:val="20"/>
                <w:szCs w:val="20"/>
                <w:color w:val="auto"/>
              </w:rPr>
            </w:pPr>
            <w:r>
              <w:rPr>
                <w:rFonts w:ascii="Arial" w:cs="Arial" w:eastAsia="Arial" w:hAnsi="Arial"/>
                <w:sz w:val="14"/>
                <w:szCs w:val="14"/>
                <w:b w:val="1"/>
                <w:bCs w:val="1"/>
                <w:color w:val="auto"/>
                <w:w w:val="90"/>
              </w:rPr>
              <w:t>Volume</w:t>
            </w:r>
          </w:p>
        </w:tc>
        <w:tc>
          <w:tcPr>
            <w:tcW w:w="240" w:type="dxa"/>
            <w:vAlign w:val="bottom"/>
          </w:tcPr>
          <w:p>
            <w:pPr>
              <w:spacing w:after="0"/>
              <w:rPr>
                <w:sz w:val="16"/>
                <w:szCs w:val="16"/>
                <w:color w:val="auto"/>
              </w:rPr>
            </w:pPr>
          </w:p>
        </w:tc>
        <w:tc>
          <w:tcPr>
            <w:tcW w:w="580" w:type="dxa"/>
            <w:vAlign w:val="bottom"/>
          </w:tcPr>
          <w:p>
            <w:pPr>
              <w:jc w:val="right"/>
              <w:ind w:right="162"/>
              <w:spacing w:after="0"/>
              <w:rPr>
                <w:sz w:val="20"/>
                <w:szCs w:val="20"/>
                <w:color w:val="auto"/>
              </w:rPr>
            </w:pPr>
            <w:r>
              <w:rPr>
                <w:rFonts w:ascii="Arial" w:cs="Arial" w:eastAsia="Arial" w:hAnsi="Arial"/>
                <w:sz w:val="14"/>
                <w:szCs w:val="14"/>
                <w:b w:val="1"/>
                <w:bCs w:val="1"/>
                <w:color w:val="auto"/>
              </w:rPr>
              <w:t>Mix</w:t>
            </w:r>
          </w:p>
        </w:tc>
        <w:tc>
          <w:tcPr>
            <w:tcW w:w="260" w:type="dxa"/>
            <w:vAlign w:val="bottom"/>
          </w:tcPr>
          <w:p>
            <w:pPr>
              <w:spacing w:after="0"/>
              <w:rPr>
                <w:sz w:val="16"/>
                <w:szCs w:val="16"/>
                <w:color w:val="auto"/>
              </w:rPr>
            </w:pPr>
          </w:p>
        </w:tc>
        <w:tc>
          <w:tcPr>
            <w:tcW w:w="560" w:type="dxa"/>
            <w:vAlign w:val="bottom"/>
          </w:tcPr>
          <w:p>
            <w:pPr>
              <w:jc w:val="right"/>
              <w:ind w:right="101"/>
              <w:spacing w:after="0"/>
              <w:rPr>
                <w:sz w:val="20"/>
                <w:szCs w:val="20"/>
                <w:color w:val="auto"/>
              </w:rPr>
            </w:pPr>
            <w:r>
              <w:rPr>
                <w:rFonts w:ascii="Arial" w:cs="Arial" w:eastAsia="Arial" w:hAnsi="Arial"/>
                <w:sz w:val="14"/>
                <w:szCs w:val="14"/>
                <w:b w:val="1"/>
                <w:bCs w:val="1"/>
                <w:color w:val="auto"/>
              </w:rPr>
              <w:t>Price</w:t>
            </w:r>
          </w:p>
        </w:tc>
        <w:tc>
          <w:tcPr>
            <w:tcW w:w="260" w:type="dxa"/>
            <w:vAlign w:val="bottom"/>
          </w:tcPr>
          <w:p>
            <w:pPr>
              <w:spacing w:after="0"/>
              <w:rPr>
                <w:sz w:val="16"/>
                <w:szCs w:val="16"/>
                <w:color w:val="auto"/>
              </w:rPr>
            </w:pPr>
          </w:p>
        </w:tc>
        <w:tc>
          <w:tcPr>
            <w:tcW w:w="600" w:type="dxa"/>
            <w:vAlign w:val="bottom"/>
          </w:tcPr>
          <w:p>
            <w:pPr>
              <w:jc w:val="right"/>
              <w:ind w:right="100"/>
              <w:spacing w:after="0"/>
              <w:rPr>
                <w:sz w:val="20"/>
                <w:szCs w:val="20"/>
                <w:color w:val="auto"/>
              </w:rPr>
            </w:pPr>
            <w:r>
              <w:rPr>
                <w:rFonts w:ascii="Arial" w:cs="Arial" w:eastAsia="Arial" w:hAnsi="Arial"/>
                <w:sz w:val="14"/>
                <w:szCs w:val="14"/>
                <w:b w:val="1"/>
                <w:bCs w:val="1"/>
                <w:color w:val="auto"/>
              </w:rPr>
              <w:t>Other</w:t>
            </w:r>
          </w:p>
        </w:tc>
      </w:tr>
      <w:tr>
        <w:trPr>
          <w:trHeight w:val="196"/>
        </w:trPr>
        <w:tc>
          <w:tcPr>
            <w:tcW w:w="24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gridSpan w:val="3"/>
          </w:tcPr>
          <w:p>
            <w:pPr>
              <w:jc w:val="right"/>
              <w:ind w:right="101"/>
              <w:spacing w:after="0"/>
              <w:rPr>
                <w:sz w:val="20"/>
                <w:szCs w:val="20"/>
                <w:color w:val="auto"/>
              </w:rPr>
            </w:pPr>
            <w:r>
              <w:rPr>
                <w:rFonts w:ascii="Arial" w:cs="Arial" w:eastAsia="Arial" w:hAnsi="Arial"/>
                <w:sz w:val="14"/>
                <w:szCs w:val="14"/>
                <w:b w:val="1"/>
                <w:bCs w:val="1"/>
                <w:color w:val="auto"/>
                <w:w w:val="95"/>
              </w:rPr>
              <w:t>(Dollars in billions)</w:t>
            </w:r>
          </w:p>
        </w:tc>
        <w:tc>
          <w:tcPr>
            <w:tcW w:w="2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r>
      <w:tr>
        <w:trPr>
          <w:trHeight w:val="243"/>
        </w:trPr>
        <w:tc>
          <w:tcPr>
            <w:tcW w:w="2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GMNA</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37,435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55,689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(18,254)</w:t>
            </w:r>
          </w:p>
        </w:tc>
        <w:tc>
          <w:tcPr>
            <w:tcW w:w="9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(32.8) %</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(18.5)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(0.2)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0.9</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(0.5)</w:t>
            </w:r>
          </w:p>
        </w:tc>
      </w:tr>
      <w:tr>
        <w:trPr>
          <w:trHeight w:val="224"/>
        </w:trPr>
        <w:tc>
          <w:tcPr>
            <w:tcW w:w="2440" w:type="dxa"/>
            <w:vAlign w:val="bottom"/>
          </w:tcPr>
          <w:p>
            <w:pPr>
              <w:ind w:left="20"/>
              <w:spacing w:after="0"/>
              <w:rPr>
                <w:sz w:val="20"/>
                <w:szCs w:val="20"/>
                <w:color w:val="auto"/>
              </w:rPr>
            </w:pPr>
            <w:r>
              <w:rPr>
                <w:rFonts w:ascii="Arial" w:cs="Arial" w:eastAsia="Arial" w:hAnsi="Arial"/>
                <w:sz w:val="16"/>
                <w:szCs w:val="16"/>
                <w:color w:val="auto"/>
              </w:rPr>
              <w:t>GMI</w:t>
            </w:r>
          </w:p>
        </w:tc>
        <w:tc>
          <w:tcPr>
            <w:tcW w:w="200" w:type="dxa"/>
            <w:vAlign w:val="bottom"/>
          </w:tcPr>
          <w:p>
            <w:pPr>
              <w:spacing w:after="0"/>
              <w:rPr>
                <w:sz w:val="19"/>
                <w:szCs w:val="19"/>
                <w:color w:val="auto"/>
              </w:rPr>
            </w:pPr>
          </w:p>
        </w:tc>
        <w:tc>
          <w:tcPr>
            <w:tcW w:w="1280" w:type="dxa"/>
            <w:vAlign w:val="bottom"/>
          </w:tcPr>
          <w:p>
            <w:pPr>
              <w:jc w:val="right"/>
              <w:ind w:right="61"/>
              <w:spacing w:after="0"/>
              <w:rPr>
                <w:sz w:val="20"/>
                <w:szCs w:val="20"/>
                <w:color w:val="auto"/>
              </w:rPr>
            </w:pPr>
            <w:r>
              <w:rPr>
                <w:rFonts w:ascii="Arial" w:cs="Arial" w:eastAsia="Arial" w:hAnsi="Arial"/>
                <w:sz w:val="16"/>
                <w:szCs w:val="16"/>
                <w:color w:val="auto"/>
              </w:rPr>
              <w:t>4,957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ind w:right="80"/>
              <w:spacing w:after="0"/>
              <w:rPr>
                <w:sz w:val="20"/>
                <w:szCs w:val="20"/>
                <w:color w:val="auto"/>
              </w:rPr>
            </w:pPr>
            <w:r>
              <w:rPr>
                <w:rFonts w:ascii="Arial" w:cs="Arial" w:eastAsia="Arial" w:hAnsi="Arial"/>
                <w:sz w:val="16"/>
                <w:szCs w:val="16"/>
                <w:color w:val="auto"/>
              </w:rPr>
              <w:t>7,897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(2,940)</w:t>
            </w: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(37.2) %</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41"/>
              <w:spacing w:after="0"/>
              <w:rPr>
                <w:sz w:val="20"/>
                <w:szCs w:val="20"/>
                <w:color w:val="auto"/>
              </w:rPr>
            </w:pPr>
            <w:r>
              <w:rPr>
                <w:rFonts w:ascii="Arial" w:cs="Arial" w:eastAsia="Arial" w:hAnsi="Arial"/>
                <w:sz w:val="16"/>
                <w:szCs w:val="16"/>
                <w:color w:val="auto"/>
              </w:rPr>
              <w:t>(2.8)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62"/>
              <w:spacing w:after="0"/>
              <w:rPr>
                <w:sz w:val="20"/>
                <w:szCs w:val="20"/>
                <w:color w:val="auto"/>
              </w:rPr>
            </w:pPr>
            <w:r>
              <w:rPr>
                <w:rFonts w:ascii="Arial" w:cs="Arial" w:eastAsia="Arial" w:hAnsi="Arial"/>
                <w:sz w:val="16"/>
                <w:szCs w:val="16"/>
                <w:color w:val="auto"/>
              </w:rPr>
              <w:t>0.6</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20"/>
              <w:spacing w:after="0"/>
              <w:rPr>
                <w:sz w:val="20"/>
                <w:szCs w:val="20"/>
                <w:color w:val="auto"/>
              </w:rPr>
            </w:pPr>
            <w:r>
              <w:rPr>
                <w:rFonts w:ascii="Arial" w:cs="Arial" w:eastAsia="Arial" w:hAnsi="Arial"/>
                <w:sz w:val="16"/>
                <w:szCs w:val="16"/>
                <w:color w:val="auto"/>
              </w:rPr>
              <w:t>(0.7)</w:t>
            </w:r>
          </w:p>
        </w:tc>
      </w:tr>
      <w:tr>
        <w:trPr>
          <w:trHeight w:val="33"/>
        </w:trPr>
        <w:tc>
          <w:tcPr>
            <w:tcW w:w="2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7"/>
        </w:trPr>
        <w:tc>
          <w:tcPr>
            <w:tcW w:w="2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Corporate</w:t>
            </w: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118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18</w:t>
            </w:r>
          </w:p>
        </w:tc>
        <w:tc>
          <w:tcPr>
            <w:tcW w:w="9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18.0 %</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r>
      <w:tr>
        <w:trPr>
          <w:trHeight w:val="217"/>
        </w:trPr>
        <w:tc>
          <w:tcPr>
            <w:tcW w:w="2440" w:type="dxa"/>
            <w:vAlign w:val="bottom"/>
          </w:tcPr>
          <w:p>
            <w:pPr>
              <w:ind w:left="20"/>
              <w:spacing w:after="0"/>
              <w:rPr>
                <w:sz w:val="20"/>
                <w:szCs w:val="20"/>
                <w:color w:val="auto"/>
              </w:rPr>
            </w:pPr>
            <w:r>
              <w:rPr>
                <w:rFonts w:ascii="Arial" w:cs="Arial" w:eastAsia="Arial" w:hAnsi="Arial"/>
                <w:sz w:val="16"/>
                <w:szCs w:val="16"/>
                <w:color w:val="auto"/>
              </w:rPr>
              <w:t>Automotive</w:t>
            </w: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rPr>
              <w:t>42,510</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63,686</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(21,176)</w:t>
            </w: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(33.3) %</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41"/>
              <w:spacing w:after="0"/>
              <w:rPr>
                <w:sz w:val="20"/>
                <w:szCs w:val="20"/>
                <w:color w:val="auto"/>
              </w:rPr>
            </w:pPr>
            <w:r>
              <w:rPr>
                <w:rFonts w:ascii="Arial" w:cs="Arial" w:eastAsia="Arial" w:hAnsi="Arial"/>
                <w:sz w:val="16"/>
                <w:szCs w:val="16"/>
                <w:color w:val="auto"/>
              </w:rPr>
              <w:t>(21.3)</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62"/>
              <w:spacing w:after="0"/>
              <w:rPr>
                <w:sz w:val="20"/>
                <w:szCs w:val="20"/>
                <w:color w:val="auto"/>
              </w:rPr>
            </w:pPr>
            <w:r>
              <w:rPr>
                <w:rFonts w:ascii="Arial" w:cs="Arial" w:eastAsia="Arial" w:hAnsi="Arial"/>
                <w:sz w:val="16"/>
                <w:szCs w:val="16"/>
                <w:color w:val="auto"/>
              </w:rPr>
              <w:t>0.4</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61"/>
              <w:spacing w:after="0"/>
              <w:rPr>
                <w:sz w:val="20"/>
                <w:szCs w:val="20"/>
                <w:color w:val="auto"/>
              </w:rPr>
            </w:pPr>
            <w:r>
              <w:rPr>
                <w:rFonts w:ascii="Arial" w:cs="Arial" w:eastAsia="Arial" w:hAnsi="Arial"/>
                <w:sz w:val="16"/>
                <w:szCs w:val="16"/>
                <w:color w:val="auto"/>
              </w:rPr>
              <w:t>1.0</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20"/>
              <w:spacing w:after="0"/>
              <w:rPr>
                <w:sz w:val="20"/>
                <w:szCs w:val="20"/>
                <w:color w:val="auto"/>
              </w:rPr>
            </w:pPr>
            <w:r>
              <w:rPr>
                <w:rFonts w:ascii="Arial" w:cs="Arial" w:eastAsia="Arial" w:hAnsi="Arial"/>
                <w:sz w:val="16"/>
                <w:szCs w:val="16"/>
                <w:color w:val="auto"/>
              </w:rPr>
              <w:t>(1.2)</w:t>
            </w:r>
          </w:p>
        </w:tc>
      </w:tr>
      <w:tr>
        <w:trPr>
          <w:trHeight w:val="33"/>
        </w:trPr>
        <w:tc>
          <w:tcPr>
            <w:tcW w:w="2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37"/>
        </w:trPr>
        <w:tc>
          <w:tcPr>
            <w:tcW w:w="2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Cruise</w:t>
            </w: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53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3</w:t>
            </w:r>
          </w:p>
        </w:tc>
        <w:tc>
          <w:tcPr>
            <w:tcW w:w="9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6.0 %</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r>
      <w:tr>
        <w:trPr>
          <w:trHeight w:val="223"/>
        </w:trPr>
        <w:tc>
          <w:tcPr>
            <w:tcW w:w="2440" w:type="dxa"/>
            <w:vAlign w:val="bottom"/>
          </w:tcPr>
          <w:p>
            <w:pPr>
              <w:ind w:left="20"/>
              <w:spacing w:after="0"/>
              <w:rPr>
                <w:sz w:val="20"/>
                <w:szCs w:val="20"/>
                <w:color w:val="auto"/>
              </w:rPr>
            </w:pPr>
            <w:r>
              <w:rPr>
                <w:rFonts w:ascii="Arial" w:cs="Arial" w:eastAsia="Arial" w:hAnsi="Arial"/>
                <w:sz w:val="16"/>
                <w:szCs w:val="16"/>
                <w:color w:val="auto"/>
              </w:rPr>
              <w:t>GM Financial</w:t>
            </w:r>
          </w:p>
        </w:tc>
        <w:tc>
          <w:tcPr>
            <w:tcW w:w="200" w:type="dxa"/>
            <w:vAlign w:val="bottom"/>
          </w:tcPr>
          <w:p>
            <w:pPr>
              <w:spacing w:after="0"/>
              <w:rPr>
                <w:sz w:val="19"/>
                <w:szCs w:val="19"/>
                <w:color w:val="auto"/>
              </w:rPr>
            </w:pPr>
          </w:p>
        </w:tc>
        <w:tc>
          <w:tcPr>
            <w:tcW w:w="1280" w:type="dxa"/>
            <w:vAlign w:val="bottom"/>
          </w:tcPr>
          <w:p>
            <w:pPr>
              <w:jc w:val="right"/>
              <w:ind w:right="61"/>
              <w:spacing w:after="0"/>
              <w:rPr>
                <w:sz w:val="20"/>
                <w:szCs w:val="20"/>
                <w:color w:val="auto"/>
              </w:rPr>
            </w:pPr>
            <w:r>
              <w:rPr>
                <w:rFonts w:ascii="Arial" w:cs="Arial" w:eastAsia="Arial" w:hAnsi="Arial"/>
                <w:sz w:val="16"/>
                <w:szCs w:val="16"/>
                <w:color w:val="auto"/>
              </w:rPr>
              <w:t>6,984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ind w:right="80"/>
              <w:spacing w:after="0"/>
              <w:rPr>
                <w:sz w:val="20"/>
                <w:szCs w:val="20"/>
                <w:color w:val="auto"/>
              </w:rPr>
            </w:pPr>
            <w:r>
              <w:rPr>
                <w:rFonts w:ascii="Arial" w:cs="Arial" w:eastAsia="Arial" w:hAnsi="Arial"/>
                <w:sz w:val="16"/>
                <w:szCs w:val="16"/>
                <w:color w:val="auto"/>
              </w:rPr>
              <w:t>7,259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(275)</w:t>
            </w: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(3.8) %</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20"/>
              <w:spacing w:after="0"/>
              <w:rPr>
                <w:sz w:val="20"/>
                <w:szCs w:val="20"/>
                <w:color w:val="auto"/>
              </w:rPr>
            </w:pPr>
            <w:r>
              <w:rPr>
                <w:rFonts w:ascii="Arial" w:cs="Arial" w:eastAsia="Arial" w:hAnsi="Arial"/>
                <w:sz w:val="16"/>
                <w:szCs w:val="16"/>
                <w:color w:val="auto"/>
              </w:rPr>
              <w:t>(0.3)</w:t>
            </w:r>
          </w:p>
        </w:tc>
      </w:tr>
      <w:tr>
        <w:trPr>
          <w:trHeight w:val="33"/>
        </w:trPr>
        <w:tc>
          <w:tcPr>
            <w:tcW w:w="2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3"/>
        </w:trPr>
        <w:tc>
          <w:tcPr>
            <w:tcW w:w="2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Eliminations/reclassifications</w:t>
            </w:r>
          </w:p>
        </w:tc>
        <w:tc>
          <w:tcPr>
            <w:tcW w:w="2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(60)</w:t>
            </w: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(57)</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(5.3) %</w:t>
            </w:r>
          </w:p>
        </w:tc>
        <w:tc>
          <w:tcPr>
            <w:tcW w:w="140" w:type="dxa"/>
            <w:vAlign w:val="bottom"/>
            <w:tcBorders>
              <w:right w:val="single" w:sz="8" w:color="auto"/>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r>
      <w:tr>
        <w:trPr>
          <w:trHeight w:val="293"/>
        </w:trPr>
        <w:tc>
          <w:tcPr>
            <w:tcW w:w="2440" w:type="dxa"/>
            <w:vAlign w:val="bottom"/>
          </w:tcPr>
          <w:p>
            <w:pPr>
              <w:ind w:left="20"/>
              <w:spacing w:after="0"/>
              <w:rPr>
                <w:sz w:val="20"/>
                <w:szCs w:val="20"/>
                <w:color w:val="auto"/>
              </w:rPr>
            </w:pPr>
            <w:r>
              <w:rPr>
                <w:rFonts w:ascii="Arial" w:cs="Arial" w:eastAsia="Arial" w:hAnsi="Arial"/>
                <w:sz w:val="16"/>
                <w:szCs w:val="16"/>
                <w:color w:val="auto"/>
              </w:rPr>
              <w:t>Total net sales and revenue</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49,487</w:t>
            </w:r>
          </w:p>
        </w:tc>
        <w:tc>
          <w:tcPr>
            <w:tcW w:w="120" w:type="dxa"/>
            <w:vAlign w:val="bottom"/>
          </w:tcPr>
          <w:p>
            <w:pPr>
              <w:spacing w:after="0"/>
              <w:rPr>
                <w:sz w:val="24"/>
                <w:szCs w:val="24"/>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70,938</w:t>
            </w:r>
          </w:p>
        </w:tc>
        <w:tc>
          <w:tcPr>
            <w:tcW w:w="10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(21,451)</w:t>
            </w: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(30.2) %</w:t>
            </w:r>
          </w:p>
        </w:tc>
        <w:tc>
          <w:tcPr>
            <w:tcW w:w="14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41"/>
              <w:spacing w:after="0"/>
              <w:rPr>
                <w:sz w:val="20"/>
                <w:szCs w:val="20"/>
                <w:color w:val="auto"/>
              </w:rPr>
            </w:pPr>
            <w:r>
              <w:rPr>
                <w:rFonts w:ascii="Arial" w:cs="Arial" w:eastAsia="Arial" w:hAnsi="Arial"/>
                <w:sz w:val="16"/>
                <w:szCs w:val="16"/>
                <w:color w:val="auto"/>
              </w:rPr>
              <w:t>(21.3)</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62"/>
              <w:spacing w:after="0"/>
              <w:rPr>
                <w:sz w:val="20"/>
                <w:szCs w:val="20"/>
                <w:color w:val="auto"/>
              </w:rPr>
            </w:pPr>
            <w:r>
              <w:rPr>
                <w:rFonts w:ascii="Arial" w:cs="Arial" w:eastAsia="Arial" w:hAnsi="Arial"/>
                <w:sz w:val="16"/>
                <w:szCs w:val="16"/>
                <w:color w:val="auto"/>
              </w:rPr>
              <w:t>0.4</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61"/>
              <w:spacing w:after="0"/>
              <w:rPr>
                <w:sz w:val="20"/>
                <w:szCs w:val="20"/>
                <w:color w:val="auto"/>
              </w:rPr>
            </w:pPr>
            <w:r>
              <w:rPr>
                <w:rFonts w:ascii="Arial" w:cs="Arial" w:eastAsia="Arial" w:hAnsi="Arial"/>
                <w:sz w:val="16"/>
                <w:szCs w:val="16"/>
                <w:color w:val="auto"/>
              </w:rPr>
              <w:t>1.0</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20"/>
              <w:spacing w:after="0"/>
              <w:rPr>
                <w:sz w:val="20"/>
                <w:szCs w:val="20"/>
                <w:color w:val="auto"/>
              </w:rPr>
            </w:pPr>
            <w:r>
              <w:rPr>
                <w:rFonts w:ascii="Arial" w:cs="Arial" w:eastAsia="Arial" w:hAnsi="Arial"/>
                <w:sz w:val="16"/>
                <w:szCs w:val="16"/>
                <w:color w:val="auto"/>
              </w:rPr>
              <w:t>(1.5)</w:t>
            </w:r>
          </w:p>
        </w:tc>
      </w:tr>
    </w:tbl>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type w:val="continuous"/>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GENERAL MOTORS COMPANY AND SUBSIDIARIES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Automotive and Other Cost of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089140" cy="14916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089140" cy="1491615"/>
                    </a:xfrm>
                    <a:prstGeom prst="rect">
                      <a:avLst/>
                    </a:prstGeom>
                    <a:noFill/>
                  </pic:spPr>
                </pic:pic>
              </a:graphicData>
            </a:graphic>
          </wp:anchor>
        </w:drawing>
      </w:r>
    </w:p>
    <w:p>
      <w:pPr>
        <w:spacing w:after="0" w:line="129" w:lineRule="exact"/>
        <w:rPr>
          <w:sz w:val="20"/>
          <w:szCs w:val="20"/>
          <w:color w:val="auto"/>
        </w:rPr>
      </w:pPr>
    </w:p>
    <w:tbl>
      <w:tblPr>
        <w:tblLayout w:type="fixed"/>
        <w:tblInd w:w="2420" w:type="dxa"/>
        <w:tblCellMar>
          <w:top w:w="0" w:type="dxa"/>
          <w:left w:w="0" w:type="dxa"/>
          <w:bottom w:w="0" w:type="dxa"/>
          <w:right w:w="0" w:type="dxa"/>
        </w:tblCellMar>
      </w:tblPr>
      <w:tr>
        <w:trPr>
          <w:trHeight w:val="192"/>
        </w:trPr>
        <w:tc>
          <w:tcPr>
            <w:tcW w:w="3040" w:type="dxa"/>
            <w:vAlign w:val="bottom"/>
            <w:tcBorders>
              <w:bottom w:val="single" w:sz="8" w:color="auto"/>
            </w:tcBorders>
            <w:gridSpan w:val="2"/>
          </w:tcPr>
          <w:p>
            <w:pPr>
              <w:ind w:left="860"/>
              <w:spacing w:after="0"/>
              <w:rPr>
                <w:sz w:val="20"/>
                <w:szCs w:val="20"/>
                <w:color w:val="auto"/>
              </w:rPr>
            </w:pPr>
            <w:r>
              <w:rPr>
                <w:rFonts w:ascii="Arial" w:cs="Arial" w:eastAsia="Arial" w:hAnsi="Arial"/>
                <w:sz w:val="14"/>
                <w:szCs w:val="14"/>
                <w:b w:val="1"/>
                <w:bCs w:val="1"/>
                <w:color w:val="auto"/>
              </w:rPr>
              <w:t>Three Months Ended</w:t>
            </w:r>
          </w:p>
        </w:tc>
        <w:tc>
          <w:tcPr>
            <w:tcW w:w="14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4"/>
              </w:rPr>
              <w:t>Favorable/</w:t>
            </w:r>
          </w:p>
        </w:tc>
        <w:tc>
          <w:tcPr>
            <w:tcW w:w="800" w:type="dxa"/>
            <w:vAlign w:val="bottom"/>
          </w:tcPr>
          <w:p>
            <w:pPr>
              <w:spacing w:after="0"/>
              <w:rPr>
                <w:sz w:val="16"/>
                <w:szCs w:val="16"/>
                <w:color w:val="auto"/>
              </w:rPr>
            </w:pPr>
          </w:p>
        </w:tc>
      </w:tr>
      <w:tr>
        <w:trPr>
          <w:trHeight w:val="196"/>
        </w:trPr>
        <w:tc>
          <w:tcPr>
            <w:tcW w:w="152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June 30, 2020</w:t>
            </w:r>
          </w:p>
        </w:tc>
        <w:tc>
          <w:tcPr>
            <w:tcW w:w="152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June 30, 2019</w:t>
            </w:r>
          </w:p>
        </w:tc>
        <w:tc>
          <w:tcPr>
            <w:tcW w:w="128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b w:val="1"/>
                <w:bCs w:val="1"/>
                <w:color w:val="auto"/>
                <w:w w:val="95"/>
              </w:rPr>
              <w:t>(Unfavorable)</w:t>
            </w:r>
          </w:p>
        </w:tc>
        <w:tc>
          <w:tcPr>
            <w:tcW w:w="120" w:type="dxa"/>
            <w:vAlign w:val="bottom"/>
          </w:tcPr>
          <w:p>
            <w:pPr>
              <w:spacing w:after="0"/>
              <w:rPr>
                <w:sz w:val="17"/>
                <w:szCs w:val="17"/>
                <w:color w:val="auto"/>
              </w:rPr>
            </w:pPr>
          </w:p>
        </w:tc>
        <w:tc>
          <w:tcPr>
            <w:tcW w:w="8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140"/>
        <w:spacing w:after="0"/>
        <w:rPr>
          <w:sz w:val="20"/>
          <w:szCs w:val="20"/>
          <w:color w:val="auto"/>
        </w:rPr>
      </w:pPr>
      <w:r>
        <w:rPr>
          <w:rFonts w:ascii="Arial" w:cs="Arial" w:eastAsia="Arial" w:hAnsi="Arial"/>
          <w:sz w:val="14"/>
          <w:szCs w:val="14"/>
          <w:b w:val="1"/>
          <w:bCs w:val="1"/>
          <w:color w:val="auto"/>
        </w:rPr>
        <w:t>Variance Due To</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Volume</w:t>
            </w:r>
          </w:p>
        </w:tc>
        <w:tc>
          <w:tcPr>
            <w:tcW w:w="82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Mix</w:t>
            </w:r>
          </w:p>
        </w:tc>
        <w:tc>
          <w:tcPr>
            <w:tcW w:w="84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Cost</w:t>
            </w:r>
          </w:p>
        </w:tc>
        <w:tc>
          <w:tcPr>
            <w:tcW w:w="82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Other</w:t>
            </w:r>
          </w:p>
        </w:tc>
      </w:tr>
      <w:tr>
        <w:trPr>
          <w:trHeight w:val="244"/>
        </w:trPr>
        <w:tc>
          <w:tcPr>
            <w:tcW w:w="820" w:type="dxa"/>
            <w:vAlign w:val="bottom"/>
          </w:tcPr>
          <w:p>
            <w:pPr>
              <w:spacing w:after="0"/>
              <w:rPr>
                <w:sz w:val="21"/>
                <w:szCs w:val="21"/>
                <w:color w:val="auto"/>
              </w:rPr>
            </w:pPr>
          </w:p>
        </w:tc>
        <w:tc>
          <w:tcPr>
            <w:tcW w:w="1660" w:type="dxa"/>
            <w:vAlign w:val="bottom"/>
            <w:gridSpan w:val="2"/>
          </w:tcPr>
          <w:p>
            <w:pPr>
              <w:ind w:left="240"/>
              <w:spacing w:after="0"/>
              <w:rPr>
                <w:sz w:val="20"/>
                <w:szCs w:val="20"/>
                <w:color w:val="auto"/>
              </w:rPr>
            </w:pPr>
            <w:r>
              <w:rPr>
                <w:rFonts w:ascii="Arial" w:cs="Arial" w:eastAsia="Arial" w:hAnsi="Arial"/>
                <w:sz w:val="14"/>
                <w:szCs w:val="14"/>
                <w:b w:val="1"/>
                <w:bCs w:val="1"/>
                <w:color w:val="auto"/>
              </w:rPr>
              <w:t>(Dollars in billions)</w:t>
            </w:r>
          </w:p>
        </w:tc>
        <w:tc>
          <w:tcPr>
            <w:tcW w:w="820" w:type="dxa"/>
            <w:vAlign w:val="bottom"/>
          </w:tcPr>
          <w:p>
            <w:pPr>
              <w:spacing w:after="0"/>
              <w:rPr>
                <w:sz w:val="21"/>
                <w:szCs w:val="21"/>
                <w:color w:val="auto"/>
              </w:rPr>
            </w:pPr>
          </w:p>
        </w:tc>
      </w:tr>
    </w:tbl>
    <w:p>
      <w:pPr>
        <w:spacing w:after="0" w:line="29" w:lineRule="exact"/>
        <w:rPr>
          <w:sz w:val="20"/>
          <w:szCs w:val="20"/>
          <w:color w:val="auto"/>
        </w:rPr>
      </w:pPr>
    </w:p>
    <w:p>
      <w:pPr>
        <w:sectPr>
          <w:pgSz w:w="11900" w:h="16838" w:orient="portrait"/>
          <w:cols w:equalWidth="0" w:num="2">
            <w:col w:w="7660" w:space="220"/>
            <w:col w:w="3360"/>
          </w:cols>
          <w:pgMar w:left="320" w:top="125" w:right="33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GMNA</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GMI</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Corporate</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Cruise</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Eliminations</w:t>
      </w:r>
    </w:p>
    <w:p>
      <w:pPr>
        <w:spacing w:after="0" w:line="59" w:lineRule="exact"/>
        <w:rPr>
          <w:sz w:val="20"/>
          <w:szCs w:val="20"/>
          <w:color w:val="auto"/>
        </w:rPr>
      </w:pPr>
    </w:p>
    <w:p>
      <w:pPr>
        <w:ind w:left="180" w:hanging="161"/>
        <w:spacing w:after="0"/>
        <w:rPr>
          <w:sz w:val="20"/>
          <w:szCs w:val="20"/>
          <w:color w:val="auto"/>
        </w:rPr>
      </w:pPr>
      <w:r>
        <w:rPr>
          <w:rFonts w:ascii="Arial" w:cs="Arial" w:eastAsia="Arial" w:hAnsi="Arial"/>
          <w:sz w:val="16"/>
          <w:szCs w:val="16"/>
          <w:color w:val="auto"/>
        </w:rPr>
        <w:t>Total automotive and other cost of sales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11,165</w:t>
            </w:r>
          </w:p>
        </w:tc>
        <w:tc>
          <w:tcPr>
            <w:tcW w:w="120" w:type="dxa"/>
            <w:vAlign w:val="bottom"/>
          </w:tcPr>
          <w:p>
            <w:pPr>
              <w:spacing w:after="0"/>
              <w:rPr>
                <w:sz w:val="17"/>
                <w:szCs w:val="17"/>
                <w:color w:val="auto"/>
              </w:rPr>
            </w:pPr>
          </w:p>
        </w:tc>
        <w:tc>
          <w:tcPr>
            <w:tcW w:w="480" w:type="dxa"/>
            <w:vAlign w:val="bottom"/>
          </w:tcPr>
          <w:p>
            <w:pPr>
              <w:jc w:val="right"/>
              <w:ind w:right="324"/>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24,371</w:t>
            </w:r>
          </w:p>
        </w:tc>
        <w:tc>
          <w:tcPr>
            <w:tcW w:w="100" w:type="dxa"/>
            <w:vAlign w:val="bottom"/>
          </w:tcPr>
          <w:p>
            <w:pPr>
              <w:spacing w:after="0"/>
              <w:rPr>
                <w:sz w:val="17"/>
                <w:szCs w:val="17"/>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13,206</w:t>
            </w:r>
          </w:p>
        </w:tc>
        <w:tc>
          <w:tcPr>
            <w:tcW w:w="740" w:type="dxa"/>
            <w:vAlign w:val="bottom"/>
          </w:tcPr>
          <w:p>
            <w:pPr>
              <w:jc w:val="right"/>
              <w:spacing w:after="0"/>
              <w:rPr>
                <w:sz w:val="20"/>
                <w:szCs w:val="20"/>
                <w:color w:val="auto"/>
              </w:rPr>
            </w:pPr>
            <w:r>
              <w:rPr>
                <w:rFonts w:ascii="Arial" w:cs="Arial" w:eastAsia="Arial" w:hAnsi="Arial"/>
                <w:sz w:val="16"/>
                <w:szCs w:val="16"/>
                <w:color w:val="auto"/>
              </w:rPr>
              <w:t>54.2</w:t>
            </w:r>
          </w:p>
        </w:tc>
        <w:tc>
          <w:tcPr>
            <w:tcW w:w="160" w:type="dxa"/>
            <w:vAlign w:val="bottom"/>
          </w:tcPr>
          <w:p>
            <w:pPr>
              <w:jc w:val="right"/>
              <w:spacing w:after="0"/>
              <w:rPr>
                <w:sz w:val="20"/>
                <w:szCs w:val="20"/>
                <w:color w:val="auto"/>
              </w:rPr>
            </w:pPr>
            <w:r>
              <w:rPr>
                <w:rFonts w:ascii="Arial" w:cs="Arial" w:eastAsia="Arial" w:hAnsi="Arial"/>
                <w:sz w:val="16"/>
                <w:szCs w:val="16"/>
                <w:color w:val="auto"/>
                <w:w w:val="98"/>
              </w:rPr>
              <w:t>%</w:t>
            </w:r>
          </w:p>
        </w:tc>
      </w:tr>
      <w:tr>
        <w:trPr>
          <w:trHeight w:val="257"/>
        </w:trPr>
        <w:tc>
          <w:tcPr>
            <w:tcW w:w="480" w:type="dxa"/>
            <w:vAlign w:val="bottom"/>
          </w:tcPr>
          <w:p>
            <w:pPr>
              <w:spacing w:after="0"/>
              <w:rPr>
                <w:sz w:val="22"/>
                <w:szCs w:val="22"/>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2,015</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3,633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1,618</w:t>
            </w:r>
          </w:p>
        </w:tc>
        <w:tc>
          <w:tcPr>
            <w:tcW w:w="740" w:type="dxa"/>
            <w:vAlign w:val="bottom"/>
          </w:tcPr>
          <w:p>
            <w:pPr>
              <w:jc w:val="right"/>
              <w:spacing w:after="0"/>
              <w:rPr>
                <w:sz w:val="20"/>
                <w:szCs w:val="20"/>
                <w:color w:val="auto"/>
              </w:rPr>
            </w:pPr>
            <w:r>
              <w:rPr>
                <w:rFonts w:ascii="Arial" w:cs="Arial" w:eastAsia="Arial" w:hAnsi="Arial"/>
                <w:sz w:val="16"/>
                <w:szCs w:val="16"/>
                <w:color w:val="auto"/>
              </w:rPr>
              <w:t>44.5</w:t>
            </w:r>
          </w:p>
        </w:tc>
        <w:tc>
          <w:tcPr>
            <w:tcW w:w="160" w:type="dxa"/>
            <w:vAlign w:val="bottom"/>
          </w:tcPr>
          <w:p>
            <w:pPr>
              <w:jc w:val="right"/>
              <w:spacing w:after="0"/>
              <w:rPr>
                <w:sz w:val="20"/>
                <w:szCs w:val="20"/>
                <w:color w:val="auto"/>
              </w:rPr>
            </w:pPr>
            <w:r>
              <w:rPr>
                <w:rFonts w:ascii="Arial" w:cs="Arial" w:eastAsia="Arial" w:hAnsi="Arial"/>
                <w:sz w:val="16"/>
                <w:szCs w:val="16"/>
                <w:color w:val="auto"/>
                <w:w w:val="98"/>
              </w:rPr>
              <w:t>%</w:t>
            </w:r>
          </w:p>
        </w:tc>
      </w:tr>
      <w:tr>
        <w:trPr>
          <w:trHeight w:val="257"/>
        </w:trPr>
        <w:tc>
          <w:tcPr>
            <w:tcW w:w="480" w:type="dxa"/>
            <w:vAlign w:val="bottom"/>
          </w:tcPr>
          <w:p>
            <w:pPr>
              <w:spacing w:after="0"/>
              <w:rPr>
                <w:sz w:val="22"/>
                <w:szCs w:val="22"/>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76</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(44)</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n.m.</w:t>
            </w:r>
          </w:p>
        </w:tc>
      </w:tr>
      <w:tr>
        <w:trPr>
          <w:trHeight w:val="256"/>
        </w:trPr>
        <w:tc>
          <w:tcPr>
            <w:tcW w:w="480" w:type="dxa"/>
            <w:vAlign w:val="bottom"/>
          </w:tcPr>
          <w:p>
            <w:pPr>
              <w:spacing w:after="0"/>
              <w:rPr>
                <w:sz w:val="22"/>
                <w:szCs w:val="22"/>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188</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292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104</w:t>
            </w:r>
          </w:p>
        </w:tc>
        <w:tc>
          <w:tcPr>
            <w:tcW w:w="740" w:type="dxa"/>
            <w:vAlign w:val="bottom"/>
          </w:tcPr>
          <w:p>
            <w:pPr>
              <w:jc w:val="right"/>
              <w:spacing w:after="0"/>
              <w:rPr>
                <w:sz w:val="20"/>
                <w:szCs w:val="20"/>
                <w:color w:val="auto"/>
              </w:rPr>
            </w:pPr>
            <w:r>
              <w:rPr>
                <w:rFonts w:ascii="Arial" w:cs="Arial" w:eastAsia="Arial" w:hAnsi="Arial"/>
                <w:sz w:val="16"/>
                <w:szCs w:val="16"/>
                <w:color w:val="auto"/>
              </w:rPr>
              <w:t>35.6</w:t>
            </w:r>
          </w:p>
        </w:tc>
        <w:tc>
          <w:tcPr>
            <w:tcW w:w="160" w:type="dxa"/>
            <w:vAlign w:val="bottom"/>
          </w:tcPr>
          <w:p>
            <w:pPr>
              <w:jc w:val="right"/>
              <w:spacing w:after="0"/>
              <w:rPr>
                <w:sz w:val="20"/>
                <w:szCs w:val="20"/>
                <w:color w:val="auto"/>
              </w:rPr>
            </w:pPr>
            <w:r>
              <w:rPr>
                <w:rFonts w:ascii="Arial" w:cs="Arial" w:eastAsia="Arial" w:hAnsi="Arial"/>
                <w:sz w:val="16"/>
                <w:szCs w:val="16"/>
                <w:color w:val="auto"/>
                <w:w w:val="98"/>
              </w:rPr>
              <w:t>%</w:t>
            </w:r>
          </w:p>
        </w:tc>
      </w:tr>
      <w:tr>
        <w:trPr>
          <w:trHeight w:val="257"/>
        </w:trPr>
        <w:tc>
          <w:tcPr>
            <w:tcW w:w="480" w:type="dxa"/>
            <w:vAlign w:val="bottom"/>
          </w:tcPr>
          <w:p>
            <w:pPr>
              <w:spacing w:after="0"/>
              <w:rPr>
                <w:sz w:val="22"/>
                <w:szCs w:val="22"/>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n.m.</w:t>
            </w:r>
          </w:p>
        </w:tc>
      </w:tr>
      <w:tr>
        <w:trPr>
          <w:trHeight w:val="33"/>
        </w:trPr>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328"/>
        </w:trPr>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13,444</w:t>
            </w:r>
          </w:p>
        </w:tc>
        <w:tc>
          <w:tcPr>
            <w:tcW w:w="120" w:type="dxa"/>
            <w:vAlign w:val="bottom"/>
          </w:tcPr>
          <w:p>
            <w:pPr>
              <w:spacing w:after="0"/>
              <w:rPr>
                <w:sz w:val="24"/>
                <w:szCs w:val="24"/>
                <w:color w:val="auto"/>
              </w:rPr>
            </w:pPr>
          </w:p>
        </w:tc>
        <w:tc>
          <w:tcPr>
            <w:tcW w:w="480" w:type="dxa"/>
            <w:vAlign w:val="bottom"/>
            <w:tcBorders>
              <w:bottom w:val="single" w:sz="8" w:color="auto"/>
            </w:tcBorders>
          </w:tcPr>
          <w:p>
            <w:pPr>
              <w:jc w:val="right"/>
              <w:ind w:right="324"/>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28,327</w:t>
            </w:r>
          </w:p>
        </w:tc>
        <w:tc>
          <w:tcPr>
            <w:tcW w:w="100" w:type="dxa"/>
            <w:vAlign w:val="bottom"/>
          </w:tcPr>
          <w:p>
            <w:pPr>
              <w:spacing w:after="0"/>
              <w:rPr>
                <w:sz w:val="24"/>
                <w:szCs w:val="24"/>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14,883</w:t>
            </w:r>
          </w:p>
        </w:tc>
        <w:tc>
          <w:tcPr>
            <w:tcW w:w="740" w:type="dxa"/>
            <w:vAlign w:val="bottom"/>
          </w:tcPr>
          <w:p>
            <w:pPr>
              <w:jc w:val="right"/>
              <w:spacing w:after="0"/>
              <w:rPr>
                <w:sz w:val="20"/>
                <w:szCs w:val="20"/>
                <w:color w:val="auto"/>
              </w:rPr>
            </w:pPr>
            <w:r>
              <w:rPr>
                <w:rFonts w:ascii="Arial" w:cs="Arial" w:eastAsia="Arial" w:hAnsi="Arial"/>
                <w:sz w:val="16"/>
                <w:szCs w:val="16"/>
                <w:color w:val="auto"/>
              </w:rPr>
              <w:t>52.5</w:t>
            </w:r>
          </w:p>
        </w:tc>
        <w:tc>
          <w:tcPr>
            <w:tcW w:w="160" w:type="dxa"/>
            <w:vAlign w:val="bottom"/>
          </w:tcPr>
          <w:p>
            <w:pPr>
              <w:jc w:val="right"/>
              <w:spacing w:after="0"/>
              <w:rPr>
                <w:sz w:val="20"/>
                <w:szCs w:val="20"/>
                <w:color w:val="auto"/>
              </w:rPr>
            </w:pPr>
            <w:r>
              <w:rPr>
                <w:rFonts w:ascii="Arial" w:cs="Arial" w:eastAsia="Arial" w:hAnsi="Arial"/>
                <w:sz w:val="16"/>
                <w:szCs w:val="16"/>
                <w:color w:val="auto"/>
                <w:w w:val="98"/>
              </w:rPr>
              <w:t>%</w:t>
            </w:r>
          </w:p>
        </w:tc>
      </w:tr>
      <w:tr>
        <w:trPr>
          <w:trHeight w:val="23"/>
        </w:trPr>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11.7</w:t>
            </w: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540" w:type="dxa"/>
            <w:vAlign w:val="bottom"/>
          </w:tcPr>
          <w:p>
            <w:pPr>
              <w:jc w:val="center"/>
              <w:spacing w:after="0"/>
              <w:rPr>
                <w:sz w:val="20"/>
                <w:szCs w:val="20"/>
                <w:color w:val="auto"/>
              </w:rPr>
            </w:pPr>
            <w:r>
              <w:rPr>
                <w:rFonts w:ascii="Arial" w:cs="Arial" w:eastAsia="Arial" w:hAnsi="Arial"/>
                <w:sz w:val="16"/>
                <w:szCs w:val="16"/>
                <w:color w:val="auto"/>
                <w:w w:val="89"/>
              </w:rPr>
              <w:t>0.2</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79"/>
              <w:spacing w:after="0"/>
              <w:rPr>
                <w:sz w:val="20"/>
                <w:szCs w:val="20"/>
                <w:color w:val="auto"/>
              </w:rPr>
            </w:pPr>
            <w:r>
              <w:rPr>
                <w:rFonts w:ascii="Arial" w:cs="Arial" w:eastAsia="Arial" w:hAnsi="Arial"/>
                <w:sz w:val="16"/>
                <w:szCs w:val="16"/>
                <w:color w:val="auto"/>
              </w:rPr>
              <w:t>1.5</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(0.2)</w:t>
            </w:r>
          </w:p>
        </w:tc>
      </w:tr>
      <w:tr>
        <w:trPr>
          <w:trHeight w:val="257"/>
        </w:trPr>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2.0</w:t>
            </w: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540" w:type="dxa"/>
            <w:vAlign w:val="bottom"/>
          </w:tcPr>
          <w:p>
            <w:pPr>
              <w:jc w:val="center"/>
              <w:spacing w:after="0"/>
              <w:rPr>
                <w:sz w:val="20"/>
                <w:szCs w:val="20"/>
                <w:color w:val="auto"/>
              </w:rPr>
            </w:pPr>
            <w:r>
              <w:rPr>
                <w:rFonts w:ascii="Arial" w:cs="Arial" w:eastAsia="Arial" w:hAnsi="Arial"/>
                <w:sz w:val="16"/>
                <w:szCs w:val="16"/>
                <w:color w:val="auto"/>
                <w:w w:val="91"/>
              </w:rPr>
              <w:t>(0.2)</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(0.3)</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0.2</w:t>
            </w:r>
          </w:p>
        </w:tc>
      </w:tr>
      <w:tr>
        <w:trPr>
          <w:trHeight w:val="257"/>
        </w:trPr>
        <w:tc>
          <w:tcPr>
            <w:tcW w:w="1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(0.1)</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6"/>
        </w:trPr>
        <w:tc>
          <w:tcPr>
            <w:tcW w:w="1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79"/>
              <w:spacing w:after="0"/>
              <w:rPr>
                <w:sz w:val="20"/>
                <w:szCs w:val="20"/>
                <w:color w:val="auto"/>
              </w:rPr>
            </w:pPr>
            <w:r>
              <w:rPr>
                <w:rFonts w:ascii="Arial" w:cs="Arial" w:eastAsia="Arial" w:hAnsi="Arial"/>
                <w:sz w:val="16"/>
                <w:szCs w:val="16"/>
                <w:color w:val="auto"/>
              </w:rPr>
              <w:t>0.1</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7"/>
        </w:trPr>
        <w:tc>
          <w:tcPr>
            <w:tcW w:w="1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378"/>
        </w:trPr>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13.7</w:t>
            </w: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540" w:type="dxa"/>
            <w:vAlign w:val="bottom"/>
          </w:tcPr>
          <w:p>
            <w:pPr>
              <w:jc w:val="center"/>
              <w:spacing w:after="0"/>
              <w:rPr>
                <w:sz w:val="20"/>
                <w:szCs w:val="20"/>
                <w:color w:val="auto"/>
              </w:rPr>
            </w:pPr>
            <w:r>
              <w:rPr>
                <w:rFonts w:ascii="Arial" w:cs="Arial" w:eastAsia="Arial" w:hAnsi="Arial"/>
                <w:sz w:val="16"/>
                <w:szCs w:val="16"/>
                <w:color w:val="auto"/>
                <w:w w:val="91"/>
              </w:rPr>
              <w:t>(0.1)</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79"/>
              <w:spacing w:after="0"/>
              <w:rPr>
                <w:sz w:val="20"/>
                <w:szCs w:val="20"/>
                <w:color w:val="auto"/>
              </w:rPr>
            </w:pPr>
            <w:r>
              <w:rPr>
                <w:rFonts w:ascii="Arial" w:cs="Arial" w:eastAsia="Arial" w:hAnsi="Arial"/>
                <w:sz w:val="16"/>
                <w:szCs w:val="16"/>
                <w:color w:val="auto"/>
              </w:rPr>
              <w:t>1.2</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0.1</w:t>
            </w:r>
          </w:p>
        </w:tc>
      </w:tr>
    </w:tbl>
    <w:p>
      <w:pPr>
        <w:spacing w:after="0" w:line="126" w:lineRule="exact"/>
        <w:rPr>
          <w:sz w:val="20"/>
          <w:szCs w:val="20"/>
          <w:color w:val="auto"/>
        </w:rPr>
      </w:pPr>
    </w:p>
    <w:p>
      <w:pPr>
        <w:sectPr>
          <w:pgSz w:w="11900" w:h="16838" w:orient="portrait"/>
          <w:cols w:equalWidth="0" w:num="3">
            <w:col w:w="2260" w:space="160"/>
            <w:col w:w="5220" w:space="260"/>
            <w:col w:w="3340"/>
          </w:cols>
          <w:pgMar w:left="320" w:top="125" w:right="339" w:bottom="1440" w:gutter="0" w:footer="0" w:header="0"/>
          <w:type w:val="continuous"/>
        </w:sectPr>
      </w:pPr>
    </w:p>
    <w:p>
      <w:pPr>
        <w:spacing w:after="0"/>
        <w:rPr>
          <w:sz w:val="20"/>
          <w:szCs w:val="20"/>
          <w:color w:val="auto"/>
        </w:rPr>
      </w:pPr>
      <w:r>
        <w:rPr>
          <w:rFonts w:ascii="Arial" w:cs="Arial" w:eastAsia="Arial" w:hAnsi="Arial"/>
          <w:sz w:val="18"/>
          <w:szCs w:val="18"/>
          <w:color w:val="auto"/>
        </w:rPr>
        <w:t>________</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n.m. = not meaningful</w:t>
      </w:r>
    </w:p>
    <w:p>
      <w:pPr>
        <w:sectPr>
          <w:pgSz w:w="11900" w:h="16838" w:orient="portrait"/>
          <w:cols w:equalWidth="0" w:num="1">
            <w:col w:w="1124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0"/>
        <w:spacing w:after="0"/>
        <w:rPr>
          <w:sz w:val="20"/>
          <w:szCs w:val="20"/>
          <w:color w:val="auto"/>
        </w:rPr>
      </w:pPr>
      <w:r>
        <w:rPr>
          <w:rFonts w:ascii="Arial" w:cs="Arial" w:eastAsia="Arial" w:hAnsi="Arial"/>
          <w:sz w:val="16"/>
          <w:szCs w:val="16"/>
          <w:color w:val="auto"/>
        </w:rPr>
        <w:t>GMNA</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GMI</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Corporate</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Cruise</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Eliminations</w:t>
      </w:r>
    </w:p>
    <w:p>
      <w:pPr>
        <w:spacing w:after="0" w:line="59" w:lineRule="exact"/>
        <w:rPr>
          <w:sz w:val="20"/>
          <w:szCs w:val="20"/>
          <w:color w:val="auto"/>
        </w:rPr>
      </w:pPr>
    </w:p>
    <w:p>
      <w:pPr>
        <w:ind w:left="180" w:hanging="161"/>
        <w:spacing w:after="0"/>
        <w:rPr>
          <w:sz w:val="20"/>
          <w:szCs w:val="20"/>
          <w:color w:val="auto"/>
        </w:rPr>
      </w:pPr>
      <w:r>
        <w:rPr>
          <w:rFonts w:ascii="Arial" w:cs="Arial" w:eastAsia="Arial" w:hAnsi="Arial"/>
          <w:sz w:val="16"/>
          <w:szCs w:val="16"/>
          <w:color w:val="auto"/>
        </w:rPr>
        <w:t>Total automotive and other cost of sales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22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4"/>
          </w:tcPr>
          <w:p>
            <w:pPr>
              <w:jc w:val="right"/>
              <w:ind w:right="900"/>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181"/>
              <w:spacing w:after="0"/>
              <w:rPr>
                <w:sz w:val="20"/>
                <w:szCs w:val="20"/>
                <w:color w:val="auto"/>
              </w:rPr>
            </w:pPr>
            <w:r>
              <w:rPr>
                <w:rFonts w:ascii="Arial" w:cs="Arial" w:eastAsia="Arial" w:hAnsi="Arial"/>
                <w:sz w:val="14"/>
                <w:szCs w:val="14"/>
                <w:b w:val="1"/>
                <w:bCs w:val="1"/>
                <w:color w:val="auto"/>
              </w:rPr>
              <w:t>Favorable/</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rPr>
              <w:t>Variance Due To</w:t>
            </w:r>
          </w:p>
        </w:tc>
        <w:tc>
          <w:tcPr>
            <w:tcW w:w="2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r>
      <w:tr>
        <w:trPr>
          <w:trHeight w:val="190"/>
        </w:trPr>
        <w:tc>
          <w:tcPr>
            <w:tcW w:w="220" w:type="dxa"/>
            <w:vAlign w:val="bottom"/>
          </w:tcPr>
          <w:p>
            <w:pPr>
              <w:spacing w:after="0"/>
              <w:rPr>
                <w:sz w:val="16"/>
                <w:szCs w:val="16"/>
                <w:color w:val="auto"/>
              </w:rPr>
            </w:pPr>
          </w:p>
        </w:tc>
        <w:tc>
          <w:tcPr>
            <w:tcW w:w="140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2020</w:t>
            </w:r>
          </w:p>
        </w:tc>
        <w:tc>
          <w:tcPr>
            <w:tcW w:w="200" w:type="dxa"/>
            <w:vAlign w:val="bottom"/>
          </w:tcPr>
          <w:p>
            <w:pPr>
              <w:spacing w:after="0"/>
              <w:rPr>
                <w:sz w:val="16"/>
                <w:szCs w:val="16"/>
                <w:color w:val="auto"/>
              </w:rPr>
            </w:pPr>
          </w:p>
        </w:tc>
        <w:tc>
          <w:tcPr>
            <w:tcW w:w="140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2019</w:t>
            </w:r>
          </w:p>
        </w:tc>
        <w:tc>
          <w:tcPr>
            <w:tcW w:w="120" w:type="dxa"/>
            <w:vAlign w:val="bottom"/>
          </w:tcPr>
          <w:p>
            <w:pPr>
              <w:spacing w:after="0"/>
              <w:rPr>
                <w:sz w:val="16"/>
                <w:szCs w:val="16"/>
                <w:color w:val="auto"/>
              </w:rPr>
            </w:pPr>
          </w:p>
        </w:tc>
        <w:tc>
          <w:tcPr>
            <w:tcW w:w="1040" w:type="dxa"/>
            <w:vAlign w:val="bottom"/>
          </w:tcPr>
          <w:p>
            <w:pPr>
              <w:jc w:val="right"/>
              <w:ind w:right="81"/>
              <w:spacing w:after="0"/>
              <w:rPr>
                <w:sz w:val="20"/>
                <w:szCs w:val="20"/>
                <w:color w:val="auto"/>
              </w:rPr>
            </w:pPr>
            <w:r>
              <w:rPr>
                <w:rFonts w:ascii="Arial" w:cs="Arial" w:eastAsia="Arial" w:hAnsi="Arial"/>
                <w:sz w:val="14"/>
                <w:szCs w:val="14"/>
                <w:b w:val="1"/>
                <w:bCs w:val="1"/>
                <w:color w:val="auto"/>
                <w:w w:val="95"/>
              </w:rPr>
              <w:t>(Unfavorable)</w:t>
            </w:r>
          </w:p>
        </w:tc>
        <w:tc>
          <w:tcPr>
            <w:tcW w:w="740" w:type="dxa"/>
            <w:vAlign w:val="bottom"/>
            <w:gridSpan w:val="2"/>
          </w:tcPr>
          <w:p>
            <w:pPr>
              <w:jc w:val="right"/>
              <w:ind w:right="79"/>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ind w:right="41"/>
              <w:spacing w:after="0"/>
              <w:rPr>
                <w:sz w:val="20"/>
                <w:szCs w:val="20"/>
                <w:color w:val="auto"/>
              </w:rPr>
            </w:pPr>
            <w:r>
              <w:rPr>
                <w:rFonts w:ascii="Arial" w:cs="Arial" w:eastAsia="Arial" w:hAnsi="Arial"/>
                <w:sz w:val="14"/>
                <w:szCs w:val="14"/>
                <w:b w:val="1"/>
                <w:bCs w:val="1"/>
                <w:color w:val="auto"/>
                <w:w w:val="90"/>
              </w:rPr>
              <w:t>Volume</w:t>
            </w:r>
          </w:p>
        </w:tc>
        <w:tc>
          <w:tcPr>
            <w:tcW w:w="280" w:type="dxa"/>
            <w:vAlign w:val="bottom"/>
          </w:tcPr>
          <w:p>
            <w:pPr>
              <w:spacing w:after="0"/>
              <w:rPr>
                <w:sz w:val="16"/>
                <w:szCs w:val="16"/>
                <w:color w:val="auto"/>
              </w:rPr>
            </w:pPr>
          </w:p>
        </w:tc>
        <w:tc>
          <w:tcPr>
            <w:tcW w:w="600" w:type="dxa"/>
            <w:vAlign w:val="bottom"/>
          </w:tcPr>
          <w:p>
            <w:pPr>
              <w:jc w:val="right"/>
              <w:ind w:right="183"/>
              <w:spacing w:after="0"/>
              <w:rPr>
                <w:sz w:val="20"/>
                <w:szCs w:val="20"/>
                <w:color w:val="auto"/>
              </w:rPr>
            </w:pPr>
            <w:r>
              <w:rPr>
                <w:rFonts w:ascii="Arial" w:cs="Arial" w:eastAsia="Arial" w:hAnsi="Arial"/>
                <w:sz w:val="14"/>
                <w:szCs w:val="14"/>
                <w:b w:val="1"/>
                <w:bCs w:val="1"/>
                <w:color w:val="auto"/>
              </w:rPr>
              <w:t>Mix</w:t>
            </w:r>
          </w:p>
        </w:tc>
        <w:tc>
          <w:tcPr>
            <w:tcW w:w="260" w:type="dxa"/>
            <w:vAlign w:val="bottom"/>
          </w:tcPr>
          <w:p>
            <w:pPr>
              <w:spacing w:after="0"/>
              <w:rPr>
                <w:sz w:val="16"/>
                <w:szCs w:val="16"/>
                <w:color w:val="auto"/>
              </w:rPr>
            </w:pPr>
          </w:p>
        </w:tc>
        <w:tc>
          <w:tcPr>
            <w:tcW w:w="580" w:type="dxa"/>
            <w:vAlign w:val="bottom"/>
          </w:tcPr>
          <w:p>
            <w:pPr>
              <w:jc w:val="right"/>
              <w:ind w:right="160"/>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6"/>
                <w:szCs w:val="16"/>
                <w:color w:val="auto"/>
              </w:rPr>
            </w:pPr>
          </w:p>
        </w:tc>
        <w:tc>
          <w:tcPr>
            <w:tcW w:w="600" w:type="dxa"/>
            <w:vAlign w:val="bottom"/>
          </w:tcPr>
          <w:p>
            <w:pPr>
              <w:jc w:val="right"/>
              <w:ind w:right="101"/>
              <w:spacing w:after="0"/>
              <w:rPr>
                <w:sz w:val="20"/>
                <w:szCs w:val="20"/>
                <w:color w:val="auto"/>
              </w:rPr>
            </w:pPr>
            <w:r>
              <w:rPr>
                <w:rFonts w:ascii="Arial" w:cs="Arial" w:eastAsia="Arial" w:hAnsi="Arial"/>
                <w:sz w:val="14"/>
                <w:szCs w:val="14"/>
                <w:b w:val="1"/>
                <w:bCs w:val="1"/>
                <w:color w:val="auto"/>
              </w:rPr>
              <w:t>Other</w:t>
            </w:r>
          </w:p>
        </w:tc>
      </w:tr>
      <w:tr>
        <w:trPr>
          <w:trHeight w:val="190"/>
        </w:trPr>
        <w:tc>
          <w:tcPr>
            <w:tcW w:w="2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96"/>
              </w:rPr>
              <w:t>(Dollars in billions)</w:t>
            </w:r>
          </w:p>
        </w:tc>
        <w:tc>
          <w:tcPr>
            <w:tcW w:w="24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r>
      <w:tr>
        <w:trPr>
          <w:trHeight w:val="236"/>
        </w:trPr>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61"/>
              <w:spacing w:after="0"/>
              <w:rPr>
                <w:sz w:val="20"/>
                <w:szCs w:val="20"/>
                <w:color w:val="auto"/>
              </w:rPr>
            </w:pPr>
            <w:r>
              <w:rPr>
                <w:rFonts w:ascii="Arial" w:cs="Arial" w:eastAsia="Arial" w:hAnsi="Arial"/>
                <w:sz w:val="16"/>
                <w:szCs w:val="16"/>
                <w:color w:val="auto"/>
              </w:rPr>
              <w:t>33,718</w:t>
            </w:r>
          </w:p>
        </w:tc>
        <w:tc>
          <w:tcPr>
            <w:tcW w:w="120" w:type="dxa"/>
            <w:vAlign w:val="bottom"/>
          </w:tcPr>
          <w:p>
            <w:pPr>
              <w:spacing w:after="0"/>
              <w:rPr>
                <w:sz w:val="20"/>
                <w:szCs w:val="20"/>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ind w:right="60"/>
              <w:spacing w:after="0"/>
              <w:rPr>
                <w:sz w:val="20"/>
                <w:szCs w:val="20"/>
                <w:color w:val="auto"/>
              </w:rPr>
            </w:pPr>
            <w:r>
              <w:rPr>
                <w:rFonts w:ascii="Arial" w:cs="Arial" w:eastAsia="Arial" w:hAnsi="Arial"/>
                <w:sz w:val="16"/>
                <w:szCs w:val="16"/>
                <w:color w:val="auto"/>
              </w:rPr>
              <w:t>49,342</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81"/>
              <w:spacing w:after="0"/>
              <w:rPr>
                <w:sz w:val="20"/>
                <w:szCs w:val="20"/>
                <w:color w:val="auto"/>
              </w:rPr>
            </w:pPr>
            <w:r>
              <w:rPr>
                <w:rFonts w:ascii="Arial" w:cs="Arial" w:eastAsia="Arial" w:hAnsi="Arial"/>
                <w:sz w:val="16"/>
                <w:szCs w:val="16"/>
                <w:color w:val="auto"/>
              </w:rPr>
              <w:t>15,624</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31.7</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ind w:right="61"/>
              <w:spacing w:after="0"/>
              <w:rPr>
                <w:sz w:val="20"/>
                <w:szCs w:val="20"/>
                <w:color w:val="auto"/>
              </w:rPr>
            </w:pPr>
            <w:r>
              <w:rPr>
                <w:rFonts w:ascii="Arial" w:cs="Arial" w:eastAsia="Arial" w:hAnsi="Arial"/>
                <w:sz w:val="16"/>
                <w:szCs w:val="16"/>
                <w:color w:val="auto"/>
              </w:rPr>
              <w:t>13.5</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43"/>
              <w:spacing w:after="0"/>
              <w:rPr>
                <w:sz w:val="20"/>
                <w:szCs w:val="20"/>
                <w:color w:val="auto"/>
              </w:rPr>
            </w:pPr>
            <w:r>
              <w:rPr>
                <w:rFonts w:ascii="Arial" w:cs="Arial" w:eastAsia="Arial" w:hAnsi="Arial"/>
                <w:sz w:val="16"/>
                <w:szCs w:val="16"/>
                <w:color w:val="auto"/>
              </w:rPr>
              <w:t>(0.2)</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80"/>
              <w:spacing w:after="0"/>
              <w:rPr>
                <w:sz w:val="20"/>
                <w:szCs w:val="20"/>
                <w:color w:val="auto"/>
              </w:rPr>
            </w:pPr>
            <w:r>
              <w:rPr>
                <w:rFonts w:ascii="Arial" w:cs="Arial" w:eastAsia="Arial" w:hAnsi="Arial"/>
                <w:sz w:val="16"/>
                <w:szCs w:val="16"/>
                <w:color w:val="auto"/>
              </w:rPr>
              <w:t>2.4</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21"/>
              <w:spacing w:after="0"/>
              <w:rPr>
                <w:sz w:val="20"/>
                <w:szCs w:val="20"/>
                <w:color w:val="auto"/>
              </w:rPr>
            </w:pPr>
            <w:r>
              <w:rPr>
                <w:rFonts w:ascii="Arial" w:cs="Arial" w:eastAsia="Arial" w:hAnsi="Arial"/>
                <w:sz w:val="16"/>
                <w:szCs w:val="16"/>
                <w:color w:val="auto"/>
              </w:rPr>
              <w:t>(0.1)</w:t>
            </w:r>
          </w:p>
        </w:tc>
      </w:tr>
      <w:tr>
        <w:trPr>
          <w:trHeight w:val="257"/>
        </w:trPr>
        <w:tc>
          <w:tcPr>
            <w:tcW w:w="220" w:type="dxa"/>
            <w:vAlign w:val="bottom"/>
          </w:tcPr>
          <w:p>
            <w:pPr>
              <w:spacing w:after="0"/>
              <w:rPr>
                <w:sz w:val="22"/>
                <w:szCs w:val="22"/>
                <w:color w:val="auto"/>
              </w:rPr>
            </w:pPr>
          </w:p>
        </w:tc>
        <w:tc>
          <w:tcPr>
            <w:tcW w:w="1280" w:type="dxa"/>
            <w:vAlign w:val="bottom"/>
          </w:tcPr>
          <w:p>
            <w:pPr>
              <w:jc w:val="right"/>
              <w:ind w:right="61"/>
              <w:spacing w:after="0"/>
              <w:rPr>
                <w:sz w:val="20"/>
                <w:szCs w:val="20"/>
                <w:color w:val="auto"/>
              </w:rPr>
            </w:pPr>
            <w:r>
              <w:rPr>
                <w:rFonts w:ascii="Arial" w:cs="Arial" w:eastAsia="Arial" w:hAnsi="Arial"/>
                <w:sz w:val="16"/>
                <w:szCs w:val="16"/>
                <w:color w:val="auto"/>
              </w:rPr>
              <w:t>5,898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color w:val="auto"/>
              </w:rPr>
              <w:t>6,662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right"/>
              <w:ind w:right="81"/>
              <w:spacing w:after="0"/>
              <w:rPr>
                <w:sz w:val="20"/>
                <w:szCs w:val="20"/>
                <w:color w:val="auto"/>
              </w:rPr>
            </w:pPr>
            <w:r>
              <w:rPr>
                <w:rFonts w:ascii="Arial" w:cs="Arial" w:eastAsia="Arial" w:hAnsi="Arial"/>
                <w:sz w:val="16"/>
                <w:szCs w:val="16"/>
                <w:color w:val="auto"/>
              </w:rPr>
              <w:t>764</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11.5</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ind w:right="61"/>
              <w:spacing w:after="0"/>
              <w:rPr>
                <w:sz w:val="20"/>
                <w:szCs w:val="20"/>
                <w:color w:val="auto"/>
              </w:rPr>
            </w:pPr>
            <w:r>
              <w:rPr>
                <w:rFonts w:ascii="Arial" w:cs="Arial" w:eastAsia="Arial" w:hAnsi="Arial"/>
                <w:sz w:val="16"/>
                <w:szCs w:val="16"/>
                <w:color w:val="auto"/>
              </w:rPr>
              <w:t>2.5</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43"/>
              <w:spacing w:after="0"/>
              <w:rPr>
                <w:sz w:val="20"/>
                <w:szCs w:val="20"/>
                <w:color w:val="auto"/>
              </w:rPr>
            </w:pPr>
            <w:r>
              <w:rPr>
                <w:rFonts w:ascii="Arial" w:cs="Arial" w:eastAsia="Arial" w:hAnsi="Arial"/>
                <w:sz w:val="16"/>
                <w:szCs w:val="16"/>
                <w:color w:val="auto"/>
              </w:rPr>
              <w:t>(0.5)</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40"/>
              <w:spacing w:after="0"/>
              <w:rPr>
                <w:sz w:val="20"/>
                <w:szCs w:val="20"/>
                <w:color w:val="auto"/>
              </w:rPr>
            </w:pPr>
            <w:r>
              <w:rPr>
                <w:rFonts w:ascii="Arial" w:cs="Arial" w:eastAsia="Arial" w:hAnsi="Arial"/>
                <w:sz w:val="16"/>
                <w:szCs w:val="16"/>
                <w:color w:val="auto"/>
              </w:rPr>
              <w:t>(1.6)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61"/>
              <w:spacing w:after="0"/>
              <w:rPr>
                <w:sz w:val="20"/>
                <w:szCs w:val="20"/>
                <w:color w:val="auto"/>
              </w:rPr>
            </w:pPr>
            <w:r>
              <w:rPr>
                <w:rFonts w:ascii="Arial" w:cs="Arial" w:eastAsia="Arial" w:hAnsi="Arial"/>
                <w:sz w:val="16"/>
                <w:szCs w:val="16"/>
                <w:color w:val="auto"/>
              </w:rPr>
              <w:t>0.3</w:t>
            </w:r>
          </w:p>
        </w:tc>
      </w:tr>
      <w:tr>
        <w:trPr>
          <w:trHeight w:val="257"/>
        </w:trPr>
        <w:tc>
          <w:tcPr>
            <w:tcW w:w="220" w:type="dxa"/>
            <w:vAlign w:val="bottom"/>
          </w:tcPr>
          <w:p>
            <w:pPr>
              <w:spacing w:after="0"/>
              <w:rPr>
                <w:sz w:val="22"/>
                <w:szCs w:val="22"/>
                <w:color w:val="auto"/>
              </w:rPr>
            </w:pPr>
          </w:p>
        </w:tc>
        <w:tc>
          <w:tcPr>
            <w:tcW w:w="1280" w:type="dxa"/>
            <w:vAlign w:val="bottom"/>
          </w:tcPr>
          <w:p>
            <w:pPr>
              <w:jc w:val="right"/>
              <w:ind w:right="61"/>
              <w:spacing w:after="0"/>
              <w:rPr>
                <w:sz w:val="20"/>
                <w:szCs w:val="20"/>
                <w:color w:val="auto"/>
              </w:rPr>
            </w:pPr>
            <w:r>
              <w:rPr>
                <w:rFonts w:ascii="Arial" w:cs="Arial" w:eastAsia="Arial" w:hAnsi="Arial"/>
                <w:sz w:val="16"/>
                <w:szCs w:val="16"/>
                <w:color w:val="auto"/>
              </w:rPr>
              <w:t>183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(116)</w:t>
            </w:r>
          </w:p>
        </w:tc>
        <w:tc>
          <w:tcPr>
            <w:tcW w:w="100" w:type="dxa"/>
            <w:vAlign w:val="bottom"/>
          </w:tcPr>
          <w:p>
            <w:pPr>
              <w:spacing w:after="0"/>
              <w:rPr>
                <w:sz w:val="22"/>
                <w:szCs w:val="22"/>
                <w:color w:val="auto"/>
              </w:rPr>
            </w:pPr>
          </w:p>
        </w:tc>
        <w:tc>
          <w:tcPr>
            <w:tcW w:w="940" w:type="dxa"/>
            <w:vAlign w:val="bottom"/>
            <w:tcBorders>
              <w:right w:val="single" w:sz="8" w:color="auto"/>
            </w:tcBorders>
            <w:gridSpan w:val="3"/>
          </w:tcPr>
          <w:p>
            <w:pPr>
              <w:jc w:val="right"/>
              <w:ind w:right="140"/>
              <w:spacing w:after="0"/>
              <w:rPr>
                <w:sz w:val="20"/>
                <w:szCs w:val="20"/>
                <w:color w:val="auto"/>
              </w:rPr>
            </w:pPr>
            <w:r>
              <w:rPr>
                <w:rFonts w:ascii="Arial" w:cs="Arial" w:eastAsia="Arial" w:hAnsi="Arial"/>
                <w:sz w:val="16"/>
                <w:szCs w:val="16"/>
                <w:color w:val="auto"/>
              </w:rPr>
              <w:t>n.m.</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40"/>
              <w:spacing w:after="0"/>
              <w:rPr>
                <w:sz w:val="20"/>
                <w:szCs w:val="20"/>
                <w:color w:val="auto"/>
              </w:rPr>
            </w:pPr>
            <w:r>
              <w:rPr>
                <w:rFonts w:ascii="Arial" w:cs="Arial" w:eastAsia="Arial" w:hAnsi="Arial"/>
                <w:sz w:val="16"/>
                <w:szCs w:val="16"/>
                <w:color w:val="auto"/>
              </w:rPr>
              <w:t>(0.1)</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21"/>
              <w:spacing w:after="0"/>
              <w:rPr>
                <w:sz w:val="20"/>
                <w:szCs w:val="20"/>
                <w:color w:val="auto"/>
              </w:rPr>
            </w:pPr>
            <w:r>
              <w:rPr>
                <w:rFonts w:ascii="Arial" w:cs="Arial" w:eastAsia="Arial" w:hAnsi="Arial"/>
                <w:sz w:val="16"/>
                <w:szCs w:val="16"/>
                <w:color w:val="auto"/>
              </w:rPr>
              <w:t>(0.1)</w:t>
            </w:r>
          </w:p>
        </w:tc>
      </w:tr>
      <w:tr>
        <w:trPr>
          <w:trHeight w:val="257"/>
        </w:trPr>
        <w:tc>
          <w:tcPr>
            <w:tcW w:w="220" w:type="dxa"/>
            <w:vAlign w:val="bottom"/>
          </w:tcPr>
          <w:p>
            <w:pPr>
              <w:spacing w:after="0"/>
              <w:rPr>
                <w:sz w:val="22"/>
                <w:szCs w:val="22"/>
                <w:color w:val="auto"/>
              </w:rPr>
            </w:pPr>
          </w:p>
        </w:tc>
        <w:tc>
          <w:tcPr>
            <w:tcW w:w="1280" w:type="dxa"/>
            <w:vAlign w:val="bottom"/>
          </w:tcPr>
          <w:p>
            <w:pPr>
              <w:jc w:val="right"/>
              <w:ind w:right="61"/>
              <w:spacing w:after="0"/>
              <w:rPr>
                <w:sz w:val="20"/>
                <w:szCs w:val="20"/>
                <w:color w:val="auto"/>
              </w:rPr>
            </w:pPr>
            <w:r>
              <w:rPr>
                <w:rFonts w:ascii="Arial" w:cs="Arial" w:eastAsia="Arial" w:hAnsi="Arial"/>
                <w:sz w:val="16"/>
                <w:szCs w:val="16"/>
                <w:color w:val="auto"/>
              </w:rPr>
              <w:t>371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60"/>
              <w:spacing w:after="0"/>
              <w:rPr>
                <w:sz w:val="20"/>
                <w:szCs w:val="20"/>
                <w:color w:val="auto"/>
              </w:rPr>
            </w:pPr>
            <w:r>
              <w:rPr>
                <w:rFonts w:ascii="Arial" w:cs="Arial" w:eastAsia="Arial" w:hAnsi="Arial"/>
                <w:sz w:val="16"/>
                <w:szCs w:val="16"/>
                <w:color w:val="auto"/>
              </w:rPr>
              <w:t>487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right"/>
              <w:ind w:right="81"/>
              <w:spacing w:after="0"/>
              <w:rPr>
                <w:sz w:val="20"/>
                <w:szCs w:val="20"/>
                <w:color w:val="auto"/>
              </w:rPr>
            </w:pPr>
            <w:r>
              <w:rPr>
                <w:rFonts w:ascii="Arial" w:cs="Arial" w:eastAsia="Arial" w:hAnsi="Arial"/>
                <w:sz w:val="16"/>
                <w:szCs w:val="16"/>
                <w:color w:val="auto"/>
              </w:rPr>
              <w:t>116</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23.8</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80"/>
              <w:spacing w:after="0"/>
              <w:rPr>
                <w:sz w:val="20"/>
                <w:szCs w:val="20"/>
                <w:color w:val="auto"/>
              </w:rPr>
            </w:pPr>
            <w:r>
              <w:rPr>
                <w:rFonts w:ascii="Arial" w:cs="Arial" w:eastAsia="Arial" w:hAnsi="Arial"/>
                <w:sz w:val="16"/>
                <w:szCs w:val="16"/>
                <w:color w:val="auto"/>
              </w:rPr>
              <w:t>0.1</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61"/>
              <w:spacing w:after="0"/>
              <w:rPr>
                <w:sz w:val="20"/>
                <w:szCs w:val="20"/>
                <w:color w:val="auto"/>
              </w:rPr>
            </w:pPr>
            <w:r>
              <w:rPr>
                <w:rFonts w:ascii="Arial" w:cs="Arial" w:eastAsia="Arial" w:hAnsi="Arial"/>
                <w:sz w:val="16"/>
                <w:szCs w:val="16"/>
                <w:color w:val="auto"/>
              </w:rPr>
              <w:t>—</w:t>
            </w:r>
          </w:p>
        </w:tc>
      </w:tr>
      <w:tr>
        <w:trPr>
          <w:trHeight w:val="256"/>
        </w:trPr>
        <w:tc>
          <w:tcPr>
            <w:tcW w:w="220" w:type="dxa"/>
            <w:vAlign w:val="bottom"/>
          </w:tcPr>
          <w:p>
            <w:pPr>
              <w:spacing w:after="0"/>
              <w:rPr>
                <w:sz w:val="22"/>
                <w:szCs w:val="22"/>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2"/>
                <w:szCs w:val="22"/>
                <w:color w:val="auto"/>
              </w:rPr>
            </w:pPr>
          </w:p>
        </w:tc>
        <w:tc>
          <w:tcPr>
            <w:tcW w:w="940" w:type="dxa"/>
            <w:vAlign w:val="bottom"/>
            <w:tcBorders>
              <w:right w:val="single" w:sz="8" w:color="auto"/>
            </w:tcBorders>
            <w:gridSpan w:val="3"/>
          </w:tcPr>
          <w:p>
            <w:pPr>
              <w:jc w:val="right"/>
              <w:ind w:right="140"/>
              <w:spacing w:after="0"/>
              <w:rPr>
                <w:sz w:val="20"/>
                <w:szCs w:val="20"/>
                <w:color w:val="auto"/>
              </w:rPr>
            </w:pPr>
            <w:r>
              <w:rPr>
                <w:rFonts w:ascii="Arial" w:cs="Arial" w:eastAsia="Arial" w:hAnsi="Arial"/>
                <w:sz w:val="16"/>
                <w:szCs w:val="16"/>
                <w:color w:val="auto"/>
              </w:rPr>
              <w:t>n.m.</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83"/>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600" w:type="dxa"/>
            <w:vAlign w:val="bottom"/>
          </w:tcPr>
          <w:p>
            <w:pPr>
              <w:spacing w:after="0"/>
              <w:rPr>
                <w:sz w:val="22"/>
                <w:szCs w:val="22"/>
                <w:color w:val="auto"/>
              </w:rPr>
            </w:pPr>
          </w:p>
        </w:tc>
      </w:tr>
      <w:tr>
        <w:trPr>
          <w:trHeight w:val="33"/>
        </w:trPr>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368"/>
        </w:trPr>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40,170</w:t>
            </w:r>
          </w:p>
        </w:tc>
        <w:tc>
          <w:tcPr>
            <w:tcW w:w="120" w:type="dxa"/>
            <w:vAlign w:val="bottom"/>
          </w:tcPr>
          <w:p>
            <w:pPr>
              <w:spacing w:after="0"/>
              <w:rPr>
                <w:sz w:val="24"/>
                <w:szCs w:val="24"/>
                <w:color w:val="auto"/>
              </w:rPr>
            </w:pP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56,556</w:t>
            </w:r>
          </w:p>
        </w:tc>
        <w:tc>
          <w:tcPr>
            <w:tcW w:w="12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16,386</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29.0</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ind w:right="61"/>
              <w:spacing w:after="0"/>
              <w:rPr>
                <w:sz w:val="20"/>
                <w:szCs w:val="20"/>
                <w:color w:val="auto"/>
              </w:rPr>
            </w:pPr>
            <w:r>
              <w:rPr>
                <w:rFonts w:ascii="Arial" w:cs="Arial" w:eastAsia="Arial" w:hAnsi="Arial"/>
                <w:sz w:val="16"/>
                <w:szCs w:val="16"/>
                <w:color w:val="auto"/>
              </w:rPr>
              <w:t>16.0</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43"/>
              <w:spacing w:after="0"/>
              <w:rPr>
                <w:sz w:val="20"/>
                <w:szCs w:val="20"/>
                <w:color w:val="auto"/>
              </w:rPr>
            </w:pPr>
            <w:r>
              <w:rPr>
                <w:rFonts w:ascii="Arial" w:cs="Arial" w:eastAsia="Arial" w:hAnsi="Arial"/>
                <w:sz w:val="16"/>
                <w:szCs w:val="16"/>
                <w:color w:val="auto"/>
              </w:rPr>
              <w:t>(0.7)</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80"/>
              <w:spacing w:after="0"/>
              <w:rPr>
                <w:sz w:val="20"/>
                <w:szCs w:val="20"/>
                <w:color w:val="auto"/>
              </w:rPr>
            </w:pPr>
            <w:r>
              <w:rPr>
                <w:rFonts w:ascii="Arial" w:cs="Arial" w:eastAsia="Arial" w:hAnsi="Arial"/>
                <w:sz w:val="16"/>
                <w:szCs w:val="16"/>
                <w:color w:val="auto"/>
              </w:rPr>
              <w:t>0.9</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61"/>
              <w:spacing w:after="0"/>
              <w:rPr>
                <w:sz w:val="20"/>
                <w:szCs w:val="20"/>
                <w:color w:val="auto"/>
              </w:rPr>
            </w:pPr>
            <w:r>
              <w:rPr>
                <w:rFonts w:ascii="Arial" w:cs="Arial" w:eastAsia="Arial" w:hAnsi="Arial"/>
                <w:sz w:val="16"/>
                <w:szCs w:val="16"/>
                <w:color w:val="auto"/>
              </w:rPr>
              <w:t>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-1505585</wp:posOffset>
            </wp:positionH>
            <wp:positionV relativeFrom="paragraph">
              <wp:posOffset>-1070610</wp:posOffset>
            </wp:positionV>
            <wp:extent cx="7098030" cy="1625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098030" cy="162560"/>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-745490</wp:posOffset>
            </wp:positionV>
            <wp:extent cx="7098030" cy="1631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098030" cy="16319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-419735</wp:posOffset>
            </wp:positionV>
            <wp:extent cx="7098030" cy="1631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098030" cy="163195"/>
                    </a:xfrm>
                    <a:prstGeom prst="rect">
                      <a:avLst/>
                    </a:prstGeom>
                    <a:noFill/>
                  </pic:spPr>
                </pic:pic>
              </a:graphicData>
            </a:graphic>
          </wp:anchor>
        </w:drawing>
      </w:r>
    </w:p>
    <w:p>
      <w:pPr>
        <w:spacing w:after="0" w:line="67" w:lineRule="exact"/>
        <w:rPr>
          <w:sz w:val="20"/>
          <w:szCs w:val="20"/>
          <w:color w:val="auto"/>
        </w:rPr>
      </w:pPr>
    </w:p>
    <w:p>
      <w:pPr>
        <w:sectPr>
          <w:pgSz w:w="11900" w:h="16838" w:orient="portrait"/>
          <w:cols w:equalWidth="0" w:num="2">
            <w:col w:w="2260" w:space="120"/>
            <w:col w:w="8860"/>
          </w:cols>
          <w:pgMar w:left="320" w:top="125" w:right="339" w:bottom="1440" w:gutter="0" w:footer="0" w:header="0"/>
          <w:type w:val="continuous"/>
        </w:sectPr>
      </w:pPr>
    </w:p>
    <w:p>
      <w:pPr>
        <w:spacing w:after="0"/>
        <w:rPr>
          <w:sz w:val="20"/>
          <w:szCs w:val="20"/>
          <w:color w:val="auto"/>
        </w:rPr>
      </w:pPr>
      <w:r>
        <w:rPr>
          <w:rFonts w:ascii="Arial" w:cs="Arial" w:eastAsia="Arial" w:hAnsi="Arial"/>
          <w:sz w:val="18"/>
          <w:szCs w:val="18"/>
          <w:color w:val="auto"/>
        </w:rPr>
        <w:t>________</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n.m. = not meaningful</w:t>
      </w:r>
    </w:p>
    <w:p>
      <w:pPr>
        <w:spacing w:after="0" w:line="234" w:lineRule="exact"/>
        <w:rPr>
          <w:sz w:val="20"/>
          <w:szCs w:val="20"/>
          <w:color w:val="auto"/>
        </w:rPr>
      </w:pPr>
    </w:p>
    <w:p>
      <w:pPr>
        <w:jc w:val="both"/>
        <w:ind w:firstLine="162"/>
        <w:spacing w:after="0" w:line="241" w:lineRule="auto"/>
        <w:rPr>
          <w:sz w:val="20"/>
          <w:szCs w:val="20"/>
          <w:color w:val="auto"/>
        </w:rPr>
      </w:pPr>
      <w:r>
        <w:rPr>
          <w:rFonts w:ascii="Arial" w:cs="Arial" w:eastAsia="Arial" w:hAnsi="Arial"/>
          <w:sz w:val="18"/>
          <w:szCs w:val="18"/>
          <w:color w:val="auto"/>
        </w:rPr>
        <w:t>In the three months ended June 30, 2020, favorable Cost was primarily due to: (1) favorable cost of $0.9 billion primarily due to the impact of COVID-19, inclusive of the suspension of production and austerity measures as well as cost savings associated with transformation activities; (2) charges of $0.4 billion primarily related to supplier-related charges and accelerated depreciation resulting from transformation activities in 2019; and (3) decreased costs of $0.3 billion related to parts and accessories sales; partially offset by (4) a benefit of $0.4 billion related to the retrospective recoveries of indirect taxes in Brazil in 2019.</w:t>
      </w:r>
    </w:p>
    <w:p>
      <w:pPr>
        <w:spacing w:after="0" w:line="216"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7"/>
          <w:szCs w:val="17"/>
          <w:color w:val="auto"/>
        </w:rPr>
        <w:t>In the six months ended June 30, 2020, favorable Cost was primarily due to: (1) charges of $1.1 billion primarily related to accelerated depreciation and supplier-related charges resulting from transformation activities in 2019; (2) favorable cost of $1.0 billion primarily due to the impact of COVID-19, inclusive of the suspension of production and austerity measures as well as cost savings associated with transformation activities; and (3) decreased costs of $0.3 billion related to parts and accessories sales; partially offset by (4) a benefit of $1.2 billion related to the retrospective recoveries of indirect taxes in Brazil in 2019; and (5) charges of $0.5 billion primarily related to dealer restructuring charges, property and intangible asset impairments and inventory provisions in Australia, New Zealand, and Thailand. In the six months ended June 30, 2020, favorable Other was due to the foreign currency effect resulting from the weakening of the Brazilian Real and other currencies against the U.S. Dollar.</w:t>
      </w:r>
    </w:p>
    <w:p>
      <w:pPr>
        <w:sectPr>
          <w:pgSz w:w="11900" w:h="16838" w:orient="portrait"/>
          <w:cols w:equalWidth="0" w:num="1">
            <w:col w:w="11240"/>
          </w:cols>
          <w:pgMar w:left="320" w:top="125" w:right="339" w:bottom="1440" w:gutter="0" w:footer="0" w:header="0"/>
          <w:type w:val="continuous"/>
        </w:sectPr>
      </w:pPr>
    </w:p>
    <w:p>
      <w:pPr>
        <w:spacing w:after="0" w:line="20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Automotive and other selling, general and administrative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6172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617220"/>
                    </a:xfrm>
                    <a:prstGeom prst="rect">
                      <a:avLst/>
                    </a:prstGeom>
                    <a:noFill/>
                  </pic:spPr>
                </pic:pic>
              </a:graphicData>
            </a:graphic>
          </wp:anchor>
        </w:drawing>
      </w:r>
    </w:p>
    <w:p>
      <w:pPr>
        <w:spacing w:after="0" w:line="134" w:lineRule="exact"/>
        <w:rPr>
          <w:sz w:val="20"/>
          <w:szCs w:val="20"/>
          <w:color w:val="auto"/>
        </w:rPr>
      </w:pPr>
    </w:p>
    <w:tbl>
      <w:tblPr>
        <w:tblLayout w:type="fixed"/>
        <w:tblInd w:w="20" w:type="dxa"/>
        <w:tblCellMar>
          <w:top w:w="0" w:type="dxa"/>
          <w:left w:w="0" w:type="dxa"/>
          <w:bottom w:w="0" w:type="dxa"/>
          <w:right w:w="0" w:type="dxa"/>
        </w:tblCellMar>
      </w:tblPr>
      <w:tr>
        <w:trPr>
          <w:trHeight w:val="174"/>
        </w:trPr>
        <w:tc>
          <w:tcPr>
            <w:tcW w:w="24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4"/>
          </w:tcPr>
          <w:p>
            <w:pPr>
              <w:ind w:left="420"/>
              <w:spacing w:after="0"/>
              <w:rPr>
                <w:sz w:val="20"/>
                <w:szCs w:val="20"/>
                <w:color w:val="auto"/>
              </w:rPr>
            </w:pPr>
            <w:r>
              <w:rPr>
                <w:rFonts w:ascii="Arial" w:cs="Arial" w:eastAsia="Arial" w:hAnsi="Arial"/>
                <w:sz w:val="13"/>
                <w:szCs w:val="13"/>
                <w:b w:val="1"/>
                <w:bCs w:val="1"/>
                <w:color w:val="auto"/>
              </w:rPr>
              <w:t>Three Months Ended</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Favorable/</w:t>
            </w: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ind w:left="40"/>
              <w:spacing w:after="0"/>
              <w:rPr>
                <w:sz w:val="20"/>
                <w:szCs w:val="20"/>
                <w:color w:val="auto"/>
              </w:rPr>
            </w:pPr>
            <w:r>
              <w:rPr>
                <w:rFonts w:ascii="Arial" w:cs="Arial" w:eastAsia="Arial" w:hAnsi="Arial"/>
                <w:sz w:val="13"/>
                <w:szCs w:val="13"/>
                <w:b w:val="1"/>
                <w:bCs w:val="1"/>
                <w:color w:val="auto"/>
              </w:rPr>
              <w:t>June 30, 2020</w:t>
            </w:r>
          </w:p>
        </w:tc>
        <w:tc>
          <w:tcPr>
            <w:tcW w:w="140" w:type="dxa"/>
            <w:vAlign w:val="bottom"/>
          </w:tcPr>
          <w:p>
            <w:pPr>
              <w:spacing w:after="0"/>
              <w:rPr>
                <w:sz w:val="15"/>
                <w:szCs w:val="15"/>
                <w:color w:val="auto"/>
              </w:rPr>
            </w:pPr>
          </w:p>
        </w:tc>
        <w:tc>
          <w:tcPr>
            <w:tcW w:w="960" w:type="dxa"/>
            <w:vAlign w:val="bottom"/>
          </w:tcPr>
          <w:p>
            <w:pPr>
              <w:jc w:val="right"/>
              <w:ind w:right="108"/>
              <w:spacing w:after="0"/>
              <w:rPr>
                <w:sz w:val="20"/>
                <w:szCs w:val="20"/>
                <w:color w:val="auto"/>
              </w:rPr>
            </w:pPr>
            <w:r>
              <w:rPr>
                <w:rFonts w:ascii="Arial" w:cs="Arial" w:eastAsia="Arial" w:hAnsi="Arial"/>
                <w:sz w:val="13"/>
                <w:szCs w:val="13"/>
                <w:b w:val="1"/>
                <w:bCs w:val="1"/>
                <w:color w:val="auto"/>
                <w:w w:val="89"/>
              </w:rPr>
              <w:t>June 30, 2019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0"/>
              </w:rPr>
              <w:t>(Unfavorable)</w:t>
            </w:r>
          </w:p>
        </w:tc>
        <w:tc>
          <w:tcPr>
            <w:tcW w:w="760" w:type="dxa"/>
            <w:vAlign w:val="bottom"/>
          </w:tcPr>
          <w:p>
            <w:pPr>
              <w:jc w:val="right"/>
              <w:ind w:right="248"/>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62"/>
        </w:trPr>
        <w:tc>
          <w:tcPr>
            <w:tcW w:w="2460" w:type="dxa"/>
            <w:vAlign w:val="bottom"/>
          </w:tcPr>
          <w:p>
            <w:pPr>
              <w:spacing w:after="0" w:line="162" w:lineRule="exact"/>
              <w:rPr>
                <w:sz w:val="20"/>
                <w:szCs w:val="20"/>
                <w:color w:val="auto"/>
              </w:rPr>
            </w:pPr>
            <w:r>
              <w:rPr>
                <w:rFonts w:ascii="Arial" w:cs="Arial" w:eastAsia="Arial" w:hAnsi="Arial"/>
                <w:sz w:val="18"/>
                <w:szCs w:val="18"/>
                <w:color w:val="auto"/>
              </w:rPr>
              <w:t>Automotive and other selling,</w:t>
            </w:r>
          </w:p>
        </w:tc>
        <w:tc>
          <w:tcPr>
            <w:tcW w:w="14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460" w:type="dxa"/>
            <w:vAlign w:val="bottom"/>
          </w:tcPr>
          <w:p>
            <w:pPr>
              <w:ind w:left="160"/>
              <w:spacing w:after="0" w:line="176" w:lineRule="exact"/>
              <w:rPr>
                <w:sz w:val="20"/>
                <w:szCs w:val="20"/>
                <w:color w:val="auto"/>
              </w:rPr>
            </w:pPr>
            <w:r>
              <w:rPr>
                <w:rFonts w:ascii="Arial" w:cs="Arial" w:eastAsia="Arial" w:hAnsi="Arial"/>
                <w:sz w:val="18"/>
                <w:szCs w:val="18"/>
                <w:color w:val="auto"/>
              </w:rPr>
              <w:t>general and administrative</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vMerge w:val="restart"/>
          </w:tcPr>
          <w:p>
            <w:pPr>
              <w:ind w:left="420"/>
              <w:spacing w:after="0"/>
              <w:rPr>
                <w:sz w:val="20"/>
                <w:szCs w:val="20"/>
                <w:color w:val="auto"/>
              </w:rPr>
            </w:pPr>
            <w:r>
              <w:rPr>
                <w:rFonts w:ascii="Arial" w:cs="Arial" w:eastAsia="Arial" w:hAnsi="Arial"/>
                <w:sz w:val="16"/>
                <w:szCs w:val="16"/>
                <w:color w:val="auto"/>
              </w:rPr>
              <w:t>1,310</w:t>
            </w:r>
          </w:p>
        </w:tc>
        <w:tc>
          <w:tcPr>
            <w:tcW w:w="10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vMerge w:val="restart"/>
          </w:tcPr>
          <w:p>
            <w:pPr>
              <w:jc w:val="right"/>
              <w:ind w:right="68"/>
              <w:spacing w:after="0"/>
              <w:rPr>
                <w:sz w:val="20"/>
                <w:szCs w:val="20"/>
                <w:color w:val="auto"/>
              </w:rPr>
            </w:pPr>
            <w:r>
              <w:rPr>
                <w:rFonts w:ascii="Arial" w:cs="Arial" w:eastAsia="Arial" w:hAnsi="Arial"/>
                <w:sz w:val="16"/>
                <w:szCs w:val="16"/>
                <w:color w:val="auto"/>
              </w:rPr>
              <w:t>2,102</w:t>
            </w:r>
          </w:p>
        </w:tc>
        <w:tc>
          <w:tcPr>
            <w:tcW w:w="22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ind w:right="71"/>
              <w:spacing w:after="0"/>
              <w:rPr>
                <w:sz w:val="20"/>
                <w:szCs w:val="20"/>
                <w:color w:val="auto"/>
              </w:rPr>
            </w:pPr>
            <w:r>
              <w:rPr>
                <w:rFonts w:ascii="Arial" w:cs="Arial" w:eastAsia="Arial" w:hAnsi="Arial"/>
                <w:sz w:val="16"/>
                <w:szCs w:val="16"/>
                <w:color w:val="auto"/>
              </w:rPr>
              <w:t>792</w:t>
            </w:r>
          </w:p>
        </w:tc>
        <w:tc>
          <w:tcPr>
            <w:tcW w:w="10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37.7 %</w:t>
            </w:r>
          </w:p>
        </w:tc>
        <w:tc>
          <w:tcPr>
            <w:tcW w:w="0" w:type="dxa"/>
            <w:vAlign w:val="bottom"/>
          </w:tcPr>
          <w:p>
            <w:pPr>
              <w:spacing w:after="0"/>
              <w:rPr>
                <w:sz w:val="1"/>
                <w:szCs w:val="1"/>
                <w:color w:val="auto"/>
              </w:rPr>
            </w:pPr>
          </w:p>
        </w:tc>
      </w:tr>
      <w:tr>
        <w:trPr>
          <w:trHeight w:val="230"/>
        </w:trPr>
        <w:tc>
          <w:tcPr>
            <w:tcW w:w="2460" w:type="dxa"/>
            <w:vAlign w:val="bottom"/>
          </w:tcPr>
          <w:p>
            <w:pPr>
              <w:ind w:left="160"/>
              <w:spacing w:after="0"/>
              <w:rPr>
                <w:sz w:val="20"/>
                <w:szCs w:val="20"/>
                <w:color w:val="auto"/>
              </w:rPr>
            </w:pPr>
            <w:r>
              <w:rPr>
                <w:rFonts w:ascii="Arial" w:cs="Arial" w:eastAsia="Arial" w:hAnsi="Arial"/>
                <w:sz w:val="18"/>
                <w:szCs w:val="18"/>
                <w:color w:val="auto"/>
              </w:rPr>
              <w:t>expense</w:t>
            </w:r>
          </w:p>
        </w:tc>
        <w:tc>
          <w:tcPr>
            <w:tcW w:w="140" w:type="dxa"/>
            <w:vAlign w:val="bottom"/>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vMerge w:val="continue"/>
          </w:tcPr>
          <w:p>
            <w:pPr>
              <w:spacing w:after="0"/>
              <w:rPr>
                <w:sz w:val="20"/>
                <w:szCs w:val="20"/>
                <w:color w:val="auto"/>
              </w:rPr>
            </w:pPr>
          </w:p>
        </w:tc>
        <w:tc>
          <w:tcPr>
            <w:tcW w:w="960" w:type="dxa"/>
            <w:vAlign w:val="bottom"/>
            <w:vMerge w:val="continue"/>
          </w:tcPr>
          <w:p>
            <w:pPr>
              <w:spacing w:after="0"/>
              <w:rPr>
                <w:sz w:val="20"/>
                <w:szCs w:val="20"/>
                <w:color w:val="auto"/>
              </w:rPr>
            </w:pPr>
          </w:p>
        </w:tc>
        <w:tc>
          <w:tcPr>
            <w:tcW w:w="220" w:type="dxa"/>
            <w:vAlign w:val="bottom"/>
            <w:gridSpan w:val="2"/>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4"/>
        </w:trPr>
        <w:tc>
          <w:tcPr>
            <w:tcW w:w="14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4"/>
          </w:tcPr>
          <w:p>
            <w:pPr>
              <w:jc w:val="right"/>
              <w:ind w:right="568"/>
              <w:spacing w:after="0"/>
              <w:rPr>
                <w:sz w:val="20"/>
                <w:szCs w:val="20"/>
                <w:color w:val="auto"/>
              </w:rPr>
            </w:pPr>
            <w:r>
              <w:rPr>
                <w:rFonts w:ascii="Arial" w:cs="Arial" w:eastAsia="Arial" w:hAnsi="Arial"/>
                <w:sz w:val="13"/>
                <w:szCs w:val="13"/>
                <w:b w:val="1"/>
                <w:bCs w:val="1"/>
                <w:color w:val="auto"/>
              </w:rPr>
              <w:t>Six Months Ended</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9"/>
              </w:rPr>
              <w:t>Favorable/</w:t>
            </w:r>
          </w:p>
        </w:tc>
        <w:tc>
          <w:tcPr>
            <w:tcW w:w="760" w:type="dxa"/>
            <w:vAlign w:val="bottom"/>
          </w:tcPr>
          <w:p>
            <w:pPr>
              <w:spacing w:after="0"/>
              <w:rPr>
                <w:sz w:val="15"/>
                <w:szCs w:val="15"/>
                <w:color w:val="auto"/>
              </w:rPr>
            </w:pPr>
          </w:p>
        </w:tc>
      </w:tr>
      <w:tr>
        <w:trPr>
          <w:trHeight w:val="183"/>
        </w:trPr>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11"/>
              <w:spacing w:after="0"/>
              <w:rPr>
                <w:sz w:val="20"/>
                <w:szCs w:val="20"/>
                <w:color w:val="auto"/>
              </w:rPr>
            </w:pPr>
            <w:r>
              <w:rPr>
                <w:rFonts w:ascii="Arial" w:cs="Arial" w:eastAsia="Arial" w:hAnsi="Arial"/>
                <w:sz w:val="13"/>
                <w:szCs w:val="13"/>
                <w:b w:val="1"/>
                <w:bCs w:val="1"/>
                <w:color w:val="auto"/>
                <w:w w:val="89"/>
              </w:rPr>
              <w:t>June 30, 2020</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08"/>
              <w:spacing w:after="0"/>
              <w:rPr>
                <w:sz w:val="20"/>
                <w:szCs w:val="20"/>
                <w:color w:val="auto"/>
              </w:rPr>
            </w:pPr>
            <w:r>
              <w:rPr>
                <w:rFonts w:ascii="Arial" w:cs="Arial" w:eastAsia="Arial" w:hAnsi="Arial"/>
                <w:sz w:val="13"/>
                <w:szCs w:val="13"/>
                <w:b w:val="1"/>
                <w:bCs w:val="1"/>
                <w:color w:val="auto"/>
                <w:w w:val="89"/>
              </w:rPr>
              <w:t>June 30, 2019</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51"/>
              <w:spacing w:after="0"/>
              <w:rPr>
                <w:sz w:val="20"/>
                <w:szCs w:val="20"/>
                <w:color w:val="auto"/>
              </w:rPr>
            </w:pPr>
            <w:r>
              <w:rPr>
                <w:rFonts w:ascii="Arial" w:cs="Arial" w:eastAsia="Arial" w:hAnsi="Arial"/>
                <w:sz w:val="13"/>
                <w:szCs w:val="13"/>
                <w:b w:val="1"/>
                <w:bCs w:val="1"/>
                <w:color w:val="auto"/>
                <w:w w:val="90"/>
              </w:rPr>
              <w:t>(Unfavorable)</w:t>
            </w:r>
          </w:p>
        </w:tc>
        <w:tc>
          <w:tcPr>
            <w:tcW w:w="100" w:type="dxa"/>
            <w:vAlign w:val="bottom"/>
          </w:tcPr>
          <w:p>
            <w:pPr>
              <w:spacing w:after="0"/>
              <w:rPr>
                <w:sz w:val="15"/>
                <w:szCs w:val="15"/>
                <w:color w:val="auto"/>
              </w:rPr>
            </w:pPr>
          </w:p>
        </w:tc>
        <w:tc>
          <w:tcPr>
            <w:tcW w:w="760" w:type="dxa"/>
            <w:vAlign w:val="bottom"/>
            <w:tcBorders>
              <w:bottom w:val="single" w:sz="8" w:color="auto"/>
            </w:tcBorders>
          </w:tcPr>
          <w:p>
            <w:pPr>
              <w:jc w:val="right"/>
              <w:ind w:right="248"/>
              <w:spacing w:after="0"/>
              <w:rPr>
                <w:sz w:val="20"/>
                <w:szCs w:val="20"/>
                <w:color w:val="auto"/>
              </w:rPr>
            </w:pPr>
            <w:r>
              <w:rPr>
                <w:rFonts w:ascii="Arial" w:cs="Arial" w:eastAsia="Arial" w:hAnsi="Arial"/>
                <w:sz w:val="13"/>
                <w:szCs w:val="13"/>
                <w:b w:val="1"/>
                <w:bCs w:val="1"/>
                <w:color w:val="auto"/>
              </w:rPr>
              <w:t>%</w:t>
            </w:r>
          </w:p>
        </w:tc>
      </w:tr>
      <w:tr>
        <w:trPr>
          <w:trHeight w:val="534"/>
        </w:trPr>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71"/>
              <w:spacing w:after="0"/>
              <w:rPr>
                <w:sz w:val="20"/>
                <w:szCs w:val="20"/>
                <w:color w:val="auto"/>
              </w:rPr>
            </w:pPr>
            <w:r>
              <w:rPr>
                <w:rFonts w:ascii="Arial" w:cs="Arial" w:eastAsia="Arial" w:hAnsi="Arial"/>
                <w:sz w:val="16"/>
                <w:szCs w:val="16"/>
                <w:color w:val="auto"/>
              </w:rPr>
              <w:t>3,280</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68"/>
              <w:spacing w:after="0"/>
              <w:rPr>
                <w:sz w:val="20"/>
                <w:szCs w:val="20"/>
                <w:color w:val="auto"/>
              </w:rPr>
            </w:pPr>
            <w:r>
              <w:rPr>
                <w:rFonts w:ascii="Arial" w:cs="Arial" w:eastAsia="Arial" w:hAnsi="Arial"/>
                <w:sz w:val="16"/>
                <w:szCs w:val="16"/>
                <w:color w:val="auto"/>
              </w:rPr>
              <w:t>4,201</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91"/>
              <w:spacing w:after="0"/>
              <w:rPr>
                <w:sz w:val="20"/>
                <w:szCs w:val="20"/>
                <w:color w:val="auto"/>
              </w:rPr>
            </w:pPr>
            <w:r>
              <w:rPr>
                <w:rFonts w:ascii="Arial" w:cs="Arial" w:eastAsia="Arial" w:hAnsi="Arial"/>
                <w:sz w:val="16"/>
                <w:szCs w:val="16"/>
                <w:color w:val="auto"/>
              </w:rPr>
              <w:t>921</w:t>
            </w: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21.9 %</w:t>
            </w:r>
          </w:p>
        </w:tc>
      </w:tr>
    </w:tbl>
    <w:p>
      <w:pPr>
        <w:spacing w:after="0" w:line="233" w:lineRule="exact"/>
        <w:rPr>
          <w:sz w:val="20"/>
          <w:szCs w:val="20"/>
          <w:color w:val="auto"/>
        </w:rPr>
      </w:pPr>
    </w:p>
    <w:p>
      <w:pPr>
        <w:sectPr>
          <w:pgSz w:w="11900" w:h="16838" w:orient="portrait"/>
          <w:cols w:equalWidth="0" w:num="2">
            <w:col w:w="6740" w:space="200"/>
            <w:col w:w="4300"/>
          </w:cols>
          <w:pgMar w:left="320" w:top="125" w:right="339" w:bottom="1440" w:gutter="0" w:footer="0" w:header="0"/>
          <w:type w:val="continuous"/>
        </w:sect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81"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color w:val="auto"/>
        </w:rPr>
        <w:t>In the three months ended June 30, 2020, Automotive and other selling, general and administrative expense decreased primarily due to decreased advertising and other costs of $0.8 billion primarily related to the impact of COVID-19, inclusive of austerity measures and cost savings associated with transformation activities.</w:t>
      </w:r>
    </w:p>
    <w:p>
      <w:pPr>
        <w:spacing w:after="0" w:line="211"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color w:val="auto"/>
        </w:rPr>
        <w:t>In the six months ended June 30, 2020, Automotive and other selling, general and administrative expense decreased primarily due to decreased advertising and other costs of $0.9 billion primarily related to the impact of COVID-19, inclusive of austerity measures and cost savings associated with transformation activities.</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Interest Income and Other Non-operating Income, net</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4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4"/>
          </w:tcPr>
          <w:p>
            <w:pPr>
              <w:jc w:val="right"/>
              <w:ind w:right="488"/>
              <w:spacing w:after="0"/>
              <w:rPr>
                <w:sz w:val="20"/>
                <w:szCs w:val="20"/>
                <w:color w:val="auto"/>
              </w:rPr>
            </w:pPr>
            <w:r>
              <w:rPr>
                <w:rFonts w:ascii="Arial" w:cs="Arial" w:eastAsia="Arial" w:hAnsi="Arial"/>
                <w:sz w:val="13"/>
                <w:szCs w:val="13"/>
                <w:b w:val="1"/>
                <w:bCs w:val="1"/>
                <w:color w:val="auto"/>
              </w:rPr>
              <w:t>Three Months Ended</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Favorable/</w:t>
            </w:r>
          </w:p>
        </w:tc>
        <w:tc>
          <w:tcPr>
            <w:tcW w:w="7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jc w:val="right"/>
              <w:ind w:right="568"/>
              <w:spacing w:after="0"/>
              <w:rPr>
                <w:sz w:val="20"/>
                <w:szCs w:val="20"/>
                <w:color w:val="auto"/>
              </w:rPr>
            </w:pPr>
            <w:r>
              <w:rPr>
                <w:rFonts w:ascii="Arial" w:cs="Arial" w:eastAsia="Arial" w:hAnsi="Arial"/>
                <w:sz w:val="13"/>
                <w:szCs w:val="13"/>
                <w:b w:val="1"/>
                <w:bCs w:val="1"/>
                <w:color w:val="auto"/>
              </w:rPr>
              <w:t>Six Months Ended</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9"/>
              </w:rPr>
              <w:t>Favorable/</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4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91"/>
              <w:spacing w:after="0"/>
              <w:rPr>
                <w:sz w:val="20"/>
                <w:szCs w:val="20"/>
                <w:color w:val="auto"/>
              </w:rPr>
            </w:pPr>
            <w:r>
              <w:rPr>
                <w:rFonts w:ascii="Arial" w:cs="Arial" w:eastAsia="Arial" w:hAnsi="Arial"/>
                <w:sz w:val="13"/>
                <w:szCs w:val="13"/>
                <w:b w:val="1"/>
                <w:bCs w:val="1"/>
                <w:color w:val="auto"/>
                <w:w w:val="89"/>
              </w:rPr>
              <w:t>June 30, 2020</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08"/>
              <w:spacing w:after="0"/>
              <w:rPr>
                <w:sz w:val="20"/>
                <w:szCs w:val="20"/>
                <w:color w:val="auto"/>
              </w:rPr>
            </w:pPr>
            <w:r>
              <w:rPr>
                <w:rFonts w:ascii="Arial" w:cs="Arial" w:eastAsia="Arial" w:hAnsi="Arial"/>
                <w:sz w:val="13"/>
                <w:szCs w:val="13"/>
                <w:b w:val="1"/>
                <w:bCs w:val="1"/>
                <w:color w:val="auto"/>
                <w:w w:val="89"/>
              </w:rPr>
              <w:t>June 30, 2019</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31"/>
              <w:spacing w:after="0"/>
              <w:rPr>
                <w:sz w:val="20"/>
                <w:szCs w:val="20"/>
                <w:color w:val="auto"/>
              </w:rPr>
            </w:pPr>
            <w:r>
              <w:rPr>
                <w:rFonts w:ascii="Arial" w:cs="Arial" w:eastAsia="Arial" w:hAnsi="Arial"/>
                <w:sz w:val="13"/>
                <w:szCs w:val="13"/>
                <w:b w:val="1"/>
                <w:bCs w:val="1"/>
                <w:color w:val="auto"/>
                <w:w w:val="90"/>
              </w:rPr>
              <w:t>(Unfavorable)</w:t>
            </w:r>
          </w:p>
        </w:tc>
        <w:tc>
          <w:tcPr>
            <w:tcW w:w="12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ind w:right="248"/>
              <w:spacing w:after="0"/>
              <w:rPr>
                <w:sz w:val="20"/>
                <w:szCs w:val="20"/>
                <w:color w:val="auto"/>
              </w:rPr>
            </w:pPr>
            <w:r>
              <w:rPr>
                <w:rFonts w:ascii="Arial" w:cs="Arial" w:eastAsia="Arial" w:hAnsi="Arial"/>
                <w:sz w:val="13"/>
                <w:szCs w:val="13"/>
                <w:b w:val="1"/>
                <w:bCs w:val="1"/>
                <w:color w:val="auto"/>
              </w:rPr>
              <w:t>%</w:t>
            </w:r>
          </w:p>
        </w:tc>
        <w:tc>
          <w:tcPr>
            <w:tcW w:w="120" w:type="dxa"/>
            <w:vAlign w:val="bottom"/>
            <w:tcBorders>
              <w:bottom w:val="single" w:sz="8" w:color="CCEEFF"/>
              <w:right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11"/>
              <w:spacing w:after="0"/>
              <w:rPr>
                <w:sz w:val="20"/>
                <w:szCs w:val="20"/>
                <w:color w:val="auto"/>
              </w:rPr>
            </w:pPr>
            <w:r>
              <w:rPr>
                <w:rFonts w:ascii="Arial" w:cs="Arial" w:eastAsia="Arial" w:hAnsi="Arial"/>
                <w:sz w:val="13"/>
                <w:szCs w:val="13"/>
                <w:b w:val="1"/>
                <w:bCs w:val="1"/>
                <w:color w:val="auto"/>
                <w:w w:val="89"/>
              </w:rPr>
              <w:t>June 30, 2020</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08"/>
              <w:spacing w:after="0"/>
              <w:rPr>
                <w:sz w:val="20"/>
                <w:szCs w:val="20"/>
                <w:color w:val="auto"/>
              </w:rPr>
            </w:pPr>
            <w:r>
              <w:rPr>
                <w:rFonts w:ascii="Arial" w:cs="Arial" w:eastAsia="Arial" w:hAnsi="Arial"/>
                <w:sz w:val="13"/>
                <w:szCs w:val="13"/>
                <w:b w:val="1"/>
                <w:bCs w:val="1"/>
                <w:color w:val="auto"/>
                <w:w w:val="89"/>
              </w:rPr>
              <w:t>June 30, 2019</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51"/>
              <w:spacing w:after="0"/>
              <w:rPr>
                <w:sz w:val="20"/>
                <w:szCs w:val="20"/>
                <w:color w:val="auto"/>
              </w:rPr>
            </w:pPr>
            <w:r>
              <w:rPr>
                <w:rFonts w:ascii="Arial" w:cs="Arial" w:eastAsia="Arial" w:hAnsi="Arial"/>
                <w:sz w:val="13"/>
                <w:szCs w:val="13"/>
                <w:b w:val="1"/>
                <w:bCs w:val="1"/>
                <w:color w:val="auto"/>
                <w:w w:val="90"/>
              </w:rPr>
              <w:t>(Unfavorable)</w:t>
            </w: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ind w:right="22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1"/>
        </w:trPr>
        <w:tc>
          <w:tcPr>
            <w:tcW w:w="2460" w:type="dxa"/>
            <w:vAlign w:val="bottom"/>
            <w:shd w:val="clear" w:color="auto" w:fill="CCEEFF"/>
          </w:tcPr>
          <w:p>
            <w:pPr>
              <w:ind w:left="20"/>
              <w:spacing w:after="0" w:line="162" w:lineRule="exact"/>
              <w:rPr>
                <w:sz w:val="20"/>
                <w:szCs w:val="20"/>
                <w:color w:val="auto"/>
              </w:rPr>
            </w:pPr>
            <w:r>
              <w:rPr>
                <w:rFonts w:ascii="Arial" w:cs="Arial" w:eastAsia="Arial" w:hAnsi="Arial"/>
                <w:sz w:val="18"/>
                <w:szCs w:val="18"/>
                <w:color w:val="auto"/>
                <w:w w:val="98"/>
              </w:rPr>
              <w:t>Interest income and other non-</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vMerge w:val="restart"/>
            <w:shd w:val="clear" w:color="auto" w:fill="CCEEFF"/>
          </w:tcPr>
          <w:p>
            <w:pPr>
              <w:jc w:val="right"/>
              <w:ind w:right="71"/>
              <w:spacing w:after="0"/>
              <w:rPr>
                <w:sz w:val="20"/>
                <w:szCs w:val="20"/>
                <w:color w:val="auto"/>
              </w:rPr>
            </w:pPr>
            <w:r>
              <w:rPr>
                <w:rFonts w:ascii="Arial" w:cs="Arial" w:eastAsia="Arial" w:hAnsi="Arial"/>
                <w:sz w:val="16"/>
                <w:szCs w:val="16"/>
                <w:color w:val="auto"/>
              </w:rPr>
              <w:t>413</w:t>
            </w:r>
          </w:p>
        </w:tc>
        <w:tc>
          <w:tcPr>
            <w:tcW w:w="12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vMerge w:val="restart"/>
            <w:shd w:val="clear" w:color="auto" w:fill="CCEEFF"/>
          </w:tcPr>
          <w:p>
            <w:pPr>
              <w:jc w:val="right"/>
              <w:ind w:right="88"/>
              <w:spacing w:after="0"/>
              <w:rPr>
                <w:sz w:val="20"/>
                <w:szCs w:val="20"/>
                <w:color w:val="auto"/>
              </w:rPr>
            </w:pPr>
            <w:r>
              <w:rPr>
                <w:rFonts w:ascii="Arial" w:cs="Arial" w:eastAsia="Arial" w:hAnsi="Arial"/>
                <w:sz w:val="16"/>
                <w:szCs w:val="16"/>
                <w:color w:val="auto"/>
              </w:rPr>
              <w:t>364</w:t>
            </w:r>
          </w:p>
        </w:tc>
        <w:tc>
          <w:tcPr>
            <w:tcW w:w="2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vMerge w:val="restart"/>
            <w:shd w:val="clear" w:color="auto" w:fill="CCEEFF"/>
          </w:tcPr>
          <w:p>
            <w:pPr>
              <w:jc w:val="right"/>
              <w:ind w:right="71"/>
              <w:spacing w:after="0"/>
              <w:rPr>
                <w:sz w:val="20"/>
                <w:szCs w:val="20"/>
                <w:color w:val="auto"/>
              </w:rPr>
            </w:pPr>
            <w:r>
              <w:rPr>
                <w:rFonts w:ascii="Arial" w:cs="Arial" w:eastAsia="Arial" w:hAnsi="Arial"/>
                <w:sz w:val="16"/>
                <w:szCs w:val="16"/>
                <w:color w:val="auto"/>
              </w:rPr>
              <w:t>49</w:t>
            </w:r>
          </w:p>
        </w:tc>
        <w:tc>
          <w:tcPr>
            <w:tcW w:w="1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13.5 %</w:t>
            </w: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vMerge w:val="restart"/>
            <w:shd w:val="clear" w:color="auto" w:fill="CCEEFF"/>
          </w:tcPr>
          <w:p>
            <w:pPr>
              <w:jc w:val="right"/>
              <w:ind w:right="71"/>
              <w:spacing w:after="0"/>
              <w:rPr>
                <w:sz w:val="20"/>
                <w:szCs w:val="20"/>
                <w:color w:val="auto"/>
              </w:rPr>
            </w:pPr>
            <w:r>
              <w:rPr>
                <w:rFonts w:ascii="Arial" w:cs="Arial" w:eastAsia="Arial" w:hAnsi="Arial"/>
                <w:sz w:val="16"/>
                <w:szCs w:val="16"/>
                <w:color w:val="auto"/>
              </w:rPr>
              <w:t>724</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vMerge w:val="restart"/>
            <w:shd w:val="clear" w:color="auto" w:fill="CCEEFF"/>
          </w:tcPr>
          <w:p>
            <w:pPr>
              <w:jc w:val="right"/>
              <w:ind w:right="68"/>
              <w:spacing w:after="0"/>
              <w:rPr>
                <w:sz w:val="20"/>
                <w:szCs w:val="20"/>
                <w:color w:val="auto"/>
              </w:rPr>
            </w:pPr>
            <w:r>
              <w:rPr>
                <w:rFonts w:ascii="Arial" w:cs="Arial" w:eastAsia="Arial" w:hAnsi="Arial"/>
                <w:sz w:val="16"/>
                <w:szCs w:val="16"/>
                <w:color w:val="auto"/>
              </w:rPr>
              <w:t>1,169</w:t>
            </w:r>
          </w:p>
        </w:tc>
        <w:tc>
          <w:tcPr>
            <w:tcW w:w="2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vMerge w:val="restart"/>
            <w:shd w:val="clear" w:color="auto" w:fill="CCEEFF"/>
          </w:tcPr>
          <w:p>
            <w:pPr>
              <w:jc w:val="right"/>
              <w:ind w:right="51"/>
              <w:spacing w:after="0"/>
              <w:rPr>
                <w:sz w:val="20"/>
                <w:szCs w:val="20"/>
                <w:color w:val="auto"/>
              </w:rPr>
            </w:pPr>
            <w:r>
              <w:rPr>
                <w:rFonts w:ascii="Arial" w:cs="Arial" w:eastAsia="Arial" w:hAnsi="Arial"/>
                <w:sz w:val="16"/>
                <w:szCs w:val="16"/>
                <w:color w:val="auto"/>
              </w:rPr>
              <w:t>(445)</w:t>
            </w:r>
          </w:p>
        </w:tc>
        <w:tc>
          <w:tcPr>
            <w:tcW w:w="10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(38.1) %</w:t>
            </w:r>
          </w:p>
        </w:tc>
        <w:tc>
          <w:tcPr>
            <w:tcW w:w="0" w:type="dxa"/>
            <w:vAlign w:val="bottom"/>
          </w:tcPr>
          <w:p>
            <w:pPr>
              <w:spacing w:after="0"/>
              <w:rPr>
                <w:sz w:val="1"/>
                <w:szCs w:val="1"/>
                <w:color w:val="auto"/>
              </w:rPr>
            </w:pPr>
          </w:p>
        </w:tc>
      </w:tr>
      <w:tr>
        <w:trPr>
          <w:trHeight w:val="230"/>
        </w:trPr>
        <w:tc>
          <w:tcPr>
            <w:tcW w:w="2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income, net</w:t>
            </w:r>
          </w:p>
        </w:tc>
        <w:tc>
          <w:tcPr>
            <w:tcW w:w="140" w:type="dxa"/>
            <w:vAlign w:val="bottom"/>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220" w:type="dxa"/>
            <w:vAlign w:val="bottom"/>
            <w:gridSpan w:val="2"/>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220" w:type="dxa"/>
            <w:vAlign w:val="bottom"/>
            <w:gridSpan w:val="2"/>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three months ended June 30, 2020, Interest income and other non-operating income, net increased primarily due to gains related to PSA warrants and our investment in Lyft of $0.2 billion, partially offset by several other insignificant items.</w:t>
      </w:r>
    </w:p>
    <w:p>
      <w:pPr>
        <w:spacing w:after="0" w:line="197"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six months ended June 30, 2020, Interest income and other non-operating income, net decreased primarily due to losses related to PSA warrants and lower gains in our investment in Lyft of $0.7 billion, partially offset by increased non-service pension income of $0.2 billion.</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gains (losses) related to our investment in Lyft and PSA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7804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78041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154" w:lineRule="exact"/>
        <w:rPr>
          <w:sz w:val="20"/>
          <w:szCs w:val="20"/>
          <w:color w:val="auto"/>
        </w:rPr>
      </w:pPr>
    </w:p>
    <w:tbl>
      <w:tblPr>
        <w:tblLayout w:type="fixed"/>
        <w:tblInd w:w="20" w:type="dxa"/>
        <w:tblCellMar>
          <w:top w:w="0" w:type="dxa"/>
          <w:left w:w="0" w:type="dxa"/>
          <w:bottom w:w="0" w:type="dxa"/>
          <w:right w:w="0" w:type="dxa"/>
        </w:tblCellMar>
      </w:tblPr>
      <w:tr>
        <w:trPr>
          <w:trHeight w:val="174"/>
        </w:trPr>
        <w:tc>
          <w:tcPr>
            <w:tcW w:w="34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4"/>
          </w:tcPr>
          <w:p>
            <w:pPr>
              <w:ind w:left="500"/>
              <w:spacing w:after="0"/>
              <w:rPr>
                <w:sz w:val="20"/>
                <w:szCs w:val="20"/>
                <w:color w:val="auto"/>
              </w:rPr>
            </w:pPr>
            <w:r>
              <w:rPr>
                <w:rFonts w:ascii="Arial" w:cs="Arial" w:eastAsia="Arial" w:hAnsi="Arial"/>
                <w:sz w:val="13"/>
                <w:szCs w:val="13"/>
                <w:b w:val="1"/>
                <w:bCs w:val="1"/>
                <w:color w:val="auto"/>
              </w:rPr>
              <w:t>Three Months Ended</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ind w:right="246"/>
              <w:spacing w:after="0"/>
              <w:rPr>
                <w:sz w:val="20"/>
                <w:szCs w:val="20"/>
                <w:color w:val="auto"/>
              </w:rPr>
            </w:pPr>
            <w:r>
              <w:rPr>
                <w:rFonts w:ascii="Arial" w:cs="Arial" w:eastAsia="Arial" w:hAnsi="Arial"/>
                <w:sz w:val="13"/>
                <w:szCs w:val="13"/>
                <w:b w:val="1"/>
                <w:bCs w:val="1"/>
                <w:color w:val="auto"/>
              </w:rPr>
              <w:t>Favorable/</w:t>
            </w:r>
          </w:p>
        </w:tc>
      </w:tr>
      <w:tr>
        <w:trPr>
          <w:trHeight w:val="183"/>
        </w:trPr>
        <w:tc>
          <w:tcPr>
            <w:tcW w:w="3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ind w:left="60"/>
              <w:spacing w:after="0"/>
              <w:rPr>
                <w:sz w:val="20"/>
                <w:szCs w:val="20"/>
                <w:color w:val="auto"/>
              </w:rPr>
            </w:pPr>
            <w:r>
              <w:rPr>
                <w:rFonts w:ascii="Arial" w:cs="Arial" w:eastAsia="Arial" w:hAnsi="Arial"/>
                <w:sz w:val="13"/>
                <w:szCs w:val="13"/>
                <w:b w:val="1"/>
                <w:bCs w:val="1"/>
                <w:color w:val="auto"/>
              </w:rPr>
              <w:t>June 30, 2020</w:t>
            </w:r>
          </w:p>
        </w:tc>
        <w:tc>
          <w:tcPr>
            <w:tcW w:w="160" w:type="dxa"/>
            <w:vAlign w:val="bottom"/>
          </w:tcPr>
          <w:p>
            <w:pPr>
              <w:spacing w:after="0"/>
              <w:rPr>
                <w:sz w:val="15"/>
                <w:szCs w:val="15"/>
                <w:color w:val="auto"/>
              </w:rPr>
            </w:pPr>
          </w:p>
        </w:tc>
        <w:tc>
          <w:tcPr>
            <w:tcW w:w="1120" w:type="dxa"/>
            <w:vAlign w:val="bottom"/>
            <w:gridSpan w:val="2"/>
          </w:tcPr>
          <w:p>
            <w:pPr>
              <w:ind w:left="60"/>
              <w:spacing w:after="0"/>
              <w:rPr>
                <w:sz w:val="20"/>
                <w:szCs w:val="20"/>
                <w:color w:val="auto"/>
              </w:rPr>
            </w:pPr>
            <w:r>
              <w:rPr>
                <w:rFonts w:ascii="Arial" w:cs="Arial" w:eastAsia="Arial" w:hAnsi="Arial"/>
                <w:sz w:val="13"/>
                <w:szCs w:val="13"/>
                <w:b w:val="1"/>
                <w:bCs w:val="1"/>
                <w:color w:val="auto"/>
              </w:rPr>
              <w:t>June 30, 2019</w:t>
            </w:r>
          </w:p>
        </w:tc>
        <w:tc>
          <w:tcPr>
            <w:tcW w:w="180" w:type="dxa"/>
            <w:vAlign w:val="bottom"/>
          </w:tcPr>
          <w:p>
            <w:pPr>
              <w:spacing w:after="0"/>
              <w:rPr>
                <w:sz w:val="15"/>
                <w:szCs w:val="15"/>
                <w:color w:val="auto"/>
              </w:rPr>
            </w:pPr>
          </w:p>
        </w:tc>
        <w:tc>
          <w:tcPr>
            <w:tcW w:w="1040" w:type="dxa"/>
            <w:vAlign w:val="bottom"/>
          </w:tcPr>
          <w:p>
            <w:pPr>
              <w:jc w:val="right"/>
              <w:ind w:right="166"/>
              <w:spacing w:after="0"/>
              <w:rPr>
                <w:sz w:val="20"/>
                <w:szCs w:val="20"/>
                <w:color w:val="auto"/>
              </w:rPr>
            </w:pPr>
            <w:r>
              <w:rPr>
                <w:rFonts w:ascii="Arial" w:cs="Arial" w:eastAsia="Arial" w:hAnsi="Arial"/>
                <w:sz w:val="13"/>
                <w:szCs w:val="13"/>
                <w:b w:val="1"/>
                <w:bCs w:val="1"/>
                <w:color w:val="auto"/>
                <w:w w:val="93"/>
              </w:rPr>
              <w:t>(Unfavorable)</w:t>
            </w:r>
          </w:p>
        </w:tc>
      </w:t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Gains (losses) related to Lyft</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tcPr>
          <w:p>
            <w:pPr>
              <w:jc w:val="right"/>
              <w:ind w:right="66"/>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tcPr>
          <w:p>
            <w:pPr>
              <w:jc w:val="center"/>
              <w:ind w:left="464"/>
              <w:spacing w:after="0"/>
              <w:rPr>
                <w:sz w:val="20"/>
                <w:szCs w:val="20"/>
                <w:color w:val="auto"/>
              </w:rPr>
            </w:pPr>
            <w:r>
              <w:rPr>
                <w:rFonts w:ascii="Arial" w:cs="Arial" w:eastAsia="Arial" w:hAnsi="Arial"/>
                <w:sz w:val="16"/>
                <w:szCs w:val="16"/>
                <w:color w:val="auto"/>
                <w:w w:val="98"/>
              </w:rPr>
              <w:t>(65)</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86"/>
              <w:spacing w:after="0"/>
              <w:rPr>
                <w:sz w:val="20"/>
                <w:szCs w:val="20"/>
                <w:color w:val="auto"/>
              </w:rPr>
            </w:pPr>
            <w:r>
              <w:rPr>
                <w:rFonts w:ascii="Arial" w:cs="Arial" w:eastAsia="Arial" w:hAnsi="Arial"/>
                <w:sz w:val="16"/>
                <w:szCs w:val="16"/>
                <w:color w:val="auto"/>
              </w:rPr>
              <w:t>69</w:t>
            </w:r>
          </w:p>
        </w:tc>
      </w:tr>
      <w:tr>
        <w:trPr>
          <w:trHeight w:val="270"/>
        </w:trPr>
        <w:tc>
          <w:tcPr>
            <w:tcW w:w="3420" w:type="dxa"/>
            <w:vAlign w:val="bottom"/>
          </w:tcPr>
          <w:p>
            <w:pPr>
              <w:spacing w:after="0"/>
              <w:rPr>
                <w:sz w:val="20"/>
                <w:szCs w:val="20"/>
                <w:color w:val="auto"/>
              </w:rPr>
            </w:pPr>
            <w:r>
              <w:rPr>
                <w:rFonts w:ascii="Arial" w:cs="Arial" w:eastAsia="Arial" w:hAnsi="Arial"/>
                <w:sz w:val="18"/>
                <w:szCs w:val="18"/>
                <w:color w:val="auto"/>
              </w:rPr>
              <w:t>Gains (losses) related to PSA warrants</w:t>
            </w:r>
          </w:p>
        </w:tc>
        <w:tc>
          <w:tcPr>
            <w:tcW w:w="160" w:type="dxa"/>
            <w:vAlign w:val="bottom"/>
          </w:tcPr>
          <w:p>
            <w:pPr>
              <w:spacing w:after="0"/>
              <w:rPr>
                <w:sz w:val="23"/>
                <w:szCs w:val="23"/>
                <w:color w:val="auto"/>
              </w:rPr>
            </w:pPr>
          </w:p>
        </w:tc>
        <w:tc>
          <w:tcPr>
            <w:tcW w:w="1020" w:type="dxa"/>
            <w:vAlign w:val="bottom"/>
          </w:tcPr>
          <w:p>
            <w:pPr>
              <w:jc w:val="right"/>
              <w:ind w:right="66"/>
              <w:spacing w:after="0"/>
              <w:rPr>
                <w:sz w:val="20"/>
                <w:szCs w:val="20"/>
                <w:color w:val="auto"/>
              </w:rPr>
            </w:pPr>
            <w:r>
              <w:rPr>
                <w:rFonts w:ascii="Arial" w:cs="Arial" w:eastAsia="Arial" w:hAnsi="Arial"/>
                <w:sz w:val="16"/>
                <w:szCs w:val="16"/>
                <w:color w:val="auto"/>
              </w:rPr>
              <w:t>114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tcPr>
          <w:p>
            <w:pPr>
              <w:jc w:val="center"/>
              <w:ind w:left="504"/>
              <w:spacing w:after="0"/>
              <w:rPr>
                <w:sz w:val="20"/>
                <w:szCs w:val="20"/>
                <w:color w:val="auto"/>
              </w:rPr>
            </w:pPr>
            <w:r>
              <w:rPr>
                <w:rFonts w:ascii="Arial" w:cs="Arial" w:eastAsia="Arial" w:hAnsi="Arial"/>
                <w:sz w:val="16"/>
                <w:szCs w:val="16"/>
                <w:color w:val="auto"/>
                <w:w w:val="89"/>
              </w:rPr>
              <w:t>32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jc w:val="right"/>
              <w:ind w:right="86"/>
              <w:spacing w:after="0"/>
              <w:rPr>
                <w:sz w:val="20"/>
                <w:szCs w:val="20"/>
                <w:color w:val="auto"/>
              </w:rPr>
            </w:pPr>
            <w:r>
              <w:rPr>
                <w:rFonts w:ascii="Arial" w:cs="Arial" w:eastAsia="Arial" w:hAnsi="Arial"/>
                <w:sz w:val="16"/>
                <w:szCs w:val="16"/>
                <w:color w:val="auto"/>
              </w:rPr>
              <w:t>82</w:t>
            </w:r>
          </w:p>
        </w:tc>
      </w:tr>
      <w:tr>
        <w:trPr>
          <w:trHeight w:val="27"/>
        </w:trPr>
        <w:tc>
          <w:tcPr>
            <w:tcW w:w="34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3420" w:type="dxa"/>
            <w:vAlign w:val="bottom"/>
          </w:tcPr>
          <w:p>
            <w:pPr>
              <w:spacing w:after="0"/>
              <w:rPr>
                <w:sz w:val="20"/>
                <w:szCs w:val="20"/>
                <w:color w:val="auto"/>
              </w:rPr>
            </w:pPr>
            <w:r>
              <w:rPr>
                <w:rFonts w:ascii="Arial" w:cs="Arial" w:eastAsia="Arial" w:hAnsi="Arial"/>
                <w:sz w:val="18"/>
                <w:szCs w:val="18"/>
                <w:color w:val="auto"/>
              </w:rPr>
              <w:t>Total gains (losses) on investments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66"/>
              <w:spacing w:after="0"/>
              <w:rPr>
                <w:sz w:val="20"/>
                <w:szCs w:val="20"/>
                <w:color w:val="auto"/>
              </w:rPr>
            </w:pPr>
            <w:r>
              <w:rPr>
                <w:rFonts w:ascii="Arial" w:cs="Arial" w:eastAsia="Arial" w:hAnsi="Arial"/>
                <w:sz w:val="16"/>
                <w:szCs w:val="16"/>
                <w:color w:val="auto"/>
              </w:rPr>
              <w:t>118</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center"/>
              <w:ind w:left="464"/>
              <w:spacing w:after="0"/>
              <w:rPr>
                <w:sz w:val="20"/>
                <w:szCs w:val="20"/>
                <w:color w:val="auto"/>
              </w:rPr>
            </w:pPr>
            <w:r>
              <w:rPr>
                <w:rFonts w:ascii="Arial" w:cs="Arial" w:eastAsia="Arial" w:hAnsi="Arial"/>
                <w:sz w:val="16"/>
                <w:szCs w:val="16"/>
                <w:color w:val="auto"/>
                <w:w w:val="98"/>
              </w:rPr>
              <w:t>(33)</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86"/>
              <w:spacing w:after="0"/>
              <w:rPr>
                <w:sz w:val="20"/>
                <w:szCs w:val="20"/>
                <w:color w:val="auto"/>
              </w:rPr>
            </w:pPr>
            <w:r>
              <w:rPr>
                <w:rFonts w:ascii="Arial" w:cs="Arial" w:eastAsia="Arial" w:hAnsi="Arial"/>
                <w:sz w:val="16"/>
                <w:szCs w:val="16"/>
                <w:color w:val="auto"/>
              </w:rPr>
              <w:t>151</w:t>
            </w:r>
          </w:p>
        </w:tc>
      </w:tr>
      <w:tr>
        <w:trPr>
          <w:trHeight w:val="20"/>
        </w:trPr>
        <w:tc>
          <w:tcPr>
            <w:tcW w:w="3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4"/>
        </w:trPr>
        <w:tc>
          <w:tcPr>
            <w:tcW w:w="18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4"/>
          </w:tcPr>
          <w:p>
            <w:pPr>
              <w:ind w:left="580"/>
              <w:spacing w:after="0"/>
              <w:rPr>
                <w:sz w:val="20"/>
                <w:szCs w:val="20"/>
                <w:color w:val="auto"/>
              </w:rPr>
            </w:pPr>
            <w:r>
              <w:rPr>
                <w:rFonts w:ascii="Arial" w:cs="Arial" w:eastAsia="Arial" w:hAnsi="Arial"/>
                <w:sz w:val="13"/>
                <w:szCs w:val="13"/>
                <w:b w:val="1"/>
                <w:bCs w:val="1"/>
                <w:color w:val="auto"/>
              </w:rPr>
              <w:t>Six Months Ended</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right"/>
              <w:ind w:right="246"/>
              <w:spacing w:after="0"/>
              <w:rPr>
                <w:sz w:val="20"/>
                <w:szCs w:val="20"/>
                <w:color w:val="auto"/>
              </w:rPr>
            </w:pPr>
            <w:r>
              <w:rPr>
                <w:rFonts w:ascii="Arial" w:cs="Arial" w:eastAsia="Arial" w:hAnsi="Arial"/>
                <w:sz w:val="13"/>
                <w:szCs w:val="13"/>
                <w:b w:val="1"/>
                <w:bCs w:val="1"/>
                <w:color w:val="auto"/>
              </w:rPr>
              <w:t>Favorable/</w:t>
            </w:r>
          </w:p>
        </w:tc>
      </w:tr>
      <w:tr>
        <w:trPr>
          <w:trHeight w:val="183"/>
        </w:trPr>
        <w:tc>
          <w:tcPr>
            <w:tcW w:w="180" w:type="dxa"/>
            <w:vAlign w:val="bottom"/>
          </w:tcPr>
          <w:p>
            <w:pPr>
              <w:spacing w:after="0"/>
              <w:rPr>
                <w:sz w:val="15"/>
                <w:szCs w:val="15"/>
                <w:color w:val="auto"/>
              </w:rPr>
            </w:pPr>
          </w:p>
        </w:tc>
        <w:tc>
          <w:tcPr>
            <w:tcW w:w="1120" w:type="dxa"/>
            <w:vAlign w:val="bottom"/>
            <w:gridSpan w:val="2"/>
          </w:tcPr>
          <w:p>
            <w:pPr>
              <w:ind w:left="60"/>
              <w:spacing w:after="0"/>
              <w:rPr>
                <w:sz w:val="20"/>
                <w:szCs w:val="20"/>
                <w:color w:val="auto"/>
              </w:rPr>
            </w:pPr>
            <w:r>
              <w:rPr>
                <w:rFonts w:ascii="Arial" w:cs="Arial" w:eastAsia="Arial" w:hAnsi="Arial"/>
                <w:sz w:val="13"/>
                <w:szCs w:val="13"/>
                <w:b w:val="1"/>
                <w:bCs w:val="1"/>
                <w:color w:val="auto"/>
              </w:rPr>
              <w:t>June 30, 2020</w:t>
            </w:r>
          </w:p>
        </w:tc>
        <w:tc>
          <w:tcPr>
            <w:tcW w:w="160" w:type="dxa"/>
            <w:vAlign w:val="bottom"/>
          </w:tcPr>
          <w:p>
            <w:pPr>
              <w:spacing w:after="0"/>
              <w:rPr>
                <w:sz w:val="15"/>
                <w:szCs w:val="15"/>
                <w:color w:val="auto"/>
              </w:rPr>
            </w:pPr>
          </w:p>
        </w:tc>
        <w:tc>
          <w:tcPr>
            <w:tcW w:w="1140" w:type="dxa"/>
            <w:vAlign w:val="bottom"/>
            <w:gridSpan w:val="2"/>
          </w:tcPr>
          <w:p>
            <w:pPr>
              <w:ind w:left="80"/>
              <w:spacing w:after="0"/>
              <w:rPr>
                <w:sz w:val="20"/>
                <w:szCs w:val="20"/>
                <w:color w:val="auto"/>
              </w:rPr>
            </w:pPr>
            <w:r>
              <w:rPr>
                <w:rFonts w:ascii="Arial" w:cs="Arial" w:eastAsia="Arial" w:hAnsi="Arial"/>
                <w:sz w:val="13"/>
                <w:szCs w:val="13"/>
                <w:b w:val="1"/>
                <w:bCs w:val="1"/>
                <w:color w:val="auto"/>
              </w:rPr>
              <w:t>June 30, 2019</w:t>
            </w:r>
          </w:p>
        </w:tc>
        <w:tc>
          <w:tcPr>
            <w:tcW w:w="160" w:type="dxa"/>
            <w:vAlign w:val="bottom"/>
          </w:tcPr>
          <w:p>
            <w:pPr>
              <w:spacing w:after="0"/>
              <w:rPr>
                <w:sz w:val="15"/>
                <w:szCs w:val="15"/>
                <w:color w:val="auto"/>
              </w:rPr>
            </w:pPr>
          </w:p>
        </w:tc>
        <w:tc>
          <w:tcPr>
            <w:tcW w:w="1040" w:type="dxa"/>
            <w:vAlign w:val="bottom"/>
          </w:tcPr>
          <w:p>
            <w:pPr>
              <w:jc w:val="right"/>
              <w:ind w:right="146"/>
              <w:spacing w:after="0"/>
              <w:rPr>
                <w:sz w:val="20"/>
                <w:szCs w:val="20"/>
                <w:color w:val="auto"/>
              </w:rPr>
            </w:pPr>
            <w:r>
              <w:rPr>
                <w:rFonts w:ascii="Arial" w:cs="Arial" w:eastAsia="Arial" w:hAnsi="Arial"/>
                <w:sz w:val="13"/>
                <w:szCs w:val="13"/>
                <w:b w:val="1"/>
                <w:bCs w:val="1"/>
                <w:color w:val="auto"/>
                <w:w w:val="95"/>
              </w:rPr>
              <w:t>(Unfavorable)</w:t>
            </w:r>
          </w:p>
        </w:tc>
      </w:tr>
      <w:tr>
        <w:trPr>
          <w:trHeight w:val="224"/>
        </w:trPr>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tcPr>
          <w:p>
            <w:pPr>
              <w:ind w:left="700"/>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84"/>
              <w:spacing w:after="0"/>
              <w:rPr>
                <w:sz w:val="20"/>
                <w:szCs w:val="20"/>
                <w:color w:val="auto"/>
              </w:rPr>
            </w:pPr>
            <w:r>
              <w:rPr>
                <w:rFonts w:ascii="Arial" w:cs="Arial" w:eastAsia="Arial" w:hAnsi="Arial"/>
                <w:sz w:val="16"/>
                <w:szCs w:val="16"/>
                <w:color w:val="auto"/>
              </w:rPr>
              <w:t>220</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26"/>
              <w:spacing w:after="0"/>
              <w:rPr>
                <w:sz w:val="20"/>
                <w:szCs w:val="20"/>
                <w:color w:val="auto"/>
              </w:rPr>
            </w:pPr>
            <w:r>
              <w:rPr>
                <w:rFonts w:ascii="Arial" w:cs="Arial" w:eastAsia="Arial" w:hAnsi="Arial"/>
                <w:sz w:val="16"/>
                <w:szCs w:val="16"/>
                <w:color w:val="auto"/>
              </w:rPr>
              <w:t>(210)</w:t>
            </w:r>
          </w:p>
        </w:tc>
      </w:tr>
      <w:tr>
        <w:trPr>
          <w:trHeight w:val="270"/>
        </w:trPr>
        <w:tc>
          <w:tcPr>
            <w:tcW w:w="180" w:type="dxa"/>
            <w:vAlign w:val="bottom"/>
          </w:tcPr>
          <w:p>
            <w:pPr>
              <w:spacing w:after="0"/>
              <w:rPr>
                <w:sz w:val="23"/>
                <w:szCs w:val="23"/>
                <w:color w:val="auto"/>
              </w:rPr>
            </w:pPr>
          </w:p>
        </w:tc>
        <w:tc>
          <w:tcPr>
            <w:tcW w:w="1020" w:type="dxa"/>
            <w:vAlign w:val="bottom"/>
          </w:tcPr>
          <w:p>
            <w:pPr>
              <w:ind w:left="560"/>
              <w:spacing w:after="0"/>
              <w:rPr>
                <w:sz w:val="20"/>
                <w:szCs w:val="20"/>
                <w:color w:val="auto"/>
              </w:rPr>
            </w:pPr>
            <w:r>
              <w:rPr>
                <w:rFonts w:ascii="Arial" w:cs="Arial" w:eastAsia="Arial" w:hAnsi="Arial"/>
                <w:sz w:val="16"/>
                <w:szCs w:val="16"/>
                <w:color w:val="auto"/>
              </w:rPr>
              <w:t>(303)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jc w:val="right"/>
              <w:ind w:right="84"/>
              <w:spacing w:after="0"/>
              <w:rPr>
                <w:sz w:val="20"/>
                <w:szCs w:val="20"/>
                <w:color w:val="auto"/>
              </w:rPr>
            </w:pPr>
            <w:r>
              <w:rPr>
                <w:rFonts w:ascii="Arial" w:cs="Arial" w:eastAsia="Arial" w:hAnsi="Arial"/>
                <w:sz w:val="16"/>
                <w:szCs w:val="16"/>
                <w:color w:val="auto"/>
              </w:rPr>
              <w:t>171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jc w:val="right"/>
              <w:ind w:right="26"/>
              <w:spacing w:after="0"/>
              <w:rPr>
                <w:sz w:val="20"/>
                <w:szCs w:val="20"/>
                <w:color w:val="auto"/>
              </w:rPr>
            </w:pPr>
            <w:r>
              <w:rPr>
                <w:rFonts w:ascii="Arial" w:cs="Arial" w:eastAsia="Arial" w:hAnsi="Arial"/>
                <w:sz w:val="16"/>
                <w:szCs w:val="16"/>
                <w:color w:val="auto"/>
              </w:rPr>
              <w:t>(474)</w:t>
            </w:r>
          </w:p>
        </w:tc>
      </w:tr>
      <w:tr>
        <w:trPr>
          <w:trHeight w:val="33"/>
        </w:trPr>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ind w:left="560"/>
              <w:spacing w:after="0"/>
              <w:rPr>
                <w:sz w:val="20"/>
                <w:szCs w:val="20"/>
                <w:color w:val="auto"/>
              </w:rPr>
            </w:pPr>
            <w:r>
              <w:rPr>
                <w:rFonts w:ascii="Arial" w:cs="Arial" w:eastAsia="Arial" w:hAnsi="Arial"/>
                <w:sz w:val="16"/>
                <w:szCs w:val="16"/>
                <w:color w:val="auto"/>
              </w:rPr>
              <w:t>(293)</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84"/>
              <w:spacing w:after="0"/>
              <w:rPr>
                <w:sz w:val="20"/>
                <w:szCs w:val="20"/>
                <w:color w:val="auto"/>
              </w:rPr>
            </w:pPr>
            <w:r>
              <w:rPr>
                <w:rFonts w:ascii="Arial" w:cs="Arial" w:eastAsia="Arial" w:hAnsi="Arial"/>
                <w:sz w:val="16"/>
                <w:szCs w:val="16"/>
                <w:color w:val="auto"/>
              </w:rPr>
              <w:t>391</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26"/>
              <w:spacing w:after="0"/>
              <w:rPr>
                <w:sz w:val="20"/>
                <w:szCs w:val="20"/>
                <w:color w:val="auto"/>
              </w:rPr>
            </w:pPr>
            <w:r>
              <w:rPr>
                <w:rFonts w:ascii="Arial" w:cs="Arial" w:eastAsia="Arial" w:hAnsi="Arial"/>
                <w:sz w:val="16"/>
                <w:szCs w:val="16"/>
                <w:color w:val="auto"/>
              </w:rPr>
              <w:t>(684)</w:t>
            </w:r>
          </w:p>
        </w:tc>
      </w:tr>
      <w:tr>
        <w:trPr>
          <w:trHeight w:val="33"/>
        </w:trPr>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240" w:space="200"/>
            <w:col w:w="3800"/>
          </w:cols>
          <w:pgMar w:left="320" w:top="125" w:right="339" w:bottom="1440" w:gutter="0" w:footer="0" w:header="0"/>
          <w:type w:val="continuous"/>
        </w:sectPr>
      </w:pPr>
    </w:p>
    <w:p>
      <w:pPr>
        <w:spacing w:after="0" w:line="12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5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4"/>
          </w:tcPr>
          <w:p>
            <w:pPr>
              <w:jc w:val="right"/>
              <w:ind w:right="488"/>
              <w:spacing w:after="0"/>
              <w:rPr>
                <w:sz w:val="20"/>
                <w:szCs w:val="20"/>
                <w:color w:val="auto"/>
              </w:rPr>
            </w:pPr>
            <w:r>
              <w:rPr>
                <w:rFonts w:ascii="Arial" w:cs="Arial" w:eastAsia="Arial" w:hAnsi="Arial"/>
                <w:sz w:val="13"/>
                <w:szCs w:val="13"/>
                <w:b w:val="1"/>
                <w:bCs w:val="1"/>
                <w:color w:val="auto"/>
              </w:rPr>
              <w:t>Three Months Ended</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Favorable/</w:t>
            </w:r>
          </w:p>
        </w:tc>
        <w:tc>
          <w:tcPr>
            <w:tcW w:w="7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jc w:val="right"/>
              <w:ind w:right="588"/>
              <w:spacing w:after="0"/>
              <w:rPr>
                <w:sz w:val="20"/>
                <w:szCs w:val="20"/>
                <w:color w:val="auto"/>
              </w:rPr>
            </w:pPr>
            <w:r>
              <w:rPr>
                <w:rFonts w:ascii="Arial" w:cs="Arial" w:eastAsia="Arial" w:hAnsi="Arial"/>
                <w:sz w:val="13"/>
                <w:szCs w:val="13"/>
                <w:b w:val="1"/>
                <w:bCs w:val="1"/>
                <w:color w:val="auto"/>
              </w:rPr>
              <w:t>Six Months Ended</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9"/>
              </w:rPr>
              <w:t>Favorable/</w:t>
            </w:r>
          </w:p>
        </w:tc>
        <w:tc>
          <w:tcPr>
            <w:tcW w:w="760" w:type="dxa"/>
            <w:vAlign w:val="bottom"/>
          </w:tcPr>
          <w:p>
            <w:pPr>
              <w:spacing w:after="0"/>
              <w:rPr>
                <w:sz w:val="16"/>
                <w:szCs w:val="16"/>
                <w:color w:val="auto"/>
              </w:rPr>
            </w:pPr>
          </w:p>
        </w:tc>
      </w:tr>
      <w:tr>
        <w:trPr>
          <w:trHeight w:val="181"/>
        </w:trPr>
        <w:tc>
          <w:tcPr>
            <w:tcW w:w="25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11"/>
              <w:spacing w:after="0"/>
              <w:rPr>
                <w:sz w:val="20"/>
                <w:szCs w:val="20"/>
                <w:color w:val="auto"/>
              </w:rPr>
            </w:pPr>
            <w:r>
              <w:rPr>
                <w:rFonts w:ascii="Arial" w:cs="Arial" w:eastAsia="Arial" w:hAnsi="Arial"/>
                <w:sz w:val="13"/>
                <w:szCs w:val="13"/>
                <w:b w:val="1"/>
                <w:bCs w:val="1"/>
                <w:color w:val="auto"/>
                <w:w w:val="87"/>
              </w:rPr>
              <w:t>June 30, 2020</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08"/>
              <w:spacing w:after="0"/>
              <w:rPr>
                <w:sz w:val="20"/>
                <w:szCs w:val="20"/>
                <w:color w:val="auto"/>
              </w:rPr>
            </w:pPr>
            <w:r>
              <w:rPr>
                <w:rFonts w:ascii="Arial" w:cs="Arial" w:eastAsia="Arial" w:hAnsi="Arial"/>
                <w:sz w:val="13"/>
                <w:szCs w:val="13"/>
                <w:b w:val="1"/>
                <w:bCs w:val="1"/>
                <w:color w:val="auto"/>
                <w:w w:val="87"/>
              </w:rPr>
              <w:t>June 30, 2019</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51"/>
              <w:spacing w:after="0"/>
              <w:rPr>
                <w:sz w:val="20"/>
                <w:szCs w:val="20"/>
                <w:color w:val="auto"/>
              </w:rPr>
            </w:pPr>
            <w:r>
              <w:rPr>
                <w:rFonts w:ascii="Arial" w:cs="Arial" w:eastAsia="Arial" w:hAnsi="Arial"/>
                <w:sz w:val="13"/>
                <w:szCs w:val="13"/>
                <w:b w:val="1"/>
                <w:bCs w:val="1"/>
                <w:color w:val="auto"/>
                <w:w w:val="88"/>
              </w:rPr>
              <w:t>(Unfavorable)</w:t>
            </w:r>
          </w:p>
        </w:tc>
        <w:tc>
          <w:tcPr>
            <w:tcW w:w="10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right"/>
              <w:ind w:right="208"/>
              <w:spacing w:after="0"/>
              <w:rPr>
                <w:sz w:val="20"/>
                <w:szCs w:val="20"/>
                <w:color w:val="auto"/>
              </w:rPr>
            </w:pPr>
            <w:r>
              <w:rPr>
                <w:rFonts w:ascii="Arial" w:cs="Arial" w:eastAsia="Arial" w:hAnsi="Arial"/>
                <w:sz w:val="13"/>
                <w:szCs w:val="13"/>
                <w:b w:val="1"/>
                <w:bCs w:val="1"/>
                <w:color w:val="auto"/>
              </w:rPr>
              <w:t>%</w:t>
            </w:r>
          </w:p>
        </w:tc>
        <w:tc>
          <w:tcPr>
            <w:tcW w:w="120" w:type="dxa"/>
            <w:vAlign w:val="bottom"/>
            <w:tcBorders>
              <w:bottom w:val="single" w:sz="8" w:color="CCEEFF"/>
              <w:right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11"/>
              <w:spacing w:after="0"/>
              <w:rPr>
                <w:sz w:val="20"/>
                <w:szCs w:val="20"/>
                <w:color w:val="auto"/>
              </w:rPr>
            </w:pPr>
            <w:r>
              <w:rPr>
                <w:rFonts w:ascii="Arial" w:cs="Arial" w:eastAsia="Arial" w:hAnsi="Arial"/>
                <w:sz w:val="13"/>
                <w:szCs w:val="13"/>
                <w:b w:val="1"/>
                <w:bCs w:val="1"/>
                <w:color w:val="auto"/>
                <w:w w:val="87"/>
              </w:rPr>
              <w:t>June 30, 2020</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08"/>
              <w:spacing w:after="0"/>
              <w:rPr>
                <w:sz w:val="20"/>
                <w:szCs w:val="20"/>
                <w:color w:val="auto"/>
              </w:rPr>
            </w:pPr>
            <w:r>
              <w:rPr>
                <w:rFonts w:ascii="Arial" w:cs="Arial" w:eastAsia="Arial" w:hAnsi="Arial"/>
                <w:sz w:val="13"/>
                <w:szCs w:val="13"/>
                <w:b w:val="1"/>
                <w:bCs w:val="1"/>
                <w:color w:val="auto"/>
                <w:w w:val="89"/>
              </w:rPr>
              <w:t>June 30, 2019</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51"/>
              <w:spacing w:after="0"/>
              <w:rPr>
                <w:sz w:val="20"/>
                <w:szCs w:val="20"/>
                <w:color w:val="auto"/>
              </w:rPr>
            </w:pPr>
            <w:r>
              <w:rPr>
                <w:rFonts w:ascii="Arial" w:cs="Arial" w:eastAsia="Arial" w:hAnsi="Arial"/>
                <w:sz w:val="13"/>
                <w:szCs w:val="13"/>
                <w:b w:val="1"/>
                <w:bCs w:val="1"/>
                <w:color w:val="auto"/>
                <w:w w:val="90"/>
              </w:rPr>
              <w:t>(Unfavorable)</w:t>
            </w: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ind w:right="224"/>
              <w:spacing w:after="0"/>
              <w:rPr>
                <w:sz w:val="20"/>
                <w:szCs w:val="20"/>
                <w:color w:val="auto"/>
              </w:rPr>
            </w:pPr>
            <w:r>
              <w:rPr>
                <w:rFonts w:ascii="Arial" w:cs="Arial" w:eastAsia="Arial" w:hAnsi="Arial"/>
                <w:sz w:val="14"/>
                <w:szCs w:val="14"/>
                <w:b w:val="1"/>
                <w:bCs w:val="1"/>
                <w:color w:val="auto"/>
              </w:rPr>
              <w:t>%</w:t>
            </w:r>
          </w:p>
        </w:tc>
      </w:tr>
      <w:tr>
        <w:trPr>
          <w:trHeight w:val="256"/>
        </w:trPr>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6"/>
                <w:szCs w:val="16"/>
                <w:color w:val="auto"/>
              </w:rPr>
              <w:t>(112)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6"/>
                <w:szCs w:val="16"/>
                <w:color w:val="auto"/>
              </w:rPr>
              <w:t>524</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71"/>
              <w:spacing w:after="0"/>
              <w:rPr>
                <w:sz w:val="20"/>
                <w:szCs w:val="20"/>
                <w:color w:val="auto"/>
              </w:rPr>
            </w:pPr>
            <w:r>
              <w:rPr>
                <w:rFonts w:ascii="Arial" w:cs="Arial" w:eastAsia="Arial" w:hAnsi="Arial"/>
                <w:sz w:val="16"/>
                <w:szCs w:val="16"/>
                <w:color w:val="auto"/>
              </w:rPr>
              <w:t>636</w:t>
            </w:r>
          </w:p>
        </w:tc>
        <w:tc>
          <w:tcPr>
            <w:tcW w:w="100" w:type="dxa"/>
            <w:vAlign w:val="bottom"/>
            <w:shd w:val="clear" w:color="auto" w:fill="CCEEFF"/>
          </w:tcPr>
          <w:p>
            <w:pPr>
              <w:spacing w:after="0"/>
              <w:rPr>
                <w:sz w:val="22"/>
                <w:szCs w:val="22"/>
                <w:color w:val="auto"/>
              </w:rPr>
            </w:pPr>
          </w:p>
        </w:tc>
        <w:tc>
          <w:tcPr>
            <w:tcW w:w="820" w:type="dxa"/>
            <w:vAlign w:val="bottom"/>
            <w:tcBorders>
              <w:right w:val="single" w:sz="8" w:color="auto"/>
            </w:tcBorders>
            <w:gridSpan w:val="2"/>
            <w:shd w:val="clear" w:color="auto" w:fill="CCEEFF"/>
          </w:tcPr>
          <w:p>
            <w:pPr>
              <w:ind w:left="400"/>
              <w:spacing w:after="0"/>
              <w:rPr>
                <w:sz w:val="20"/>
                <w:szCs w:val="20"/>
                <w:color w:val="auto"/>
              </w:rPr>
            </w:pPr>
            <w:r>
              <w:rPr>
                <w:rFonts w:ascii="Arial" w:cs="Arial" w:eastAsia="Arial" w:hAnsi="Arial"/>
                <w:sz w:val="16"/>
                <w:szCs w:val="16"/>
                <w:color w:val="auto"/>
              </w:rPr>
              <w:t>n.m.</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71"/>
              <w:spacing w:after="0"/>
              <w:rPr>
                <w:sz w:val="20"/>
                <w:szCs w:val="20"/>
                <w:color w:val="auto"/>
              </w:rPr>
            </w:pPr>
            <w:r>
              <w:rPr>
                <w:rFonts w:ascii="Arial" w:cs="Arial" w:eastAsia="Arial" w:hAnsi="Arial"/>
                <w:sz w:val="16"/>
                <w:szCs w:val="16"/>
                <w:color w:val="auto"/>
              </w:rPr>
              <w:t>245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6"/>
                <w:szCs w:val="16"/>
                <w:color w:val="auto"/>
              </w:rPr>
              <w:t>661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91"/>
              <w:spacing w:after="0"/>
              <w:rPr>
                <w:sz w:val="20"/>
                <w:szCs w:val="20"/>
                <w:color w:val="auto"/>
              </w:rPr>
            </w:pPr>
            <w:r>
              <w:rPr>
                <w:rFonts w:ascii="Arial" w:cs="Arial" w:eastAsia="Arial" w:hAnsi="Arial"/>
                <w:sz w:val="16"/>
                <w:szCs w:val="16"/>
                <w:color w:val="auto"/>
              </w:rPr>
              <w:t>416</w:t>
            </w:r>
          </w:p>
        </w:tc>
        <w:tc>
          <w:tcPr>
            <w:tcW w:w="10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62.9 %</w:t>
            </w:r>
          </w:p>
        </w:tc>
      </w:tr>
      <w:tr>
        <w:trPr>
          <w:trHeight w:val="301"/>
        </w:trPr>
        <w:tc>
          <w:tcPr>
            <w:tcW w:w="2500" w:type="dxa"/>
            <w:vAlign w:val="bottom"/>
          </w:tcPr>
          <w:p>
            <w:pPr>
              <w:spacing w:after="0"/>
              <w:rPr>
                <w:sz w:val="20"/>
                <w:szCs w:val="20"/>
                <w:color w:val="auto"/>
              </w:rPr>
            </w:pPr>
            <w:r>
              <w:rPr>
                <w:rFonts w:ascii="Arial" w:cs="Arial" w:eastAsia="Arial" w:hAnsi="Arial"/>
                <w:sz w:val="18"/>
                <w:szCs w:val="18"/>
                <w:color w:val="auto"/>
              </w:rPr>
              <w:t>________</w:t>
            </w: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06"/>
        </w:trPr>
        <w:tc>
          <w:tcPr>
            <w:tcW w:w="2500" w:type="dxa"/>
            <w:vAlign w:val="bottom"/>
          </w:tcPr>
          <w:p>
            <w:pPr>
              <w:spacing w:after="0"/>
              <w:rPr>
                <w:sz w:val="20"/>
                <w:szCs w:val="20"/>
                <w:color w:val="auto"/>
              </w:rPr>
            </w:pPr>
            <w:r>
              <w:rPr>
                <w:rFonts w:ascii="Arial" w:cs="Arial" w:eastAsia="Arial" w:hAnsi="Arial"/>
                <w:sz w:val="16"/>
                <w:szCs w:val="16"/>
                <w:color w:val="auto"/>
              </w:rPr>
              <w:t>n.m. = not meaningful</w:t>
            </w: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r>
    </w:tbl>
    <w:p>
      <w:pPr>
        <w:spacing w:after="0" w:line="19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 the three months ended June 30, 2020, Income tax expense decreased primarily due to lower pre-tax income.</w:t>
      </w:r>
    </w:p>
    <w:p>
      <w:pPr>
        <w:spacing w:after="0" w:line="279" w:lineRule="exact"/>
        <w:rPr>
          <w:sz w:val="20"/>
          <w:szCs w:val="20"/>
          <w:color w:val="auto"/>
        </w:rPr>
      </w:pPr>
    </w:p>
    <w:p>
      <w:pPr>
        <w:ind w:right="500" w:firstLine="162"/>
        <w:spacing w:after="0" w:line="277" w:lineRule="auto"/>
        <w:rPr>
          <w:sz w:val="20"/>
          <w:szCs w:val="20"/>
          <w:color w:val="auto"/>
        </w:rPr>
      </w:pPr>
      <w:r>
        <w:rPr>
          <w:rFonts w:ascii="Arial" w:cs="Arial" w:eastAsia="Arial" w:hAnsi="Arial"/>
          <w:sz w:val="18"/>
          <w:szCs w:val="18"/>
          <w:color w:val="auto"/>
        </w:rPr>
        <w:t>In the six months ended June 30, 2020, Income tax expense decreased primarily due to lower pre-tax income, partially offset by establishment of a valuation allowance.</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For the three and six months ended June 30, 2020, our ETR-adjusted was 14.6% and 23.2%.</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Refer to Note 16 to our condensed consolidated financial statements for additional information related to Income tax expense.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GENERAL MOTORS COMPANY AND SUBSIDIARIES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 North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12172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21729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2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3"/>
          </w:tcPr>
          <w:p>
            <w:pPr>
              <w:jc w:val="right"/>
              <w:ind w:right="494"/>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Favorable /</w:t>
            </w:r>
          </w:p>
        </w:tc>
        <w:tc>
          <w:tcPr>
            <w:tcW w:w="940" w:type="dxa"/>
            <w:vAlign w:val="bottom"/>
          </w:tcPr>
          <w:p>
            <w:pPr>
              <w:spacing w:after="0"/>
              <w:rPr>
                <w:sz w:val="16"/>
                <w:szCs w:val="16"/>
                <w:color w:val="auto"/>
              </w:rPr>
            </w:pPr>
          </w:p>
        </w:tc>
      </w:tr>
      <w:tr>
        <w:trPr>
          <w:trHeight w:val="196"/>
        </w:trPr>
        <w:tc>
          <w:tcPr>
            <w:tcW w:w="2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ind w:right="196"/>
              <w:spacing w:after="0"/>
              <w:rPr>
                <w:sz w:val="20"/>
                <w:szCs w:val="20"/>
                <w:color w:val="auto"/>
              </w:rPr>
            </w:pPr>
            <w:r>
              <w:rPr>
                <w:rFonts w:ascii="Arial" w:cs="Arial" w:eastAsia="Arial" w:hAnsi="Arial"/>
                <w:sz w:val="14"/>
                <w:szCs w:val="14"/>
                <w:b w:val="1"/>
                <w:bCs w:val="1"/>
                <w:color w:val="auto"/>
                <w:w w:val="96"/>
              </w:rPr>
              <w:t>June 30, 2020</w:t>
            </w: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w w:val="98"/>
              </w:rPr>
              <w:t>June 30, 2019</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(Unfavorable)</w:t>
            </w:r>
          </w:p>
        </w:tc>
        <w:tc>
          <w:tcPr>
            <w:tcW w:w="940" w:type="dxa"/>
            <w:vAlign w:val="bottom"/>
          </w:tcPr>
          <w:p>
            <w:pPr>
              <w:jc w:val="right"/>
              <w:ind w:right="315"/>
              <w:spacing w:after="0"/>
              <w:rPr>
                <w:sz w:val="20"/>
                <w:szCs w:val="20"/>
                <w:color w:val="auto"/>
              </w:rPr>
            </w:pPr>
            <w:r>
              <w:rPr>
                <w:rFonts w:ascii="Arial" w:cs="Arial" w:eastAsia="Arial" w:hAnsi="Arial"/>
                <w:sz w:val="14"/>
                <w:szCs w:val="14"/>
                <w:b w:val="1"/>
                <w:bCs w:val="1"/>
                <w:color w:val="auto"/>
              </w:rPr>
              <w:t>%</w:t>
            </w:r>
          </w:p>
        </w:tc>
      </w:tr>
      <w:tr>
        <w:trPr>
          <w:trHeight w:val="472"/>
        </w:trPr>
        <w:tc>
          <w:tcPr>
            <w:tcW w:w="2200" w:type="dxa"/>
            <w:vAlign w:val="bottom"/>
          </w:tcPr>
          <w:p>
            <w:pPr>
              <w:spacing w:after="0"/>
              <w:rPr>
                <w:sz w:val="20"/>
                <w:szCs w:val="20"/>
                <w:color w:val="auto"/>
              </w:rPr>
            </w:pPr>
            <w:r>
              <w:rPr>
                <w:rFonts w:ascii="Arial" w:cs="Arial" w:eastAsia="Arial" w:hAnsi="Arial"/>
                <w:sz w:val="18"/>
                <w:szCs w:val="18"/>
                <w:color w:val="auto"/>
                <w:w w:val="98"/>
              </w:rPr>
              <w:t>Total net sales and revenue</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56"/>
              <w:spacing w:after="0"/>
              <w:rPr>
                <w:sz w:val="20"/>
                <w:szCs w:val="20"/>
                <w:color w:val="auto"/>
              </w:rPr>
            </w:pPr>
            <w:r>
              <w:rPr>
                <w:rFonts w:ascii="Arial" w:cs="Arial" w:eastAsia="Arial" w:hAnsi="Arial"/>
                <w:sz w:val="18"/>
                <w:szCs w:val="18"/>
                <w:color w:val="auto"/>
              </w:rPr>
              <w:t>11,604</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28,324</w:t>
            </w:r>
          </w:p>
        </w:tc>
        <w:tc>
          <w:tcPr>
            <w:tcW w:w="20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ind w:right="96"/>
              <w:spacing w:after="0"/>
              <w:rPr>
                <w:sz w:val="20"/>
                <w:szCs w:val="20"/>
                <w:color w:val="auto"/>
              </w:rPr>
            </w:pPr>
            <w:r>
              <w:rPr>
                <w:rFonts w:ascii="Arial" w:cs="Arial" w:eastAsia="Arial" w:hAnsi="Arial"/>
                <w:sz w:val="18"/>
                <w:szCs w:val="18"/>
                <w:color w:val="auto"/>
              </w:rPr>
              <w:t>(16,720)</w:t>
            </w:r>
          </w:p>
        </w:tc>
        <w:tc>
          <w:tcPr>
            <w:tcW w:w="120" w:type="dxa"/>
            <w:vAlign w:val="bottom"/>
          </w:tcPr>
          <w:p>
            <w:pPr>
              <w:spacing w:after="0"/>
              <w:rPr>
                <w:sz w:val="24"/>
                <w:szCs w:val="24"/>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(59.0)%</w:t>
            </w:r>
          </w:p>
        </w:tc>
      </w:tr>
      <w:tr>
        <w:trPr>
          <w:trHeight w:val="243"/>
        </w:trPr>
        <w:tc>
          <w:tcPr>
            <w:tcW w:w="2200" w:type="dxa"/>
            <w:vAlign w:val="bottom"/>
          </w:tcPr>
          <w:p>
            <w:pPr>
              <w:spacing w:after="0"/>
              <w:rPr>
                <w:sz w:val="20"/>
                <w:szCs w:val="20"/>
                <w:color w:val="auto"/>
              </w:rPr>
            </w:pPr>
            <w:r>
              <w:rPr>
                <w:rFonts w:ascii="Arial" w:cs="Arial" w:eastAsia="Arial" w:hAnsi="Arial"/>
                <w:sz w:val="18"/>
                <w:szCs w:val="18"/>
                <w:color w:val="auto"/>
              </w:rPr>
              <w:t>EBIT (loss)-adjusted</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6"/>
              <w:spacing w:after="0"/>
              <w:rPr>
                <w:sz w:val="20"/>
                <w:szCs w:val="20"/>
                <w:color w:val="auto"/>
              </w:rPr>
            </w:pPr>
            <w:r>
              <w:rPr>
                <w:rFonts w:ascii="Arial" w:cs="Arial" w:eastAsia="Arial" w:hAnsi="Arial"/>
                <w:sz w:val="18"/>
                <w:szCs w:val="18"/>
                <w:color w:val="auto"/>
              </w:rPr>
              <w:t>(101)</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3,022</w:t>
            </w:r>
          </w:p>
        </w:tc>
        <w:tc>
          <w:tcPr>
            <w:tcW w:w="20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96"/>
              <w:spacing w:after="0"/>
              <w:rPr>
                <w:sz w:val="20"/>
                <w:szCs w:val="20"/>
                <w:color w:val="auto"/>
              </w:rPr>
            </w:pPr>
            <w:r>
              <w:rPr>
                <w:rFonts w:ascii="Arial" w:cs="Arial" w:eastAsia="Arial" w:hAnsi="Arial"/>
                <w:sz w:val="18"/>
                <w:szCs w:val="18"/>
                <w:color w:val="auto"/>
              </w:rPr>
              <w:t>(3,123)</w:t>
            </w: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n.m.</w:t>
            </w:r>
          </w:p>
        </w:tc>
      </w:tr>
      <w:tr>
        <w:trPr>
          <w:trHeight w:val="297"/>
        </w:trPr>
        <w:tc>
          <w:tcPr>
            <w:tcW w:w="2200" w:type="dxa"/>
            <w:vAlign w:val="bottom"/>
          </w:tcPr>
          <w:p>
            <w:pPr>
              <w:spacing w:after="0"/>
              <w:rPr>
                <w:sz w:val="20"/>
                <w:szCs w:val="20"/>
                <w:color w:val="auto"/>
              </w:rPr>
            </w:pPr>
            <w:r>
              <w:rPr>
                <w:rFonts w:ascii="Arial" w:cs="Arial" w:eastAsia="Arial" w:hAnsi="Arial"/>
                <w:sz w:val="18"/>
                <w:szCs w:val="18"/>
                <w:color w:val="auto"/>
                <w:w w:val="97"/>
              </w:rPr>
              <w:t>EBIT (loss)-adjusted margin</w:t>
            </w:r>
          </w:p>
        </w:tc>
        <w:tc>
          <w:tcPr>
            <w:tcW w:w="2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(0.9)%</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90"/>
        </w:trPr>
        <w:tc>
          <w:tcPr>
            <w:tcW w:w="2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80" w:type="dxa"/>
            <w:vAlign w:val="bottom"/>
            <w:gridSpan w:val="3"/>
          </w:tcPr>
          <w:p>
            <w:pPr>
              <w:jc w:val="right"/>
              <w:spacing w:after="0"/>
              <w:rPr>
                <w:sz w:val="20"/>
                <w:szCs w:val="20"/>
                <w:color w:val="auto"/>
              </w:rPr>
            </w:pPr>
            <w:r>
              <w:rPr>
                <w:rFonts w:ascii="Arial" w:cs="Arial" w:eastAsia="Arial" w:hAnsi="Arial"/>
                <w:sz w:val="14"/>
                <w:szCs w:val="14"/>
                <w:b w:val="1"/>
                <w:bCs w:val="1"/>
                <w:color w:val="auto"/>
                <w:w w:val="89"/>
              </w:rPr>
              <w:t>(Vehicles in thousands)</w:t>
            </w: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55"/>
        </w:trPr>
        <w:tc>
          <w:tcPr>
            <w:tcW w:w="2200" w:type="dxa"/>
            <w:vAlign w:val="bottom"/>
          </w:tcPr>
          <w:p>
            <w:pPr>
              <w:spacing w:after="0"/>
              <w:rPr>
                <w:sz w:val="20"/>
                <w:szCs w:val="20"/>
                <w:color w:val="auto"/>
              </w:rPr>
            </w:pPr>
            <w:r>
              <w:rPr>
                <w:rFonts w:ascii="Arial" w:cs="Arial" w:eastAsia="Arial" w:hAnsi="Arial"/>
                <w:sz w:val="18"/>
                <w:szCs w:val="18"/>
                <w:color w:val="auto"/>
              </w:rPr>
              <w:t>Wholesale vehicle sales</w:t>
            </w:r>
          </w:p>
        </w:tc>
        <w:tc>
          <w:tcPr>
            <w:tcW w:w="200" w:type="dxa"/>
            <w:vAlign w:val="bottom"/>
          </w:tcPr>
          <w:p>
            <w:pPr>
              <w:spacing w:after="0"/>
              <w:rPr>
                <w:sz w:val="22"/>
                <w:szCs w:val="22"/>
                <w:color w:val="auto"/>
              </w:rPr>
            </w:pPr>
          </w:p>
        </w:tc>
        <w:tc>
          <w:tcPr>
            <w:tcW w:w="1180" w:type="dxa"/>
            <w:vAlign w:val="bottom"/>
          </w:tcPr>
          <w:p>
            <w:pPr>
              <w:jc w:val="right"/>
              <w:ind w:right="156"/>
              <w:spacing w:after="0"/>
              <w:rPr>
                <w:sz w:val="20"/>
                <w:szCs w:val="20"/>
                <w:color w:val="auto"/>
              </w:rPr>
            </w:pPr>
            <w:r>
              <w:rPr>
                <w:rFonts w:ascii="Arial" w:cs="Arial" w:eastAsia="Arial" w:hAnsi="Arial"/>
                <w:sz w:val="18"/>
                <w:szCs w:val="18"/>
                <w:color w:val="auto"/>
              </w:rPr>
              <w:t>331</w:t>
            </w:r>
          </w:p>
        </w:tc>
        <w:tc>
          <w:tcPr>
            <w:tcW w:w="3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870</w:t>
            </w: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jc w:val="right"/>
              <w:ind w:right="96"/>
              <w:spacing w:after="0"/>
              <w:rPr>
                <w:sz w:val="20"/>
                <w:szCs w:val="20"/>
                <w:color w:val="auto"/>
              </w:rPr>
            </w:pPr>
            <w:r>
              <w:rPr>
                <w:rFonts w:ascii="Arial" w:cs="Arial" w:eastAsia="Arial" w:hAnsi="Arial"/>
                <w:sz w:val="18"/>
                <w:szCs w:val="18"/>
                <w:color w:val="auto"/>
              </w:rPr>
              <w:t>(539)</w:t>
            </w:r>
          </w:p>
        </w:tc>
        <w:tc>
          <w:tcPr>
            <w:tcW w:w="1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(62.0)%</w:t>
            </w:r>
          </w:p>
        </w:tc>
      </w:tr>
    </w:tbl>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n.m. = 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132320" cy="13887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3887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Variance Due To</w:t>
      </w:r>
    </w:p>
    <w:p>
      <w:pPr>
        <w:spacing w:after="0" w:line="55" w:lineRule="exact"/>
        <w:rPr>
          <w:sz w:val="20"/>
          <w:szCs w:val="20"/>
          <w:color w:val="auto"/>
        </w:rPr>
      </w:pPr>
    </w:p>
    <w:p>
      <w:pPr>
        <w:ind w:left="100"/>
        <w:spacing w:after="0"/>
        <w:tabs>
          <w:tab w:leader="none" w:pos="940" w:val="left"/>
          <w:tab w:leader="none" w:pos="1620" w:val="left"/>
          <w:tab w:leader="none" w:pos="2360" w:val="left"/>
          <w:tab w:leader="none" w:pos="3040" w:val="left"/>
        </w:tabs>
        <w:rPr>
          <w:sz w:val="20"/>
          <w:szCs w:val="20"/>
          <w:color w:val="auto"/>
        </w:rPr>
      </w:pPr>
      <w:r>
        <w:rPr>
          <w:rFonts w:ascii="Arial" w:cs="Arial" w:eastAsia="Arial" w:hAnsi="Arial"/>
          <w:sz w:val="14"/>
          <w:szCs w:val="14"/>
          <w:b w:val="1"/>
          <w:bCs w:val="1"/>
          <w:color w:val="auto"/>
        </w:rPr>
        <w:t>Volume</w:t>
      </w:r>
      <w:r>
        <w:rPr>
          <w:sz w:val="20"/>
          <w:szCs w:val="20"/>
          <w:color w:val="auto"/>
        </w:rPr>
        <w:tab/>
      </w:r>
      <w:r>
        <w:rPr>
          <w:rFonts w:ascii="Arial" w:cs="Arial" w:eastAsia="Arial" w:hAnsi="Arial"/>
          <w:sz w:val="14"/>
          <w:szCs w:val="14"/>
          <w:b w:val="1"/>
          <w:bCs w:val="1"/>
          <w:color w:val="auto"/>
        </w:rPr>
        <w:t>Mix</w:t>
      </w:r>
      <w:r>
        <w:rPr>
          <w:sz w:val="20"/>
          <w:szCs w:val="20"/>
          <w:color w:val="auto"/>
        </w:rPr>
        <w:tab/>
      </w:r>
      <w:r>
        <w:rPr>
          <w:rFonts w:ascii="Arial" w:cs="Arial" w:eastAsia="Arial" w:hAnsi="Arial"/>
          <w:sz w:val="14"/>
          <w:szCs w:val="14"/>
          <w:b w:val="1"/>
          <w:bCs w:val="1"/>
          <w:color w:val="auto"/>
        </w:rPr>
        <w:t>Price</w:t>
      </w:r>
      <w:r>
        <w:rPr>
          <w:sz w:val="20"/>
          <w:szCs w:val="20"/>
          <w:color w:val="auto"/>
        </w:rPr>
        <w:tab/>
      </w:r>
      <w:r>
        <w:rPr>
          <w:rFonts w:ascii="Arial" w:cs="Arial" w:eastAsia="Arial" w:hAnsi="Arial"/>
          <w:sz w:val="14"/>
          <w:szCs w:val="14"/>
          <w:b w:val="1"/>
          <w:bCs w:val="1"/>
          <w:color w:val="auto"/>
        </w:rPr>
        <w:t>Cost</w:t>
      </w:r>
      <w:r>
        <w:rPr>
          <w:sz w:val="20"/>
          <w:szCs w:val="20"/>
          <w:color w:val="auto"/>
        </w:rPr>
        <w:tab/>
      </w:r>
      <w:r>
        <w:rPr>
          <w:rFonts w:ascii="Arial" w:cs="Arial" w:eastAsia="Arial" w:hAnsi="Arial"/>
          <w:sz w:val="13"/>
          <w:szCs w:val="13"/>
          <w:b w:val="1"/>
          <w:bCs w:val="1"/>
          <w:color w:val="auto"/>
        </w:rPr>
        <w:t>Other</w:t>
      </w:r>
    </w:p>
    <w:p>
      <w:pPr>
        <w:spacing w:after="0" w:line="55"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auto"/>
        </w:rPr>
        <w:t>(Dollars in billions)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w w:val="97"/>
              </w:rPr>
              <w:t>(16.1)</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 (1.0)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0.9</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 (0.5)</w:t>
            </w:r>
          </w:p>
        </w:tc>
      </w:tr>
      <w:tr>
        <w:trPr>
          <w:trHeight w:val="270"/>
        </w:trPr>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(4.4)</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 (0.8)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0.9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50"/>
              <w:spacing w:after="0"/>
              <w:rPr>
                <w:sz w:val="20"/>
                <w:szCs w:val="20"/>
                <w:color w:val="auto"/>
              </w:rPr>
            </w:pPr>
            <w:r>
              <w:rPr>
                <w:rFonts w:ascii="Arial" w:cs="Arial" w:eastAsia="Arial" w:hAnsi="Arial"/>
                <w:sz w:val="18"/>
                <w:szCs w:val="18"/>
                <w:color w:val="auto"/>
              </w:rPr>
              <w:t>1.4</w:t>
            </w:r>
          </w:p>
        </w:tc>
        <w:tc>
          <w:tcPr>
            <w:tcW w:w="620" w:type="dxa"/>
            <w:vAlign w:val="bottom"/>
          </w:tcPr>
          <w:p>
            <w:pPr>
              <w:jc w:val="right"/>
              <w:spacing w:after="0"/>
              <w:rPr>
                <w:sz w:val="20"/>
                <w:szCs w:val="20"/>
                <w:color w:val="auto"/>
              </w:rPr>
            </w:pPr>
            <w:r>
              <w:rPr>
                <w:rFonts w:ascii="Arial" w:cs="Arial" w:eastAsia="Arial" w:hAnsi="Arial"/>
                <w:sz w:val="18"/>
                <w:szCs w:val="18"/>
                <w:color w:val="auto"/>
              </w:rPr>
              <w:t>$ (0.2)</w:t>
            </w:r>
          </w:p>
        </w:tc>
      </w:tr>
    </w:tbl>
    <w:p>
      <w:pPr>
        <w:spacing w:after="0" w:line="1427" w:lineRule="exact"/>
        <w:rPr>
          <w:sz w:val="20"/>
          <w:szCs w:val="20"/>
          <w:color w:val="auto"/>
        </w:rPr>
      </w:pPr>
    </w:p>
    <w:p>
      <w:pPr>
        <w:sectPr>
          <w:pgSz w:w="11900" w:h="16838" w:orient="portrait"/>
          <w:cols w:equalWidth="0" w:num="2">
            <w:col w:w="7460" w:space="240"/>
            <w:col w:w="3540"/>
          </w:cols>
          <w:pgMar w:left="320" w:top="125" w:right="339" w:bottom="1440" w:gutter="0" w:footer="0" w:header="0"/>
          <w:type w:val="continuous"/>
        </w:sectPr>
      </w:pPr>
    </w:p>
    <w:p>
      <w:pPr>
        <w:spacing w:after="0" w:line="75" w:lineRule="exact"/>
        <w:rPr>
          <w:sz w:val="20"/>
          <w:szCs w:val="20"/>
          <w:color w:val="auto"/>
        </w:rPr>
      </w:pPr>
    </w:p>
    <w:tbl>
      <w:tblPr>
        <w:tblLayout w:type="fixed"/>
        <w:tblInd w:w="2220" w:type="dxa"/>
        <w:tblCellMar>
          <w:top w:w="0" w:type="dxa"/>
          <w:left w:w="0" w:type="dxa"/>
          <w:bottom w:w="0" w:type="dxa"/>
          <w:right w:w="0" w:type="dxa"/>
        </w:tblCellMar>
      </w:tblPr>
      <w:tr>
        <w:trPr>
          <w:trHeight w:val="192"/>
        </w:trPr>
        <w:tc>
          <w:tcPr>
            <w:tcW w:w="2860" w:type="dxa"/>
            <w:vAlign w:val="bottom"/>
            <w:tcBorders>
              <w:bottom w:val="single" w:sz="8" w:color="auto"/>
            </w:tcBorders>
            <w:gridSpan w:val="2"/>
          </w:tcPr>
          <w:p>
            <w:pPr>
              <w:ind w:left="860"/>
              <w:spacing w:after="0"/>
              <w:rPr>
                <w:sz w:val="20"/>
                <w:szCs w:val="20"/>
                <w:color w:val="auto"/>
              </w:rPr>
            </w:pPr>
            <w:r>
              <w:rPr>
                <w:rFonts w:ascii="Arial" w:cs="Arial" w:eastAsia="Arial" w:hAnsi="Arial"/>
                <w:sz w:val="14"/>
                <w:szCs w:val="14"/>
                <w:b w:val="1"/>
                <w:bCs w:val="1"/>
                <w:color w:val="auto"/>
              </w:rPr>
              <w:t>Six Months Ended</w:t>
            </w:r>
          </w:p>
        </w:tc>
        <w:tc>
          <w:tcPr>
            <w:tcW w:w="14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Favorable /</w:t>
            </w:r>
          </w:p>
        </w:tc>
        <w:tc>
          <w:tcPr>
            <w:tcW w:w="940" w:type="dxa"/>
            <w:vAlign w:val="bottom"/>
          </w:tcPr>
          <w:p>
            <w:pPr>
              <w:spacing w:after="0"/>
              <w:rPr>
                <w:sz w:val="16"/>
                <w:szCs w:val="16"/>
                <w:color w:val="auto"/>
              </w:rPr>
            </w:pPr>
          </w:p>
        </w:tc>
      </w:tr>
      <w:tr>
        <w:trPr>
          <w:trHeight w:val="197"/>
        </w:trPr>
        <w:tc>
          <w:tcPr>
            <w:tcW w:w="144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June 30, 2020</w:t>
            </w:r>
          </w:p>
        </w:tc>
        <w:tc>
          <w:tcPr>
            <w:tcW w:w="142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June 30, 2019</w:t>
            </w:r>
          </w:p>
        </w:tc>
        <w:tc>
          <w:tcPr>
            <w:tcW w:w="132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b w:val="1"/>
                <w:bCs w:val="1"/>
                <w:color w:val="auto"/>
                <w:w w:val="97"/>
              </w:rPr>
              <w:t>(Unfavorable)</w:t>
            </w:r>
          </w:p>
        </w:tc>
        <w:tc>
          <w:tcPr>
            <w:tcW w:w="120" w:type="dxa"/>
            <w:vAlign w:val="bottom"/>
          </w:tcPr>
          <w:p>
            <w:pPr>
              <w:spacing w:after="0"/>
              <w:rPr>
                <w:sz w:val="17"/>
                <w:szCs w:val="17"/>
                <w:color w:val="auto"/>
              </w:rPr>
            </w:pPr>
          </w:p>
        </w:tc>
        <w:tc>
          <w:tcPr>
            <w:tcW w:w="9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w:t>
            </w:r>
          </w:p>
        </w:tc>
      </w:tr>
    </w:tbl>
    <w:p>
      <w:pPr>
        <w:spacing w:after="0" w:line="21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080" w:type="dxa"/>
            <w:vAlign w:val="bottom"/>
          </w:tcPr>
          <w:p>
            <w:pPr>
              <w:spacing w:after="0"/>
              <w:rPr>
                <w:sz w:val="20"/>
                <w:szCs w:val="20"/>
                <w:color w:val="auto"/>
              </w:rPr>
            </w:pPr>
            <w:r>
              <w:rPr>
                <w:rFonts w:ascii="Arial" w:cs="Arial" w:eastAsia="Arial" w:hAnsi="Arial"/>
                <w:sz w:val="18"/>
                <w:szCs w:val="18"/>
                <w:color w:val="auto"/>
                <w:w w:val="92"/>
              </w:rPr>
              <w:t>Total net sales and revenue</w:t>
            </w:r>
          </w:p>
        </w:tc>
        <w:tc>
          <w:tcPr>
            <w:tcW w:w="5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37,435</w:t>
            </w:r>
          </w:p>
        </w:tc>
        <w:tc>
          <w:tcPr>
            <w:tcW w:w="200" w:type="dxa"/>
            <w:vAlign w:val="bottom"/>
          </w:tcPr>
          <w:p>
            <w:pPr>
              <w:spacing w:after="0"/>
              <w:rPr>
                <w:sz w:val="20"/>
                <w:szCs w:val="20"/>
                <w:color w:val="auto"/>
              </w:rPr>
            </w:pPr>
          </w:p>
        </w:tc>
        <w:tc>
          <w:tcPr>
            <w:tcW w:w="480" w:type="dxa"/>
            <w:vAlign w:val="bottom"/>
          </w:tcPr>
          <w:p>
            <w:pPr>
              <w:jc w:val="right"/>
              <w:ind w:right="176"/>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55,689</w:t>
            </w:r>
          </w:p>
        </w:tc>
        <w:tc>
          <w:tcPr>
            <w:tcW w:w="5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10"/>
              <w:spacing w:after="0"/>
              <w:rPr>
                <w:sz w:val="20"/>
                <w:szCs w:val="20"/>
                <w:color w:val="auto"/>
              </w:rPr>
            </w:pPr>
            <w:r>
              <w:rPr>
                <w:rFonts w:ascii="Arial" w:cs="Arial" w:eastAsia="Arial" w:hAnsi="Arial"/>
                <w:sz w:val="18"/>
                <w:szCs w:val="18"/>
                <w:color w:val="auto"/>
              </w:rPr>
              <w:t>(18,254)</w:t>
            </w:r>
          </w:p>
        </w:tc>
        <w:tc>
          <w:tcPr>
            <w:tcW w:w="820" w:type="dxa"/>
            <w:vAlign w:val="bottom"/>
          </w:tcPr>
          <w:p>
            <w:pPr>
              <w:jc w:val="right"/>
              <w:spacing w:after="0"/>
              <w:rPr>
                <w:sz w:val="20"/>
                <w:szCs w:val="20"/>
                <w:color w:val="auto"/>
              </w:rPr>
            </w:pPr>
            <w:r>
              <w:rPr>
                <w:rFonts w:ascii="Arial" w:cs="Arial" w:eastAsia="Arial" w:hAnsi="Arial"/>
                <w:sz w:val="18"/>
                <w:szCs w:val="18"/>
                <w:color w:val="auto"/>
              </w:rPr>
              <w:t>(32.8)%</w:t>
            </w:r>
          </w:p>
        </w:tc>
      </w:tr>
      <w:tr>
        <w:trPr>
          <w:trHeight w:val="270"/>
        </w:trPr>
        <w:tc>
          <w:tcPr>
            <w:tcW w:w="2080" w:type="dxa"/>
            <w:vAlign w:val="bottom"/>
          </w:tcPr>
          <w:p>
            <w:pPr>
              <w:spacing w:after="0"/>
              <w:rPr>
                <w:sz w:val="20"/>
                <w:szCs w:val="20"/>
                <w:color w:val="auto"/>
              </w:rPr>
            </w:pPr>
            <w:r>
              <w:rPr>
                <w:rFonts w:ascii="Arial" w:cs="Arial" w:eastAsia="Arial" w:hAnsi="Arial"/>
                <w:sz w:val="18"/>
                <w:szCs w:val="18"/>
                <w:color w:val="auto"/>
              </w:rPr>
              <w:t>EBIT-adjusted</w:t>
            </w:r>
          </w:p>
        </w:tc>
        <w:tc>
          <w:tcPr>
            <w:tcW w:w="5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2,093</w:t>
            </w:r>
          </w:p>
        </w:tc>
        <w:tc>
          <w:tcPr>
            <w:tcW w:w="200" w:type="dxa"/>
            <w:vAlign w:val="bottom"/>
          </w:tcPr>
          <w:p>
            <w:pPr>
              <w:spacing w:after="0"/>
              <w:rPr>
                <w:sz w:val="23"/>
                <w:szCs w:val="23"/>
                <w:color w:val="auto"/>
              </w:rPr>
            </w:pPr>
          </w:p>
        </w:tc>
        <w:tc>
          <w:tcPr>
            <w:tcW w:w="480" w:type="dxa"/>
            <w:vAlign w:val="bottom"/>
          </w:tcPr>
          <w:p>
            <w:pPr>
              <w:jc w:val="right"/>
              <w:ind w:right="176"/>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4,918</w:t>
            </w:r>
          </w:p>
        </w:tc>
        <w:tc>
          <w:tcPr>
            <w:tcW w:w="5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10"/>
              <w:spacing w:after="0"/>
              <w:rPr>
                <w:sz w:val="20"/>
                <w:szCs w:val="20"/>
                <w:color w:val="auto"/>
              </w:rPr>
            </w:pPr>
            <w:r>
              <w:rPr>
                <w:rFonts w:ascii="Arial" w:cs="Arial" w:eastAsia="Arial" w:hAnsi="Arial"/>
                <w:sz w:val="18"/>
                <w:szCs w:val="18"/>
                <w:color w:val="auto"/>
              </w:rPr>
              <w:t>(2,825)</w:t>
            </w:r>
          </w:p>
        </w:tc>
        <w:tc>
          <w:tcPr>
            <w:tcW w:w="820" w:type="dxa"/>
            <w:vAlign w:val="bottom"/>
          </w:tcPr>
          <w:p>
            <w:pPr>
              <w:jc w:val="right"/>
              <w:spacing w:after="0"/>
              <w:rPr>
                <w:sz w:val="20"/>
                <w:szCs w:val="20"/>
                <w:color w:val="auto"/>
              </w:rPr>
            </w:pPr>
            <w:r>
              <w:rPr>
                <w:rFonts w:ascii="Arial" w:cs="Arial" w:eastAsia="Arial" w:hAnsi="Arial"/>
                <w:sz w:val="18"/>
                <w:szCs w:val="18"/>
                <w:color w:val="auto"/>
              </w:rPr>
              <w:t>(57.4)%</w:t>
            </w:r>
          </w:p>
        </w:tc>
      </w:tr>
      <w:tr>
        <w:trPr>
          <w:trHeight w:val="270"/>
        </w:trPr>
        <w:tc>
          <w:tcPr>
            <w:tcW w:w="2080" w:type="dxa"/>
            <w:vAlign w:val="bottom"/>
          </w:tcPr>
          <w:p>
            <w:pPr>
              <w:spacing w:after="0"/>
              <w:rPr>
                <w:sz w:val="20"/>
                <w:szCs w:val="20"/>
                <w:color w:val="auto"/>
              </w:rPr>
            </w:pPr>
            <w:r>
              <w:rPr>
                <w:rFonts w:ascii="Arial" w:cs="Arial" w:eastAsia="Arial" w:hAnsi="Arial"/>
                <w:sz w:val="18"/>
                <w:szCs w:val="18"/>
                <w:color w:val="auto"/>
              </w:rPr>
              <w:t>EBIT-adjusted margin</w:t>
            </w:r>
          </w:p>
        </w:tc>
        <w:tc>
          <w:tcPr>
            <w:tcW w:w="5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8.8</w:t>
            </w:r>
          </w:p>
        </w:tc>
        <w:tc>
          <w:tcPr>
            <w:tcW w:w="58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(3.2)%</w:t>
            </w:r>
          </w:p>
        </w:tc>
        <w:tc>
          <w:tcPr>
            <w:tcW w:w="820" w:type="dxa"/>
            <w:vAlign w:val="bottom"/>
          </w:tcPr>
          <w:p>
            <w:pPr>
              <w:spacing w:after="0"/>
              <w:rPr>
                <w:sz w:val="23"/>
                <w:szCs w:val="23"/>
                <w:color w:val="auto"/>
              </w:rPr>
            </w:pPr>
          </w:p>
        </w:tc>
      </w:tr>
      <w:tr>
        <w:trPr>
          <w:trHeight w:val="217"/>
        </w:trPr>
        <w:tc>
          <w:tcPr>
            <w:tcW w:w="2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gridSpan w:val="3"/>
          </w:tcPr>
          <w:p>
            <w:pPr>
              <w:jc w:val="right"/>
              <w:ind w:right="350"/>
              <w:spacing w:after="0"/>
              <w:rPr>
                <w:sz w:val="20"/>
                <w:szCs w:val="20"/>
                <w:color w:val="auto"/>
              </w:rPr>
            </w:pPr>
            <w:r>
              <w:rPr>
                <w:rFonts w:ascii="Arial" w:cs="Arial" w:eastAsia="Arial" w:hAnsi="Arial"/>
                <w:sz w:val="14"/>
                <w:szCs w:val="14"/>
                <w:b w:val="1"/>
                <w:bCs w:val="1"/>
                <w:color w:val="auto"/>
                <w:w w:val="89"/>
              </w:rPr>
              <w:t>(Vehicles in thousands)</w:t>
            </w:r>
          </w:p>
        </w:tc>
        <w:tc>
          <w:tcPr>
            <w:tcW w:w="11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55"/>
        </w:trPr>
        <w:tc>
          <w:tcPr>
            <w:tcW w:w="2080" w:type="dxa"/>
            <w:vAlign w:val="bottom"/>
          </w:tcPr>
          <w:p>
            <w:pPr>
              <w:spacing w:after="0"/>
              <w:rPr>
                <w:sz w:val="20"/>
                <w:szCs w:val="20"/>
                <w:color w:val="auto"/>
              </w:rPr>
            </w:pPr>
            <w:r>
              <w:rPr>
                <w:rFonts w:ascii="Arial" w:cs="Arial" w:eastAsia="Arial" w:hAnsi="Arial"/>
                <w:sz w:val="18"/>
                <w:szCs w:val="18"/>
                <w:color w:val="auto"/>
              </w:rPr>
              <w:t>Wholesale vehicle sales</w:t>
            </w:r>
          </w:p>
        </w:tc>
        <w:tc>
          <w:tcPr>
            <w:tcW w:w="5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1,106</w:t>
            </w:r>
          </w:p>
        </w:tc>
        <w:tc>
          <w:tcPr>
            <w:tcW w:w="2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1,729</w:t>
            </w:r>
          </w:p>
        </w:tc>
        <w:tc>
          <w:tcPr>
            <w:tcW w:w="580" w:type="dxa"/>
            <w:vAlign w:val="bottom"/>
          </w:tcPr>
          <w:p>
            <w:pPr>
              <w:spacing w:after="0"/>
              <w:rPr>
                <w:sz w:val="22"/>
                <w:szCs w:val="22"/>
                <w:color w:val="auto"/>
              </w:rPr>
            </w:pPr>
          </w:p>
        </w:tc>
        <w:tc>
          <w:tcPr>
            <w:tcW w:w="1160" w:type="dxa"/>
            <w:vAlign w:val="bottom"/>
          </w:tcPr>
          <w:p>
            <w:pPr>
              <w:jc w:val="right"/>
              <w:ind w:right="310"/>
              <w:spacing w:after="0"/>
              <w:rPr>
                <w:sz w:val="20"/>
                <w:szCs w:val="20"/>
                <w:color w:val="auto"/>
              </w:rPr>
            </w:pPr>
            <w:r>
              <w:rPr>
                <w:rFonts w:ascii="Arial" w:cs="Arial" w:eastAsia="Arial" w:hAnsi="Arial"/>
                <w:sz w:val="18"/>
                <w:szCs w:val="18"/>
                <w:color w:val="auto"/>
              </w:rPr>
              <w:t>(623)</w:t>
            </w:r>
          </w:p>
        </w:tc>
        <w:tc>
          <w:tcPr>
            <w:tcW w:w="820" w:type="dxa"/>
            <w:vAlign w:val="bottom"/>
          </w:tcPr>
          <w:p>
            <w:pPr>
              <w:jc w:val="right"/>
              <w:spacing w:after="0"/>
              <w:rPr>
                <w:sz w:val="20"/>
                <w:szCs w:val="20"/>
                <w:color w:val="auto"/>
              </w:rPr>
            </w:pPr>
            <w:r>
              <w:rPr>
                <w:rFonts w:ascii="Arial" w:cs="Arial" w:eastAsia="Arial" w:hAnsi="Arial"/>
                <w:sz w:val="18"/>
                <w:szCs w:val="18"/>
                <w:color w:val="auto"/>
              </w:rPr>
              <w:t>(36.0)%</w:t>
            </w:r>
          </w:p>
        </w:tc>
      </w:tr>
    </w:tbl>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Variance Due To</w:t>
      </w:r>
    </w:p>
    <w:p>
      <w:pPr>
        <w:spacing w:after="0" w:line="55" w:lineRule="exact"/>
        <w:rPr>
          <w:sz w:val="20"/>
          <w:szCs w:val="20"/>
          <w:color w:val="auto"/>
        </w:rPr>
      </w:pPr>
    </w:p>
    <w:p>
      <w:pPr>
        <w:ind w:left="100"/>
        <w:spacing w:after="0"/>
        <w:tabs>
          <w:tab w:leader="none" w:pos="940" w:val="left"/>
          <w:tab w:leader="none" w:pos="1620" w:val="left"/>
          <w:tab w:leader="none" w:pos="2360" w:val="left"/>
          <w:tab w:leader="none" w:pos="3040" w:val="left"/>
        </w:tabs>
        <w:rPr>
          <w:sz w:val="20"/>
          <w:szCs w:val="20"/>
          <w:color w:val="auto"/>
        </w:rPr>
      </w:pPr>
      <w:r>
        <w:rPr>
          <w:rFonts w:ascii="Arial" w:cs="Arial" w:eastAsia="Arial" w:hAnsi="Arial"/>
          <w:sz w:val="14"/>
          <w:szCs w:val="14"/>
          <w:b w:val="1"/>
          <w:bCs w:val="1"/>
          <w:color w:val="auto"/>
        </w:rPr>
        <w:t>Volume</w:t>
      </w:r>
      <w:r>
        <w:rPr>
          <w:sz w:val="20"/>
          <w:szCs w:val="20"/>
          <w:color w:val="auto"/>
        </w:rPr>
        <w:tab/>
      </w:r>
      <w:r>
        <w:rPr>
          <w:rFonts w:ascii="Arial" w:cs="Arial" w:eastAsia="Arial" w:hAnsi="Arial"/>
          <w:sz w:val="14"/>
          <w:szCs w:val="14"/>
          <w:b w:val="1"/>
          <w:bCs w:val="1"/>
          <w:color w:val="auto"/>
        </w:rPr>
        <w:t>Mix</w:t>
      </w:r>
      <w:r>
        <w:rPr>
          <w:sz w:val="20"/>
          <w:szCs w:val="20"/>
          <w:color w:val="auto"/>
        </w:rPr>
        <w:tab/>
      </w:r>
      <w:r>
        <w:rPr>
          <w:rFonts w:ascii="Arial" w:cs="Arial" w:eastAsia="Arial" w:hAnsi="Arial"/>
          <w:sz w:val="14"/>
          <w:szCs w:val="14"/>
          <w:b w:val="1"/>
          <w:bCs w:val="1"/>
          <w:color w:val="auto"/>
        </w:rPr>
        <w:t>Price</w:t>
      </w:r>
      <w:r>
        <w:rPr>
          <w:sz w:val="20"/>
          <w:szCs w:val="20"/>
          <w:color w:val="auto"/>
        </w:rPr>
        <w:tab/>
      </w:r>
      <w:r>
        <w:rPr>
          <w:rFonts w:ascii="Arial" w:cs="Arial" w:eastAsia="Arial" w:hAnsi="Arial"/>
          <w:sz w:val="14"/>
          <w:szCs w:val="14"/>
          <w:b w:val="1"/>
          <w:bCs w:val="1"/>
          <w:color w:val="auto"/>
        </w:rPr>
        <w:t>Cost</w:t>
      </w:r>
      <w:r>
        <w:rPr>
          <w:sz w:val="20"/>
          <w:szCs w:val="20"/>
          <w:color w:val="auto"/>
        </w:rPr>
        <w:tab/>
      </w:r>
      <w:r>
        <w:rPr>
          <w:rFonts w:ascii="Arial" w:cs="Arial" w:eastAsia="Arial" w:hAnsi="Arial"/>
          <w:sz w:val="13"/>
          <w:szCs w:val="13"/>
          <w:b w:val="1"/>
          <w:bCs w:val="1"/>
          <w:color w:val="auto"/>
        </w:rPr>
        <w:t>Other</w:t>
      </w:r>
    </w:p>
    <w:p>
      <w:pPr>
        <w:spacing w:after="0" w:line="55"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auto"/>
        </w:rPr>
        <w:t>(Dollars in billions)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w w:val="97"/>
              </w:rPr>
              <w:t>(18.5)</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 (0.2)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0.9</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 (0.5)</w:t>
            </w:r>
          </w:p>
        </w:tc>
      </w:tr>
      <w:tr>
        <w:trPr>
          <w:trHeight w:val="270"/>
        </w:trPr>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(4.9)</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 (0.4)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0.9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50"/>
              <w:spacing w:after="0"/>
              <w:rPr>
                <w:sz w:val="20"/>
                <w:szCs w:val="20"/>
                <w:color w:val="auto"/>
              </w:rPr>
            </w:pPr>
            <w:r>
              <w:rPr>
                <w:rFonts w:ascii="Arial" w:cs="Arial" w:eastAsia="Arial" w:hAnsi="Arial"/>
                <w:sz w:val="18"/>
                <w:szCs w:val="18"/>
                <w:color w:val="auto"/>
              </w:rPr>
              <w:t>1.8</w:t>
            </w:r>
          </w:p>
        </w:tc>
        <w:tc>
          <w:tcPr>
            <w:tcW w:w="620" w:type="dxa"/>
            <w:vAlign w:val="bottom"/>
          </w:tcPr>
          <w:p>
            <w:pPr>
              <w:jc w:val="right"/>
              <w:spacing w:after="0"/>
              <w:rPr>
                <w:sz w:val="20"/>
                <w:szCs w:val="20"/>
                <w:color w:val="auto"/>
              </w:rPr>
            </w:pPr>
            <w:r>
              <w:rPr>
                <w:rFonts w:ascii="Arial" w:cs="Arial" w:eastAsia="Arial" w:hAnsi="Arial"/>
                <w:sz w:val="18"/>
                <w:szCs w:val="18"/>
                <w:color w:val="auto"/>
              </w:rPr>
              <w:t>$ (0.3)</w:t>
            </w:r>
          </w:p>
        </w:tc>
      </w:tr>
    </w:tbl>
    <w:p>
      <w:pPr>
        <w:spacing w:after="0" w:line="942" w:lineRule="exact"/>
        <w:rPr>
          <w:sz w:val="20"/>
          <w:szCs w:val="20"/>
          <w:color w:val="auto"/>
        </w:rPr>
      </w:pPr>
    </w:p>
    <w:p>
      <w:pPr>
        <w:sectPr>
          <w:pgSz w:w="11900" w:h="16838" w:orient="portrait"/>
          <w:cols w:equalWidth="0" w:num="2">
            <w:col w:w="7460" w:space="240"/>
            <w:col w:w="3540"/>
          </w:cols>
          <w:pgMar w:left="320" w:top="125" w:right="339" w:bottom="1440" w:gutter="0" w:footer="0" w:header="0"/>
          <w:type w:val="continuous"/>
        </w:sectPr>
      </w:pPr>
    </w:p>
    <w:p>
      <w:pPr>
        <w:spacing w:after="0" w:line="353"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b w:val="1"/>
          <w:bCs w:val="1"/>
          <w:i w:val="1"/>
          <w:iCs w:val="1"/>
          <w:color w:val="auto"/>
        </w:rPr>
        <w:t xml:space="preserve">GMNA Total Net Sales and Revenue </w:t>
      </w:r>
      <w:r>
        <w:rPr>
          <w:rFonts w:ascii="Arial" w:cs="Arial" w:eastAsia="Arial" w:hAnsi="Arial"/>
          <w:sz w:val="18"/>
          <w:szCs w:val="18"/>
          <w:color w:val="auto"/>
        </w:rPr>
        <w:t>In the three months ended June 30, 2020, Total net sales and revenue decreased primarily due to: (1) decreased net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wholesale volumes across most vehicle lines as a result of suspending production due to the COVID-19 pandemic; (2) unfavorable mix associated with decreased sales of full-size SUVs and pickup trucks partially offset by decreased sales of crossover vehicles and passenger cars; and (3) unfavorable Other primarily due to decreased sales of parts and accessories; partially offset by (4) favorable price primarily due to full-size pickup trucks and crossover vehicles.</w:t>
      </w:r>
    </w:p>
    <w:p>
      <w:pPr>
        <w:spacing w:after="0" w:line="215"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In the six months ended June 30, 2020, Total net sales and revenue decreased primarily due to: (1) decreased net wholesale volumes across most vehicle lines as a result of suspending production due to the COVID-19 pandemic; (2) unfavorable mix associated with decreased sales of full-size SUVs and pickup trucks partially offset by decreased sales of crossover vehicles and passenger cars; and (3) unfavorable Other primarily due to decreased sales of parts and accessories; partially offset by (4) favorable price primarily due to crossover vehicles and full-size pickup trucks.</w:t>
      </w:r>
    </w:p>
    <w:p>
      <w:pPr>
        <w:spacing w:after="0" w:line="198"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 xml:space="preserve">GMNA EBIT (Loss)-Adjusted </w:t>
      </w:r>
      <w:r>
        <w:rPr>
          <w:rFonts w:ascii="Arial" w:cs="Arial" w:eastAsia="Arial" w:hAnsi="Arial"/>
          <w:sz w:val="16"/>
          <w:szCs w:val="16"/>
          <w:color w:val="auto"/>
        </w:rPr>
        <w:t>In the three months ended June 30, 2020, EBIT-adjusted decreased primarily due to: (1) decreased net wholesale volumes;</w:t>
      </w:r>
    </w:p>
    <w:p>
      <w:pPr>
        <w:spacing w:after="0" w:line="46" w:lineRule="exact"/>
        <w:rPr>
          <w:sz w:val="20"/>
          <w:szCs w:val="20"/>
          <w:color w:val="auto"/>
        </w:rPr>
      </w:pPr>
    </w:p>
    <w:p>
      <w:pPr>
        <w:jc w:val="both"/>
        <w:ind w:firstLine="8"/>
        <w:spacing w:after="0" w:line="253" w:lineRule="auto"/>
        <w:tabs>
          <w:tab w:leader="none" w:pos="262"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unfavorable mix; and (3) unfavorable Other primarily due to the foreign currency effect resulting from the weakening of the Mexican Peso against the U.S. Dollar; partially offset by (4) favorable Cost due to savings in advertising of $0.5 billion, engineering of $0.4 billion and manufacturing of $0.4 billion, all inclusive of the suspension of production and austerity measures in response to the COVID-19 pandemic as well as transformation activities, and increased non-service pension income; and (5) favorable price.</w:t>
      </w:r>
    </w:p>
    <w:p>
      <w:pPr>
        <w:spacing w:after="0" w:line="220" w:lineRule="exact"/>
        <w:rPr>
          <w:sz w:val="20"/>
          <w:szCs w:val="20"/>
          <w:color w:val="auto"/>
        </w:rPr>
      </w:pPr>
    </w:p>
    <w:p>
      <w:pPr>
        <w:ind w:firstLine="162"/>
        <w:spacing w:after="0" w:line="291" w:lineRule="auto"/>
        <w:rPr>
          <w:sz w:val="20"/>
          <w:szCs w:val="20"/>
          <w:color w:val="auto"/>
        </w:rPr>
      </w:pPr>
      <w:r>
        <w:rPr>
          <w:rFonts w:ascii="Arial" w:cs="Arial" w:eastAsia="Arial" w:hAnsi="Arial"/>
          <w:sz w:val="16"/>
          <w:szCs w:val="16"/>
          <w:color w:val="auto"/>
        </w:rPr>
        <w:t>In the six months ended June 30, 2020, EBIT-adjusted decreased primarily due to: (1) decreased net wholesale volumes; (2) unfavorable mix; and (3) unfavorable Other primarily due to the foreign currency effect resulting from the weakening of the Mexican Peso against the U.S. Dollar; partially offset by</w:t>
      </w:r>
    </w:p>
    <w:p>
      <w:pPr>
        <w:jc w:val="both"/>
        <w:ind w:firstLine="8"/>
        <w:spacing w:after="0" w:line="255" w:lineRule="auto"/>
        <w:tabs>
          <w:tab w:leader="none" w:pos="2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favorable Cost due to savings in advertising of $0.6 billion, engineering of $0.5 billion and manufacturing of $0.4 billion, all inclusive of the suspension of production and austerity measures in response to the COVID-19 pandemic as well as transformation activities, increased non-service pension income of $0.2 billion and favorable material performance of $0.2 billion; and (5) favorable price.</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GENERAL MOTORS COMPANY AND SUBSIDIARIES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 International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17316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316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23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3"/>
          </w:tcPr>
          <w:p>
            <w:pPr>
              <w:jc w:val="right"/>
              <w:ind w:right="673"/>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Favorable /</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ind w:right="195"/>
              <w:spacing w:after="0"/>
              <w:rPr>
                <w:sz w:val="20"/>
                <w:szCs w:val="20"/>
                <w:color w:val="auto"/>
              </w:rPr>
            </w:pPr>
            <w:r>
              <w:rPr>
                <w:rFonts w:ascii="Arial" w:cs="Arial" w:eastAsia="Arial" w:hAnsi="Arial"/>
                <w:sz w:val="14"/>
                <w:szCs w:val="14"/>
                <w:b w:val="1"/>
                <w:bCs w:val="1"/>
                <w:color w:val="auto"/>
                <w:w w:val="96"/>
              </w:rPr>
              <w:t>June 30, 2020</w:t>
            </w:r>
          </w:p>
        </w:tc>
        <w:tc>
          <w:tcPr>
            <w:tcW w:w="280" w:type="dxa"/>
            <w:vAlign w:val="bottom"/>
          </w:tcPr>
          <w:p>
            <w:pPr>
              <w:spacing w:after="0"/>
              <w:rPr>
                <w:sz w:val="17"/>
                <w:szCs w:val="17"/>
                <w:color w:val="auto"/>
              </w:rPr>
            </w:pPr>
          </w:p>
        </w:tc>
        <w:tc>
          <w:tcPr>
            <w:tcW w:w="1180" w:type="dxa"/>
            <w:vAlign w:val="bottom"/>
          </w:tcPr>
          <w:p>
            <w:pPr>
              <w:jc w:val="right"/>
              <w:ind w:right="173"/>
              <w:spacing w:after="0"/>
              <w:rPr>
                <w:sz w:val="20"/>
                <w:szCs w:val="20"/>
                <w:color w:val="auto"/>
              </w:rPr>
            </w:pPr>
            <w:r>
              <w:rPr>
                <w:rFonts w:ascii="Arial" w:cs="Arial" w:eastAsia="Arial" w:hAnsi="Arial"/>
                <w:sz w:val="14"/>
                <w:szCs w:val="14"/>
                <w:b w:val="1"/>
                <w:bCs w:val="1"/>
                <w:color w:val="auto"/>
                <w:w w:val="98"/>
              </w:rPr>
              <w:t>June 30, 2019</w:t>
            </w:r>
          </w:p>
        </w:tc>
        <w:tc>
          <w:tcPr>
            <w:tcW w:w="26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(Unfavorable)</w:t>
            </w:r>
          </w:p>
        </w:tc>
        <w:tc>
          <w:tcPr>
            <w:tcW w:w="880" w:type="dxa"/>
            <w:vAlign w:val="bottom"/>
          </w:tcPr>
          <w:p>
            <w:pPr>
              <w:jc w:val="right"/>
              <w:ind w:right="273"/>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445"/>
        </w:trPr>
        <w:tc>
          <w:tcPr>
            <w:tcW w:w="2300" w:type="dxa"/>
            <w:vAlign w:val="bottom"/>
          </w:tcPr>
          <w:p>
            <w:pPr>
              <w:spacing w:after="0"/>
              <w:rPr>
                <w:sz w:val="20"/>
                <w:szCs w:val="20"/>
                <w:color w:val="auto"/>
              </w:rPr>
            </w:pPr>
            <w:r>
              <w:rPr>
                <w:rFonts w:ascii="Arial" w:cs="Arial" w:eastAsia="Arial" w:hAnsi="Arial"/>
                <w:sz w:val="18"/>
                <w:szCs w:val="18"/>
                <w:color w:val="auto"/>
              </w:rPr>
              <w:t>Total net sales and revenue</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55"/>
              <w:spacing w:after="0"/>
              <w:rPr>
                <w:sz w:val="20"/>
                <w:szCs w:val="20"/>
                <w:color w:val="auto"/>
              </w:rPr>
            </w:pPr>
            <w:r>
              <w:rPr>
                <w:rFonts w:ascii="Arial" w:cs="Arial" w:eastAsia="Arial" w:hAnsi="Arial"/>
                <w:sz w:val="18"/>
                <w:szCs w:val="18"/>
                <w:color w:val="auto"/>
              </w:rPr>
              <w:t>1,677</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tcPr>
          <w:p>
            <w:pPr>
              <w:jc w:val="right"/>
              <w:ind w:right="133"/>
              <w:spacing w:after="0"/>
              <w:rPr>
                <w:sz w:val="20"/>
                <w:szCs w:val="20"/>
                <w:color w:val="auto"/>
              </w:rPr>
            </w:pPr>
            <w:r>
              <w:rPr>
                <w:rFonts w:ascii="Arial" w:cs="Arial" w:eastAsia="Arial" w:hAnsi="Arial"/>
                <w:sz w:val="18"/>
                <w:szCs w:val="18"/>
                <w:color w:val="auto"/>
              </w:rPr>
              <w:t>4,047</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95"/>
              <w:spacing w:after="0"/>
              <w:rPr>
                <w:sz w:val="20"/>
                <w:szCs w:val="20"/>
                <w:color w:val="auto"/>
              </w:rPr>
            </w:pPr>
            <w:r>
              <w:rPr>
                <w:rFonts w:ascii="Arial" w:cs="Arial" w:eastAsia="Arial" w:hAnsi="Arial"/>
                <w:sz w:val="18"/>
                <w:szCs w:val="18"/>
                <w:color w:val="auto"/>
              </w:rPr>
              <w:t>(2,370)</w:t>
            </w:r>
          </w:p>
        </w:tc>
        <w:tc>
          <w:tcPr>
            <w:tcW w:w="100" w:type="dxa"/>
            <w:vAlign w:val="bottom"/>
          </w:tcPr>
          <w:p>
            <w:pPr>
              <w:spacing w:after="0"/>
              <w:rPr>
                <w:sz w:val="24"/>
                <w:szCs w:val="24"/>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70"/>
        </w:trPr>
        <w:tc>
          <w:tcPr>
            <w:tcW w:w="2300" w:type="dxa"/>
            <w:vAlign w:val="bottom"/>
          </w:tcPr>
          <w:p>
            <w:pPr>
              <w:spacing w:after="0"/>
              <w:rPr>
                <w:sz w:val="20"/>
                <w:szCs w:val="20"/>
                <w:color w:val="auto"/>
              </w:rPr>
            </w:pPr>
            <w:r>
              <w:rPr>
                <w:rFonts w:ascii="Arial" w:cs="Arial" w:eastAsia="Arial" w:hAnsi="Arial"/>
                <w:sz w:val="18"/>
                <w:szCs w:val="18"/>
                <w:color w:val="auto"/>
              </w:rPr>
              <w:t>EBIT (loss)-adjusted</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5"/>
              <w:spacing w:after="0"/>
              <w:rPr>
                <w:sz w:val="20"/>
                <w:szCs w:val="20"/>
                <w:color w:val="auto"/>
              </w:rPr>
            </w:pPr>
            <w:r>
              <w:rPr>
                <w:rFonts w:ascii="Arial" w:cs="Arial" w:eastAsia="Arial" w:hAnsi="Arial"/>
                <w:sz w:val="18"/>
                <w:szCs w:val="18"/>
                <w:color w:val="auto"/>
              </w:rPr>
              <w:t>(270)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(48)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5"/>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96"/>
        </w:trPr>
        <w:tc>
          <w:tcPr>
            <w:tcW w:w="2300" w:type="dxa"/>
            <w:vAlign w:val="bottom"/>
          </w:tcPr>
          <w:p>
            <w:pPr>
              <w:spacing w:after="0"/>
              <w:rPr>
                <w:sz w:val="20"/>
                <w:szCs w:val="20"/>
                <w:color w:val="auto"/>
              </w:rPr>
            </w:pPr>
            <w:r>
              <w:rPr>
                <w:rFonts w:ascii="Arial" w:cs="Arial" w:eastAsia="Arial" w:hAnsi="Arial"/>
                <w:sz w:val="18"/>
                <w:szCs w:val="18"/>
                <w:color w:val="auto"/>
              </w:rPr>
              <w:t>EBIT (loss)-adjusted margin</w:t>
            </w:r>
          </w:p>
        </w:tc>
        <w:tc>
          <w:tcPr>
            <w:tcW w:w="2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(16.1)%</w:t>
            </w:r>
          </w:p>
        </w:tc>
        <w:tc>
          <w:tcPr>
            <w:tcW w:w="2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300" w:type="dxa"/>
            <w:vAlign w:val="bottom"/>
          </w:tcPr>
          <w:p>
            <w:pPr>
              <w:spacing w:after="0" w:line="176" w:lineRule="exact"/>
              <w:rPr>
                <w:sz w:val="20"/>
                <w:szCs w:val="20"/>
                <w:color w:val="auto"/>
              </w:rPr>
            </w:pPr>
            <w:r>
              <w:rPr>
                <w:rFonts w:ascii="Arial" w:cs="Arial" w:eastAsia="Arial" w:hAnsi="Arial"/>
                <w:sz w:val="18"/>
                <w:szCs w:val="18"/>
                <w:i w:val="1"/>
                <w:iCs w:val="1"/>
                <w:color w:val="auto"/>
                <w:w w:val="98"/>
              </w:rPr>
              <w:t>Equity income — Automotive</w:t>
            </w:r>
          </w:p>
        </w:tc>
        <w:tc>
          <w:tcPr>
            <w:tcW w:w="200" w:type="dxa"/>
            <w:vAlign w:val="bottom"/>
            <w:vMerge w:val="restart"/>
          </w:tcPr>
          <w:p>
            <w:pPr>
              <w:jc w:val="right"/>
              <w:spacing w:after="0"/>
              <w:rPr>
                <w:sz w:val="20"/>
                <w:szCs w:val="20"/>
                <w:color w:val="auto"/>
              </w:rPr>
            </w:pPr>
            <w:r>
              <w:rPr>
                <w:rFonts w:ascii="Arial" w:cs="Arial" w:eastAsia="Arial" w:hAnsi="Arial"/>
                <w:sz w:val="18"/>
                <w:szCs w:val="18"/>
                <w:i w:val="1"/>
                <w:iCs w:val="1"/>
                <w:color w:val="auto"/>
                <w:w w:val="99"/>
              </w:rPr>
              <w:t>$</w:t>
            </w:r>
          </w:p>
        </w:tc>
        <w:tc>
          <w:tcPr>
            <w:tcW w:w="1180" w:type="dxa"/>
            <w:vAlign w:val="bottom"/>
            <w:vMerge w:val="restart"/>
          </w:tcPr>
          <w:p>
            <w:pPr>
              <w:jc w:val="right"/>
              <w:ind w:right="155"/>
              <w:spacing w:after="0"/>
              <w:rPr>
                <w:sz w:val="20"/>
                <w:szCs w:val="20"/>
                <w:color w:val="auto"/>
              </w:rPr>
            </w:pPr>
            <w:r>
              <w:rPr>
                <w:rFonts w:ascii="Arial" w:cs="Arial" w:eastAsia="Arial" w:hAnsi="Arial"/>
                <w:sz w:val="18"/>
                <w:szCs w:val="18"/>
                <w:i w:val="1"/>
                <w:iCs w:val="1"/>
                <w:color w:val="auto"/>
              </w:rPr>
              <w:t>169</w:t>
            </w:r>
          </w:p>
        </w:tc>
        <w:tc>
          <w:tcPr>
            <w:tcW w:w="280" w:type="dxa"/>
            <w:vAlign w:val="bottom"/>
            <w:vMerge w:val="restart"/>
          </w:tcPr>
          <w:p>
            <w:pPr>
              <w:jc w:val="right"/>
              <w:spacing w:after="0"/>
              <w:rPr>
                <w:sz w:val="20"/>
                <w:szCs w:val="20"/>
                <w:color w:val="auto"/>
              </w:rPr>
            </w:pPr>
            <w:r>
              <w:rPr>
                <w:rFonts w:ascii="Arial" w:cs="Arial" w:eastAsia="Arial" w:hAnsi="Arial"/>
                <w:sz w:val="18"/>
                <w:szCs w:val="18"/>
                <w:i w:val="1"/>
                <w:iCs w:val="1"/>
                <w:color w:val="auto"/>
              </w:rPr>
              <w:t>$</w:t>
            </w:r>
          </w:p>
        </w:tc>
        <w:tc>
          <w:tcPr>
            <w:tcW w:w="1180" w:type="dxa"/>
            <w:vAlign w:val="bottom"/>
            <w:vMerge w:val="restart"/>
          </w:tcPr>
          <w:p>
            <w:pPr>
              <w:jc w:val="right"/>
              <w:ind w:right="133"/>
              <w:spacing w:after="0"/>
              <w:rPr>
                <w:sz w:val="20"/>
                <w:szCs w:val="20"/>
                <w:color w:val="auto"/>
              </w:rPr>
            </w:pPr>
            <w:r>
              <w:rPr>
                <w:rFonts w:ascii="Arial" w:cs="Arial" w:eastAsia="Arial" w:hAnsi="Arial"/>
                <w:sz w:val="18"/>
                <w:szCs w:val="18"/>
                <w:i w:val="1"/>
                <w:iCs w:val="1"/>
                <w:color w:val="auto"/>
              </w:rPr>
              <w:t>235</w:t>
            </w:r>
          </w:p>
        </w:tc>
        <w:tc>
          <w:tcPr>
            <w:tcW w:w="260" w:type="dxa"/>
            <w:vAlign w:val="bottom"/>
            <w:vMerge w:val="restart"/>
          </w:tcPr>
          <w:p>
            <w:pPr>
              <w:jc w:val="right"/>
              <w:spacing w:after="0"/>
              <w:rPr>
                <w:sz w:val="20"/>
                <w:szCs w:val="20"/>
                <w:color w:val="auto"/>
              </w:rPr>
            </w:pPr>
            <w:r>
              <w:rPr>
                <w:rFonts w:ascii="Arial" w:cs="Arial" w:eastAsia="Arial" w:hAnsi="Arial"/>
                <w:sz w:val="18"/>
                <w:szCs w:val="18"/>
                <w:i w:val="1"/>
                <w:iCs w:val="1"/>
                <w:color w:val="auto"/>
              </w:rPr>
              <w:t>$</w:t>
            </w:r>
          </w:p>
        </w:tc>
        <w:tc>
          <w:tcPr>
            <w:tcW w:w="1080" w:type="dxa"/>
            <w:vAlign w:val="bottom"/>
            <w:vMerge w:val="restart"/>
          </w:tcPr>
          <w:p>
            <w:pPr>
              <w:jc w:val="right"/>
              <w:ind w:right="95"/>
              <w:spacing w:after="0"/>
              <w:rPr>
                <w:sz w:val="20"/>
                <w:szCs w:val="20"/>
                <w:color w:val="auto"/>
              </w:rPr>
            </w:pPr>
            <w:r>
              <w:rPr>
                <w:rFonts w:ascii="Arial" w:cs="Arial" w:eastAsia="Arial" w:hAnsi="Arial"/>
                <w:sz w:val="18"/>
                <w:szCs w:val="18"/>
                <w:i w:val="1"/>
                <w:iCs w:val="1"/>
                <w:color w:val="auto"/>
              </w:rPr>
              <w:t>(66)</w:t>
            </w:r>
          </w:p>
        </w:tc>
        <w:tc>
          <w:tcPr>
            <w:tcW w:w="10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i w:val="1"/>
                <w:iCs w:val="1"/>
                <w:color w:val="auto"/>
              </w:rPr>
              <w:t>(28.1)%</w:t>
            </w:r>
          </w:p>
        </w:tc>
        <w:tc>
          <w:tcPr>
            <w:tcW w:w="0" w:type="dxa"/>
            <w:vAlign w:val="bottom"/>
          </w:tcPr>
          <w:p>
            <w:pPr>
              <w:spacing w:after="0"/>
              <w:rPr>
                <w:sz w:val="1"/>
                <w:szCs w:val="1"/>
                <w:color w:val="auto"/>
              </w:rPr>
            </w:pPr>
          </w:p>
        </w:tc>
      </w:tr>
      <w:tr>
        <w:trPr>
          <w:trHeight w:val="229"/>
        </w:trPr>
        <w:tc>
          <w:tcPr>
            <w:tcW w:w="2300" w:type="dxa"/>
            <w:vAlign w:val="bottom"/>
          </w:tcPr>
          <w:p>
            <w:pPr>
              <w:ind w:left="160"/>
              <w:spacing w:after="0"/>
              <w:rPr>
                <w:sz w:val="20"/>
                <w:szCs w:val="20"/>
                <w:color w:val="auto"/>
              </w:rPr>
            </w:pPr>
            <w:r>
              <w:rPr>
                <w:rFonts w:ascii="Arial" w:cs="Arial" w:eastAsia="Arial" w:hAnsi="Arial"/>
                <w:sz w:val="18"/>
                <w:szCs w:val="18"/>
                <w:i w:val="1"/>
                <w:iCs w:val="1"/>
                <w:color w:val="auto"/>
              </w:rPr>
              <w:t>China</w:t>
            </w:r>
          </w:p>
        </w:tc>
        <w:tc>
          <w:tcPr>
            <w:tcW w:w="200" w:type="dxa"/>
            <w:vAlign w:val="bottom"/>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300" w:type="dxa"/>
            <w:vAlign w:val="bottom"/>
          </w:tcPr>
          <w:p>
            <w:pPr>
              <w:spacing w:after="0" w:line="176" w:lineRule="exact"/>
              <w:rPr>
                <w:sz w:val="20"/>
                <w:szCs w:val="20"/>
                <w:color w:val="auto"/>
              </w:rPr>
            </w:pPr>
            <w:r>
              <w:rPr>
                <w:rFonts w:ascii="Arial" w:cs="Arial" w:eastAsia="Arial" w:hAnsi="Arial"/>
                <w:sz w:val="18"/>
                <w:szCs w:val="18"/>
                <w:i w:val="1"/>
                <w:iCs w:val="1"/>
                <w:color w:val="auto"/>
              </w:rPr>
              <w:t>EBIT (loss)-adjusted —</w:t>
            </w:r>
          </w:p>
        </w:tc>
        <w:tc>
          <w:tcPr>
            <w:tcW w:w="200" w:type="dxa"/>
            <w:vAlign w:val="bottom"/>
            <w:vMerge w:val="restart"/>
          </w:tcPr>
          <w:p>
            <w:pPr>
              <w:jc w:val="right"/>
              <w:spacing w:after="0"/>
              <w:rPr>
                <w:sz w:val="20"/>
                <w:szCs w:val="20"/>
                <w:color w:val="auto"/>
              </w:rPr>
            </w:pPr>
            <w:r>
              <w:rPr>
                <w:rFonts w:ascii="Arial" w:cs="Arial" w:eastAsia="Arial" w:hAnsi="Arial"/>
                <w:sz w:val="18"/>
                <w:szCs w:val="18"/>
                <w:i w:val="1"/>
                <w:iCs w:val="1"/>
                <w:color w:val="auto"/>
                <w:w w:val="99"/>
              </w:rPr>
              <w:t>$</w:t>
            </w:r>
          </w:p>
        </w:tc>
        <w:tc>
          <w:tcPr>
            <w:tcW w:w="1180" w:type="dxa"/>
            <w:vAlign w:val="bottom"/>
            <w:vMerge w:val="restart"/>
          </w:tcPr>
          <w:p>
            <w:pPr>
              <w:jc w:val="right"/>
              <w:ind w:right="115"/>
              <w:spacing w:after="0"/>
              <w:rPr>
                <w:sz w:val="20"/>
                <w:szCs w:val="20"/>
                <w:color w:val="auto"/>
              </w:rPr>
            </w:pPr>
            <w:r>
              <w:rPr>
                <w:rFonts w:ascii="Arial" w:cs="Arial" w:eastAsia="Arial" w:hAnsi="Arial"/>
                <w:sz w:val="18"/>
                <w:szCs w:val="18"/>
                <w:i w:val="1"/>
                <w:iCs w:val="1"/>
                <w:color w:val="auto"/>
              </w:rPr>
              <w:t>(439)</w:t>
            </w:r>
          </w:p>
        </w:tc>
        <w:tc>
          <w:tcPr>
            <w:tcW w:w="280" w:type="dxa"/>
            <w:vAlign w:val="bottom"/>
            <w:vMerge w:val="restart"/>
          </w:tcPr>
          <w:p>
            <w:pPr>
              <w:jc w:val="right"/>
              <w:spacing w:after="0"/>
              <w:rPr>
                <w:sz w:val="20"/>
                <w:szCs w:val="20"/>
                <w:color w:val="auto"/>
              </w:rPr>
            </w:pPr>
            <w:r>
              <w:rPr>
                <w:rFonts w:ascii="Arial" w:cs="Arial" w:eastAsia="Arial" w:hAnsi="Arial"/>
                <w:sz w:val="18"/>
                <w:szCs w:val="18"/>
                <w:i w:val="1"/>
                <w:iCs w:val="1"/>
                <w:color w:val="auto"/>
              </w:rPr>
              <w:t>$</w:t>
            </w:r>
          </w:p>
        </w:tc>
        <w:tc>
          <w:tcPr>
            <w:tcW w:w="1180" w:type="dxa"/>
            <w:vAlign w:val="bottom"/>
            <w:vMerge w:val="restart"/>
          </w:tcPr>
          <w:p>
            <w:pPr>
              <w:jc w:val="right"/>
              <w:ind w:right="93"/>
              <w:spacing w:after="0"/>
              <w:rPr>
                <w:sz w:val="20"/>
                <w:szCs w:val="20"/>
                <w:color w:val="auto"/>
              </w:rPr>
            </w:pPr>
            <w:r>
              <w:rPr>
                <w:rFonts w:ascii="Arial" w:cs="Arial" w:eastAsia="Arial" w:hAnsi="Arial"/>
                <w:sz w:val="18"/>
                <w:szCs w:val="18"/>
                <w:i w:val="1"/>
                <w:iCs w:val="1"/>
                <w:color w:val="auto"/>
              </w:rPr>
              <w:t>(283)</w:t>
            </w:r>
          </w:p>
        </w:tc>
        <w:tc>
          <w:tcPr>
            <w:tcW w:w="260" w:type="dxa"/>
            <w:vAlign w:val="bottom"/>
            <w:vMerge w:val="restart"/>
          </w:tcPr>
          <w:p>
            <w:pPr>
              <w:jc w:val="right"/>
              <w:spacing w:after="0"/>
              <w:rPr>
                <w:sz w:val="20"/>
                <w:szCs w:val="20"/>
                <w:color w:val="auto"/>
              </w:rPr>
            </w:pPr>
            <w:r>
              <w:rPr>
                <w:rFonts w:ascii="Arial" w:cs="Arial" w:eastAsia="Arial" w:hAnsi="Arial"/>
                <w:sz w:val="18"/>
                <w:szCs w:val="18"/>
                <w:i w:val="1"/>
                <w:iCs w:val="1"/>
                <w:color w:val="auto"/>
              </w:rPr>
              <w:t>$</w:t>
            </w:r>
          </w:p>
        </w:tc>
        <w:tc>
          <w:tcPr>
            <w:tcW w:w="1080" w:type="dxa"/>
            <w:vAlign w:val="bottom"/>
            <w:vMerge w:val="restart"/>
          </w:tcPr>
          <w:p>
            <w:pPr>
              <w:jc w:val="right"/>
              <w:ind w:right="95"/>
              <w:spacing w:after="0"/>
              <w:rPr>
                <w:sz w:val="20"/>
                <w:szCs w:val="20"/>
                <w:color w:val="auto"/>
              </w:rPr>
            </w:pPr>
            <w:r>
              <w:rPr>
                <w:rFonts w:ascii="Arial" w:cs="Arial" w:eastAsia="Arial" w:hAnsi="Arial"/>
                <w:sz w:val="18"/>
                <w:szCs w:val="18"/>
                <w:i w:val="1"/>
                <w:iCs w:val="1"/>
                <w:color w:val="auto"/>
              </w:rPr>
              <w:t>(156)</w:t>
            </w:r>
          </w:p>
        </w:tc>
        <w:tc>
          <w:tcPr>
            <w:tcW w:w="10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i w:val="1"/>
                <w:iCs w:val="1"/>
                <w:color w:val="auto"/>
              </w:rPr>
              <w:t>(55.1)%</w:t>
            </w:r>
          </w:p>
        </w:tc>
        <w:tc>
          <w:tcPr>
            <w:tcW w:w="0" w:type="dxa"/>
            <w:vAlign w:val="bottom"/>
          </w:tcPr>
          <w:p>
            <w:pPr>
              <w:spacing w:after="0"/>
              <w:rPr>
                <w:sz w:val="1"/>
                <w:szCs w:val="1"/>
                <w:color w:val="auto"/>
              </w:rPr>
            </w:pPr>
          </w:p>
        </w:tc>
      </w:tr>
      <w:tr>
        <w:trPr>
          <w:trHeight w:val="230"/>
        </w:trPr>
        <w:tc>
          <w:tcPr>
            <w:tcW w:w="2300" w:type="dxa"/>
            <w:vAlign w:val="bottom"/>
          </w:tcPr>
          <w:p>
            <w:pPr>
              <w:ind w:left="160"/>
              <w:spacing w:after="0"/>
              <w:rPr>
                <w:sz w:val="20"/>
                <w:szCs w:val="20"/>
                <w:color w:val="auto"/>
              </w:rPr>
            </w:pPr>
            <w:r>
              <w:rPr>
                <w:rFonts w:ascii="Arial" w:cs="Arial" w:eastAsia="Arial" w:hAnsi="Arial"/>
                <w:sz w:val="18"/>
                <w:szCs w:val="18"/>
                <w:i w:val="1"/>
                <w:iCs w:val="1"/>
                <w:color w:val="auto"/>
              </w:rPr>
              <w:t>excluding Equity income</w:t>
            </w:r>
          </w:p>
        </w:tc>
        <w:tc>
          <w:tcPr>
            <w:tcW w:w="200" w:type="dxa"/>
            <w:vAlign w:val="bottom"/>
            <w:vMerge w:val="continue"/>
          </w:tcPr>
          <w:p>
            <w:pPr>
              <w:spacing w:after="0"/>
              <w:rPr>
                <w:sz w:val="20"/>
                <w:szCs w:val="20"/>
                <w:color w:val="auto"/>
              </w:rPr>
            </w:pPr>
          </w:p>
        </w:tc>
        <w:tc>
          <w:tcPr>
            <w:tcW w:w="1180" w:type="dxa"/>
            <w:vAlign w:val="bottom"/>
            <w:vMerge w:val="continue"/>
          </w:tcPr>
          <w:p>
            <w:pPr>
              <w:spacing w:after="0"/>
              <w:rPr>
                <w:sz w:val="20"/>
                <w:szCs w:val="20"/>
                <w:color w:val="auto"/>
              </w:rPr>
            </w:pPr>
          </w:p>
        </w:tc>
        <w:tc>
          <w:tcPr>
            <w:tcW w:w="280" w:type="dxa"/>
            <w:vAlign w:val="bottom"/>
            <w:vMerge w:val="continue"/>
          </w:tcPr>
          <w:p>
            <w:pPr>
              <w:spacing w:after="0"/>
              <w:rPr>
                <w:sz w:val="20"/>
                <w:szCs w:val="20"/>
                <w:color w:val="auto"/>
              </w:rPr>
            </w:pPr>
          </w:p>
        </w:tc>
        <w:tc>
          <w:tcPr>
            <w:tcW w:w="1180" w:type="dxa"/>
            <w:vAlign w:val="bottom"/>
            <w:vMerge w:val="continue"/>
          </w:tcPr>
          <w:p>
            <w:pPr>
              <w:spacing w:after="0"/>
              <w:rPr>
                <w:sz w:val="20"/>
                <w:szCs w:val="20"/>
                <w:color w:val="auto"/>
              </w:rPr>
            </w:pPr>
          </w:p>
        </w:tc>
        <w:tc>
          <w:tcPr>
            <w:tcW w:w="260" w:type="dxa"/>
            <w:vAlign w:val="bottom"/>
            <w:vMerge w:val="continue"/>
          </w:tcPr>
          <w:p>
            <w:pPr>
              <w:spacing w:after="0"/>
              <w:rPr>
                <w:sz w:val="20"/>
                <w:szCs w:val="20"/>
                <w:color w:val="auto"/>
              </w:rPr>
            </w:pPr>
          </w:p>
        </w:tc>
        <w:tc>
          <w:tcPr>
            <w:tcW w:w="10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2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6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(Vehicles in thousands)</w:t>
            </w: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2300" w:type="dxa"/>
            <w:vAlign w:val="bottom"/>
          </w:tcPr>
          <w:p>
            <w:pPr>
              <w:spacing w:after="0"/>
              <w:rPr>
                <w:sz w:val="20"/>
                <w:szCs w:val="20"/>
                <w:color w:val="auto"/>
              </w:rPr>
            </w:pPr>
            <w:r>
              <w:rPr>
                <w:rFonts w:ascii="Arial" w:cs="Arial" w:eastAsia="Arial" w:hAnsi="Arial"/>
                <w:sz w:val="18"/>
                <w:szCs w:val="18"/>
                <w:color w:val="auto"/>
              </w:rPr>
              <w:t>Wholesale vehicle sales</w:t>
            </w:r>
          </w:p>
        </w:tc>
        <w:tc>
          <w:tcPr>
            <w:tcW w:w="200" w:type="dxa"/>
            <w:vAlign w:val="bottom"/>
          </w:tcPr>
          <w:p>
            <w:pPr>
              <w:spacing w:after="0"/>
              <w:rPr>
                <w:sz w:val="22"/>
                <w:szCs w:val="22"/>
                <w:color w:val="auto"/>
              </w:rPr>
            </w:pPr>
          </w:p>
        </w:tc>
        <w:tc>
          <w:tcPr>
            <w:tcW w:w="1180" w:type="dxa"/>
            <w:vAlign w:val="bottom"/>
          </w:tcPr>
          <w:p>
            <w:pPr>
              <w:jc w:val="right"/>
              <w:ind w:right="155"/>
              <w:spacing w:after="0"/>
              <w:rPr>
                <w:sz w:val="20"/>
                <w:szCs w:val="20"/>
                <w:color w:val="auto"/>
              </w:rPr>
            </w:pPr>
            <w:r>
              <w:rPr>
                <w:rFonts w:ascii="Arial" w:cs="Arial" w:eastAsia="Arial" w:hAnsi="Arial"/>
                <w:sz w:val="18"/>
                <w:szCs w:val="18"/>
                <w:color w:val="auto"/>
              </w:rPr>
              <w:t>90</w:t>
            </w:r>
          </w:p>
        </w:tc>
        <w:tc>
          <w:tcPr>
            <w:tcW w:w="280" w:type="dxa"/>
            <w:vAlign w:val="bottom"/>
          </w:tcPr>
          <w:p>
            <w:pPr>
              <w:spacing w:after="0"/>
              <w:rPr>
                <w:sz w:val="22"/>
                <w:szCs w:val="22"/>
                <w:color w:val="auto"/>
              </w:rPr>
            </w:pPr>
          </w:p>
        </w:tc>
        <w:tc>
          <w:tcPr>
            <w:tcW w:w="1180" w:type="dxa"/>
            <w:vAlign w:val="bottom"/>
          </w:tcPr>
          <w:p>
            <w:pPr>
              <w:jc w:val="right"/>
              <w:ind w:right="133"/>
              <w:spacing w:after="0"/>
              <w:rPr>
                <w:sz w:val="20"/>
                <w:szCs w:val="20"/>
                <w:color w:val="auto"/>
              </w:rPr>
            </w:pPr>
            <w:r>
              <w:rPr>
                <w:rFonts w:ascii="Arial" w:cs="Arial" w:eastAsia="Arial" w:hAnsi="Arial"/>
                <w:sz w:val="18"/>
                <w:szCs w:val="18"/>
                <w:color w:val="auto"/>
              </w:rPr>
              <w:t>259</w:t>
            </w:r>
          </w:p>
        </w:tc>
        <w:tc>
          <w:tcPr>
            <w:tcW w:w="260" w:type="dxa"/>
            <w:vAlign w:val="bottom"/>
          </w:tcPr>
          <w:p>
            <w:pPr>
              <w:spacing w:after="0"/>
              <w:rPr>
                <w:sz w:val="22"/>
                <w:szCs w:val="22"/>
                <w:color w:val="auto"/>
              </w:rPr>
            </w:pPr>
          </w:p>
        </w:tc>
        <w:tc>
          <w:tcPr>
            <w:tcW w:w="1080" w:type="dxa"/>
            <w:vAlign w:val="bottom"/>
          </w:tcPr>
          <w:p>
            <w:pPr>
              <w:jc w:val="right"/>
              <w:ind w:right="95"/>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(65.3)%</w:t>
            </w:r>
          </w:p>
        </w:tc>
        <w:tc>
          <w:tcPr>
            <w:tcW w:w="0" w:type="dxa"/>
            <w:vAlign w:val="bottom"/>
          </w:tcPr>
          <w:p>
            <w:pPr>
              <w:spacing w:after="0"/>
              <w:rPr>
                <w:sz w:val="1"/>
                <w:szCs w:val="1"/>
                <w:color w:val="auto"/>
              </w:rPr>
            </w:pPr>
          </w:p>
        </w:tc>
      </w:tr>
    </w:tbl>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n.m. = 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316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316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Variance Due To</w:t>
      </w:r>
    </w:p>
    <w:p>
      <w:pPr>
        <w:spacing w:after="0" w:line="55" w:lineRule="exact"/>
        <w:rPr>
          <w:sz w:val="20"/>
          <w:szCs w:val="20"/>
          <w:color w:val="auto"/>
        </w:rPr>
      </w:pPr>
    </w:p>
    <w:p>
      <w:pPr>
        <w:ind w:left="100"/>
        <w:spacing w:after="0"/>
        <w:tabs>
          <w:tab w:leader="none" w:pos="940" w:val="left"/>
          <w:tab w:leader="none" w:pos="1620" w:val="left"/>
          <w:tab w:leader="none" w:pos="2340" w:val="left"/>
          <w:tab w:leader="none" w:pos="3020" w:val="left"/>
        </w:tabs>
        <w:rPr>
          <w:sz w:val="20"/>
          <w:szCs w:val="20"/>
          <w:color w:val="auto"/>
        </w:rPr>
      </w:pPr>
      <w:r>
        <w:rPr>
          <w:rFonts w:ascii="Arial" w:cs="Arial" w:eastAsia="Arial" w:hAnsi="Arial"/>
          <w:sz w:val="14"/>
          <w:szCs w:val="14"/>
          <w:b w:val="1"/>
          <w:bCs w:val="1"/>
          <w:color w:val="auto"/>
        </w:rPr>
        <w:t>Volume</w:t>
      </w:r>
      <w:r>
        <w:rPr>
          <w:sz w:val="20"/>
          <w:szCs w:val="20"/>
          <w:color w:val="auto"/>
        </w:rPr>
        <w:tab/>
      </w:r>
      <w:r>
        <w:rPr>
          <w:rFonts w:ascii="Arial" w:cs="Arial" w:eastAsia="Arial" w:hAnsi="Arial"/>
          <w:sz w:val="14"/>
          <w:szCs w:val="14"/>
          <w:b w:val="1"/>
          <w:bCs w:val="1"/>
          <w:color w:val="auto"/>
        </w:rPr>
        <w:t>Mix</w:t>
      </w:r>
      <w:r>
        <w:rPr>
          <w:sz w:val="20"/>
          <w:szCs w:val="20"/>
          <w:color w:val="auto"/>
        </w:rPr>
        <w:tab/>
      </w:r>
      <w:r>
        <w:rPr>
          <w:rFonts w:ascii="Arial" w:cs="Arial" w:eastAsia="Arial" w:hAnsi="Arial"/>
          <w:sz w:val="14"/>
          <w:szCs w:val="14"/>
          <w:b w:val="1"/>
          <w:bCs w:val="1"/>
          <w:color w:val="auto"/>
        </w:rPr>
        <w:t>Price</w:t>
      </w:r>
      <w:r>
        <w:rPr>
          <w:sz w:val="20"/>
          <w:szCs w:val="20"/>
          <w:color w:val="auto"/>
        </w:rPr>
        <w:tab/>
      </w:r>
      <w:r>
        <w:rPr>
          <w:rFonts w:ascii="Arial" w:cs="Arial" w:eastAsia="Arial" w:hAnsi="Arial"/>
          <w:sz w:val="14"/>
          <w:szCs w:val="14"/>
          <w:b w:val="1"/>
          <w:bCs w:val="1"/>
          <w:color w:val="auto"/>
        </w:rPr>
        <w:t>Cost</w:t>
      </w:r>
      <w:r>
        <w:rPr>
          <w:sz w:val="20"/>
          <w:szCs w:val="20"/>
          <w:color w:val="auto"/>
        </w:rPr>
        <w:tab/>
      </w:r>
      <w:r>
        <w:rPr>
          <w:rFonts w:ascii="Arial" w:cs="Arial" w:eastAsia="Arial" w:hAnsi="Arial"/>
          <w:sz w:val="13"/>
          <w:szCs w:val="13"/>
          <w:b w:val="1"/>
          <w:bCs w:val="1"/>
          <w:color w:val="auto"/>
        </w:rPr>
        <w:t>Other</w:t>
      </w:r>
    </w:p>
    <w:p>
      <w:pPr>
        <w:spacing w:after="0" w:line="55"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auto"/>
        </w:rPr>
        <w:t>(Dollars in billions)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(2.2)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50"/>
              <w:spacing w:after="0"/>
              <w:rPr>
                <w:sz w:val="20"/>
                <w:szCs w:val="20"/>
                <w:color w:val="auto"/>
              </w:rPr>
            </w:pPr>
            <w:r>
              <w:rPr>
                <w:rFonts w:ascii="Arial" w:cs="Arial" w:eastAsia="Arial" w:hAnsi="Arial"/>
                <w:sz w:val="18"/>
                <w:szCs w:val="18"/>
                <w:color w:val="auto"/>
              </w:rPr>
              <w:t>0.2</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ind w:left="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 (0.4)</w:t>
            </w:r>
          </w:p>
        </w:tc>
      </w:tr>
      <w:tr>
        <w:trPr>
          <w:trHeight w:val="270"/>
        </w:trPr>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(0.2)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ind w:left="8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50"/>
              <w:spacing w:after="0"/>
              <w:rPr>
                <w:sz w:val="20"/>
                <w:szCs w:val="20"/>
                <w:color w:val="auto"/>
              </w:rPr>
            </w:pPr>
            <w:r>
              <w:rPr>
                <w:rFonts w:ascii="Arial" w:cs="Arial" w:eastAsia="Arial" w:hAnsi="Arial"/>
                <w:sz w:val="18"/>
                <w:szCs w:val="18"/>
                <w:color w:val="auto"/>
              </w:rPr>
              <w:t>0.1</w:t>
            </w:r>
          </w:p>
        </w:tc>
        <w:tc>
          <w:tcPr>
            <w:tcW w:w="620" w:type="dxa"/>
            <w:vAlign w:val="bottom"/>
          </w:tcPr>
          <w:p>
            <w:pPr>
              <w:jc w:val="right"/>
              <w:spacing w:after="0"/>
              <w:rPr>
                <w:sz w:val="20"/>
                <w:szCs w:val="20"/>
                <w:color w:val="auto"/>
              </w:rPr>
            </w:pPr>
            <w:r>
              <w:rPr>
                <w:rFonts w:ascii="Arial" w:cs="Arial" w:eastAsia="Arial" w:hAnsi="Arial"/>
                <w:sz w:val="18"/>
                <w:szCs w:val="18"/>
                <w:color w:val="auto"/>
              </w:rPr>
              <w:t>$ (0.1)</w:t>
            </w:r>
          </w:p>
        </w:tc>
      </w:tr>
    </w:tbl>
    <w:p>
      <w:pPr>
        <w:spacing w:after="0" w:line="2164" w:lineRule="exact"/>
        <w:rPr>
          <w:sz w:val="20"/>
          <w:szCs w:val="20"/>
          <w:color w:val="auto"/>
        </w:rPr>
      </w:pPr>
    </w:p>
    <w:p>
      <w:pPr>
        <w:sectPr>
          <w:pgSz w:w="11900" w:h="16838" w:orient="portrait"/>
          <w:cols w:equalWidth="0" w:num="2">
            <w:col w:w="7480" w:space="240"/>
            <w:col w:w="3520"/>
          </w:cols>
          <w:pgMar w:left="320" w:top="125" w:right="339" w:bottom="1440" w:gutter="0" w:footer="0" w:header="0"/>
          <w:type w:val="continuous"/>
        </w:sectPr>
      </w:pPr>
    </w:p>
    <w:tbl>
      <w:tblPr>
        <w:tblLayout w:type="fixed"/>
        <w:tblInd w:w="20" w:type="dxa"/>
        <w:tblCellMar>
          <w:top w:w="0" w:type="dxa"/>
          <w:left w:w="0" w:type="dxa"/>
          <w:bottom w:w="0" w:type="dxa"/>
          <w:right w:w="0" w:type="dxa"/>
        </w:tblCellMar>
      </w:tblPr>
      <w:tr>
        <w:trPr>
          <w:trHeight w:val="192"/>
        </w:trPr>
        <w:tc>
          <w:tcPr>
            <w:tcW w:w="23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3"/>
          </w:tcPr>
          <w:p>
            <w:pPr>
              <w:jc w:val="right"/>
              <w:ind w:right="773"/>
              <w:spacing w:after="0"/>
              <w:rPr>
                <w:sz w:val="20"/>
                <w:szCs w:val="20"/>
                <w:color w:val="auto"/>
              </w:rPr>
            </w:pPr>
            <w:r>
              <w:rPr>
                <w:rFonts w:ascii="Arial" w:cs="Arial" w:eastAsia="Arial" w:hAnsi="Arial"/>
                <w:sz w:val="14"/>
                <w:szCs w:val="14"/>
                <w:b w:val="1"/>
                <w:bCs w:val="1"/>
                <w:color w:val="auto"/>
              </w:rPr>
              <w:t>Six Months Ended</w:t>
            </w:r>
          </w:p>
        </w:tc>
        <w:tc>
          <w:tcPr>
            <w:tcW w:w="24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Favorable /</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175"/>
              <w:spacing w:after="0"/>
              <w:rPr>
                <w:sz w:val="20"/>
                <w:szCs w:val="20"/>
                <w:color w:val="auto"/>
              </w:rPr>
            </w:pPr>
            <w:r>
              <w:rPr>
                <w:rFonts w:ascii="Arial" w:cs="Arial" w:eastAsia="Arial" w:hAnsi="Arial"/>
                <w:sz w:val="14"/>
                <w:szCs w:val="14"/>
                <w:b w:val="1"/>
                <w:bCs w:val="1"/>
                <w:color w:val="auto"/>
                <w:w w:val="98"/>
              </w:rPr>
              <w:t>June 30, 2020</w:t>
            </w:r>
          </w:p>
        </w:tc>
        <w:tc>
          <w:tcPr>
            <w:tcW w:w="300" w:type="dxa"/>
            <w:vAlign w:val="bottom"/>
          </w:tcPr>
          <w:p>
            <w:pPr>
              <w:spacing w:after="0"/>
              <w:rPr>
                <w:sz w:val="17"/>
                <w:szCs w:val="17"/>
                <w:color w:val="auto"/>
              </w:rPr>
            </w:pPr>
          </w:p>
        </w:tc>
        <w:tc>
          <w:tcPr>
            <w:tcW w:w="1180" w:type="dxa"/>
            <w:vAlign w:val="bottom"/>
          </w:tcPr>
          <w:p>
            <w:pPr>
              <w:jc w:val="right"/>
              <w:ind w:right="193"/>
              <w:spacing w:after="0"/>
              <w:rPr>
                <w:sz w:val="20"/>
                <w:szCs w:val="20"/>
                <w:color w:val="auto"/>
              </w:rPr>
            </w:pPr>
            <w:r>
              <w:rPr>
                <w:rFonts w:ascii="Arial" w:cs="Arial" w:eastAsia="Arial" w:hAnsi="Arial"/>
                <w:sz w:val="14"/>
                <w:szCs w:val="14"/>
                <w:b w:val="1"/>
                <w:bCs w:val="1"/>
                <w:color w:val="auto"/>
                <w:w w:val="96"/>
              </w:rPr>
              <w:t>June 30, 2019</w:t>
            </w:r>
          </w:p>
        </w:tc>
        <w:tc>
          <w:tcPr>
            <w:tcW w:w="2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(Unfavorable)</w:t>
            </w:r>
          </w:p>
        </w:tc>
        <w:tc>
          <w:tcPr>
            <w:tcW w:w="880" w:type="dxa"/>
            <w:vAlign w:val="bottom"/>
          </w:tcPr>
          <w:p>
            <w:pPr>
              <w:jc w:val="right"/>
              <w:ind w:right="293"/>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472"/>
        </w:trPr>
        <w:tc>
          <w:tcPr>
            <w:tcW w:w="2300" w:type="dxa"/>
            <w:vAlign w:val="bottom"/>
          </w:tcPr>
          <w:p>
            <w:pPr>
              <w:spacing w:after="0"/>
              <w:rPr>
                <w:sz w:val="20"/>
                <w:szCs w:val="20"/>
                <w:color w:val="auto"/>
              </w:rPr>
            </w:pPr>
            <w:r>
              <w:rPr>
                <w:rFonts w:ascii="Arial" w:cs="Arial" w:eastAsia="Arial" w:hAnsi="Arial"/>
                <w:sz w:val="18"/>
                <w:szCs w:val="18"/>
                <w:color w:val="auto"/>
              </w:rPr>
              <w:t>Total net sales and revenue</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155"/>
              <w:spacing w:after="0"/>
              <w:rPr>
                <w:sz w:val="20"/>
                <w:szCs w:val="20"/>
                <w:color w:val="auto"/>
              </w:rPr>
            </w:pPr>
            <w:r>
              <w:rPr>
                <w:rFonts w:ascii="Arial" w:cs="Arial" w:eastAsia="Arial" w:hAnsi="Arial"/>
                <w:sz w:val="18"/>
                <w:szCs w:val="18"/>
                <w:color w:val="auto"/>
              </w:rPr>
              <w:t>4,957</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tcPr>
          <w:p>
            <w:pPr>
              <w:jc w:val="right"/>
              <w:ind w:right="153"/>
              <w:spacing w:after="0"/>
              <w:rPr>
                <w:sz w:val="20"/>
                <w:szCs w:val="20"/>
                <w:color w:val="auto"/>
              </w:rPr>
            </w:pPr>
            <w:r>
              <w:rPr>
                <w:rFonts w:ascii="Arial" w:cs="Arial" w:eastAsia="Arial" w:hAnsi="Arial"/>
                <w:sz w:val="18"/>
                <w:szCs w:val="18"/>
                <w:color w:val="auto"/>
              </w:rPr>
              <w:t>7,897</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95"/>
              <w:spacing w:after="0"/>
              <w:rPr>
                <w:sz w:val="20"/>
                <w:szCs w:val="20"/>
                <w:color w:val="auto"/>
              </w:rPr>
            </w:pPr>
            <w:r>
              <w:rPr>
                <w:rFonts w:ascii="Arial" w:cs="Arial" w:eastAsia="Arial" w:hAnsi="Arial"/>
                <w:sz w:val="18"/>
                <w:szCs w:val="18"/>
                <w:color w:val="auto"/>
              </w:rPr>
              <w:t>(2,940)</w:t>
            </w:r>
          </w:p>
        </w:tc>
        <w:tc>
          <w:tcPr>
            <w:tcW w:w="120" w:type="dxa"/>
            <w:vAlign w:val="bottom"/>
          </w:tcPr>
          <w:p>
            <w:pPr>
              <w:spacing w:after="0"/>
              <w:rPr>
                <w:sz w:val="24"/>
                <w:szCs w:val="24"/>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43"/>
        </w:trPr>
        <w:tc>
          <w:tcPr>
            <w:tcW w:w="2300" w:type="dxa"/>
            <w:vAlign w:val="bottom"/>
          </w:tcPr>
          <w:p>
            <w:pPr>
              <w:spacing w:after="0"/>
              <w:rPr>
                <w:sz w:val="20"/>
                <w:szCs w:val="20"/>
                <w:color w:val="auto"/>
              </w:rPr>
            </w:pPr>
            <w:r>
              <w:rPr>
                <w:rFonts w:ascii="Arial" w:cs="Arial" w:eastAsia="Arial" w:hAnsi="Arial"/>
                <w:sz w:val="18"/>
                <w:szCs w:val="18"/>
                <w:color w:val="auto"/>
              </w:rPr>
              <w:t>EBIT (loss)-adjusted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95"/>
              <w:spacing w:after="0"/>
              <w:rPr>
                <w:sz w:val="20"/>
                <w:szCs w:val="20"/>
                <w:color w:val="auto"/>
              </w:rPr>
            </w:pPr>
            <w:r>
              <w:rPr>
                <w:rFonts w:ascii="Arial" w:cs="Arial" w:eastAsia="Arial" w:hAnsi="Arial"/>
                <w:sz w:val="18"/>
                <w:szCs w:val="18"/>
                <w:color w:val="auto"/>
              </w:rPr>
              <w:t>(821)</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(17)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5"/>
              <w:spacing w:after="0"/>
              <w:rPr>
                <w:sz w:val="20"/>
                <w:szCs w:val="20"/>
                <w:color w:val="auto"/>
              </w:rPr>
            </w:pPr>
            <w:r>
              <w:rPr>
                <w:rFonts w:ascii="Arial" w:cs="Arial" w:eastAsia="Arial" w:hAnsi="Arial"/>
                <w:sz w:val="18"/>
                <w:szCs w:val="18"/>
                <w:color w:val="auto"/>
              </w:rPr>
              <w:t>(804)</w:t>
            </w: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96"/>
        </w:trPr>
        <w:tc>
          <w:tcPr>
            <w:tcW w:w="2300" w:type="dxa"/>
            <w:vAlign w:val="bottom"/>
          </w:tcPr>
          <w:p>
            <w:pPr>
              <w:spacing w:after="0"/>
              <w:rPr>
                <w:sz w:val="20"/>
                <w:szCs w:val="20"/>
                <w:color w:val="auto"/>
              </w:rPr>
            </w:pPr>
            <w:r>
              <w:rPr>
                <w:rFonts w:ascii="Arial" w:cs="Arial" w:eastAsia="Arial" w:hAnsi="Arial"/>
                <w:sz w:val="18"/>
                <w:szCs w:val="18"/>
                <w:color w:val="auto"/>
              </w:rPr>
              <w:t>EBIT (loss)-adjusted margin</w:t>
            </w:r>
          </w:p>
        </w:tc>
        <w:tc>
          <w:tcPr>
            <w:tcW w:w="1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(16.6)%</w:t>
            </w:r>
          </w:p>
        </w:tc>
        <w:tc>
          <w:tcPr>
            <w:tcW w:w="3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(0.2)%</w:t>
            </w:r>
          </w:p>
        </w:tc>
        <w:tc>
          <w:tcPr>
            <w:tcW w:w="2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300" w:type="dxa"/>
            <w:vAlign w:val="bottom"/>
          </w:tcPr>
          <w:p>
            <w:pPr>
              <w:spacing w:after="0" w:line="176" w:lineRule="exact"/>
              <w:rPr>
                <w:sz w:val="20"/>
                <w:szCs w:val="20"/>
                <w:color w:val="auto"/>
              </w:rPr>
            </w:pPr>
            <w:r>
              <w:rPr>
                <w:rFonts w:ascii="Arial" w:cs="Arial" w:eastAsia="Arial" w:hAnsi="Arial"/>
                <w:sz w:val="18"/>
                <w:szCs w:val="18"/>
                <w:i w:val="1"/>
                <w:iCs w:val="1"/>
                <w:color w:val="auto"/>
                <w:w w:val="98"/>
              </w:rPr>
              <w:t>Equity income — Automotive</w:t>
            </w:r>
          </w:p>
        </w:tc>
        <w:tc>
          <w:tcPr>
            <w:tcW w:w="180" w:type="dxa"/>
            <w:vAlign w:val="bottom"/>
            <w:vMerge w:val="restart"/>
          </w:tcPr>
          <w:p>
            <w:pPr>
              <w:jc w:val="right"/>
              <w:spacing w:after="0"/>
              <w:rPr>
                <w:sz w:val="20"/>
                <w:szCs w:val="20"/>
                <w:color w:val="auto"/>
              </w:rPr>
            </w:pPr>
            <w:r>
              <w:rPr>
                <w:rFonts w:ascii="Arial" w:cs="Arial" w:eastAsia="Arial" w:hAnsi="Arial"/>
                <w:sz w:val="18"/>
                <w:szCs w:val="18"/>
                <w:i w:val="1"/>
                <w:iCs w:val="1"/>
                <w:color w:val="auto"/>
                <w:w w:val="79"/>
              </w:rPr>
              <w:t>$</w:t>
            </w:r>
          </w:p>
        </w:tc>
        <w:tc>
          <w:tcPr>
            <w:tcW w:w="1180" w:type="dxa"/>
            <w:vAlign w:val="bottom"/>
            <w:vMerge w:val="restart"/>
          </w:tcPr>
          <w:p>
            <w:pPr>
              <w:jc w:val="right"/>
              <w:ind w:right="155"/>
              <w:spacing w:after="0"/>
              <w:rPr>
                <w:sz w:val="20"/>
                <w:szCs w:val="20"/>
                <w:color w:val="auto"/>
              </w:rPr>
            </w:pPr>
            <w:r>
              <w:rPr>
                <w:rFonts w:ascii="Arial" w:cs="Arial" w:eastAsia="Arial" w:hAnsi="Arial"/>
                <w:sz w:val="18"/>
                <w:szCs w:val="18"/>
                <w:i w:val="1"/>
                <w:iCs w:val="1"/>
                <w:color w:val="auto"/>
              </w:rPr>
              <w:t>2</w:t>
            </w:r>
          </w:p>
        </w:tc>
        <w:tc>
          <w:tcPr>
            <w:tcW w:w="300" w:type="dxa"/>
            <w:vAlign w:val="bottom"/>
            <w:vMerge w:val="restart"/>
          </w:tcPr>
          <w:p>
            <w:pPr>
              <w:jc w:val="right"/>
              <w:spacing w:after="0"/>
              <w:rPr>
                <w:sz w:val="20"/>
                <w:szCs w:val="20"/>
                <w:color w:val="auto"/>
              </w:rPr>
            </w:pPr>
            <w:r>
              <w:rPr>
                <w:rFonts w:ascii="Arial" w:cs="Arial" w:eastAsia="Arial" w:hAnsi="Arial"/>
                <w:sz w:val="18"/>
                <w:szCs w:val="18"/>
                <w:i w:val="1"/>
                <w:iCs w:val="1"/>
                <w:color w:val="auto"/>
              </w:rPr>
              <w:t>$</w:t>
            </w:r>
          </w:p>
        </w:tc>
        <w:tc>
          <w:tcPr>
            <w:tcW w:w="1180" w:type="dxa"/>
            <w:vAlign w:val="bottom"/>
            <w:vMerge w:val="restart"/>
          </w:tcPr>
          <w:p>
            <w:pPr>
              <w:jc w:val="right"/>
              <w:ind w:right="153"/>
              <w:spacing w:after="0"/>
              <w:rPr>
                <w:sz w:val="20"/>
                <w:szCs w:val="20"/>
                <w:color w:val="auto"/>
              </w:rPr>
            </w:pPr>
            <w:r>
              <w:rPr>
                <w:rFonts w:ascii="Arial" w:cs="Arial" w:eastAsia="Arial" w:hAnsi="Arial"/>
                <w:sz w:val="18"/>
                <w:szCs w:val="18"/>
                <w:i w:val="1"/>
                <w:iCs w:val="1"/>
                <w:color w:val="auto"/>
              </w:rPr>
              <w:t>611</w:t>
            </w:r>
          </w:p>
        </w:tc>
        <w:tc>
          <w:tcPr>
            <w:tcW w:w="240" w:type="dxa"/>
            <w:vAlign w:val="bottom"/>
            <w:vMerge w:val="restart"/>
          </w:tcPr>
          <w:p>
            <w:pPr>
              <w:jc w:val="right"/>
              <w:spacing w:after="0"/>
              <w:rPr>
                <w:sz w:val="20"/>
                <w:szCs w:val="20"/>
                <w:color w:val="auto"/>
              </w:rPr>
            </w:pPr>
            <w:r>
              <w:rPr>
                <w:rFonts w:ascii="Arial" w:cs="Arial" w:eastAsia="Arial" w:hAnsi="Arial"/>
                <w:sz w:val="18"/>
                <w:szCs w:val="18"/>
                <w:i w:val="1"/>
                <w:iCs w:val="1"/>
                <w:color w:val="auto"/>
              </w:rPr>
              <w:t>$</w:t>
            </w:r>
          </w:p>
        </w:tc>
        <w:tc>
          <w:tcPr>
            <w:tcW w:w="1080" w:type="dxa"/>
            <w:vAlign w:val="bottom"/>
            <w:vMerge w:val="restart"/>
          </w:tcPr>
          <w:p>
            <w:pPr>
              <w:jc w:val="right"/>
              <w:ind w:right="95"/>
              <w:spacing w:after="0"/>
              <w:rPr>
                <w:sz w:val="20"/>
                <w:szCs w:val="20"/>
                <w:color w:val="auto"/>
              </w:rPr>
            </w:pPr>
            <w:r>
              <w:rPr>
                <w:rFonts w:ascii="Arial" w:cs="Arial" w:eastAsia="Arial" w:hAnsi="Arial"/>
                <w:sz w:val="18"/>
                <w:szCs w:val="18"/>
                <w:i w:val="1"/>
                <w:iCs w:val="1"/>
                <w:color w:val="auto"/>
              </w:rPr>
              <w:t>(609)</w:t>
            </w:r>
          </w:p>
        </w:tc>
        <w:tc>
          <w:tcPr>
            <w:tcW w:w="1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i w:val="1"/>
                <w:iCs w:val="1"/>
                <w:color w:val="auto"/>
              </w:rPr>
              <w:t>(99.7)%</w:t>
            </w:r>
          </w:p>
        </w:tc>
        <w:tc>
          <w:tcPr>
            <w:tcW w:w="0" w:type="dxa"/>
            <w:vAlign w:val="bottom"/>
          </w:tcPr>
          <w:p>
            <w:pPr>
              <w:spacing w:after="0"/>
              <w:rPr>
                <w:sz w:val="1"/>
                <w:szCs w:val="1"/>
                <w:color w:val="auto"/>
              </w:rPr>
            </w:pPr>
          </w:p>
        </w:tc>
      </w:tr>
      <w:tr>
        <w:trPr>
          <w:trHeight w:val="229"/>
        </w:trPr>
        <w:tc>
          <w:tcPr>
            <w:tcW w:w="2300" w:type="dxa"/>
            <w:vAlign w:val="bottom"/>
          </w:tcPr>
          <w:p>
            <w:pPr>
              <w:ind w:left="160"/>
              <w:spacing w:after="0"/>
              <w:rPr>
                <w:sz w:val="20"/>
                <w:szCs w:val="20"/>
                <w:color w:val="auto"/>
              </w:rPr>
            </w:pPr>
            <w:r>
              <w:rPr>
                <w:rFonts w:ascii="Arial" w:cs="Arial" w:eastAsia="Arial" w:hAnsi="Arial"/>
                <w:sz w:val="18"/>
                <w:szCs w:val="18"/>
                <w:i w:val="1"/>
                <w:iCs w:val="1"/>
                <w:color w:val="auto"/>
              </w:rPr>
              <w:t>China</w:t>
            </w:r>
          </w:p>
        </w:tc>
        <w:tc>
          <w:tcPr>
            <w:tcW w:w="180" w:type="dxa"/>
            <w:vAlign w:val="bottom"/>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300" w:type="dxa"/>
            <w:vAlign w:val="bottom"/>
          </w:tcPr>
          <w:p>
            <w:pPr>
              <w:spacing w:after="0" w:line="176" w:lineRule="exact"/>
              <w:rPr>
                <w:sz w:val="20"/>
                <w:szCs w:val="20"/>
                <w:color w:val="auto"/>
              </w:rPr>
            </w:pPr>
            <w:r>
              <w:rPr>
                <w:rFonts w:ascii="Arial" w:cs="Arial" w:eastAsia="Arial" w:hAnsi="Arial"/>
                <w:sz w:val="18"/>
                <w:szCs w:val="18"/>
                <w:i w:val="1"/>
                <w:iCs w:val="1"/>
                <w:color w:val="auto"/>
              </w:rPr>
              <w:t>EBIT (loss)-adjusted —</w:t>
            </w:r>
          </w:p>
        </w:tc>
        <w:tc>
          <w:tcPr>
            <w:tcW w:w="180" w:type="dxa"/>
            <w:vAlign w:val="bottom"/>
            <w:vMerge w:val="restart"/>
          </w:tcPr>
          <w:p>
            <w:pPr>
              <w:jc w:val="right"/>
              <w:spacing w:after="0"/>
              <w:rPr>
                <w:sz w:val="20"/>
                <w:szCs w:val="20"/>
                <w:color w:val="auto"/>
              </w:rPr>
            </w:pPr>
            <w:r>
              <w:rPr>
                <w:rFonts w:ascii="Arial" w:cs="Arial" w:eastAsia="Arial" w:hAnsi="Arial"/>
                <w:sz w:val="18"/>
                <w:szCs w:val="18"/>
                <w:i w:val="1"/>
                <w:iCs w:val="1"/>
                <w:color w:val="auto"/>
                <w:w w:val="79"/>
              </w:rPr>
              <w:t>$</w:t>
            </w:r>
          </w:p>
        </w:tc>
        <w:tc>
          <w:tcPr>
            <w:tcW w:w="1180" w:type="dxa"/>
            <w:vAlign w:val="bottom"/>
            <w:vMerge w:val="restart"/>
          </w:tcPr>
          <w:p>
            <w:pPr>
              <w:jc w:val="right"/>
              <w:ind w:right="95"/>
              <w:spacing w:after="0"/>
              <w:rPr>
                <w:sz w:val="20"/>
                <w:szCs w:val="20"/>
                <w:color w:val="auto"/>
              </w:rPr>
            </w:pPr>
            <w:r>
              <w:rPr>
                <w:rFonts w:ascii="Arial" w:cs="Arial" w:eastAsia="Arial" w:hAnsi="Arial"/>
                <w:sz w:val="18"/>
                <w:szCs w:val="18"/>
                <w:i w:val="1"/>
                <w:iCs w:val="1"/>
                <w:color w:val="auto"/>
              </w:rPr>
              <w:t>(823)</w:t>
            </w:r>
          </w:p>
        </w:tc>
        <w:tc>
          <w:tcPr>
            <w:tcW w:w="300" w:type="dxa"/>
            <w:vAlign w:val="bottom"/>
            <w:vMerge w:val="restart"/>
          </w:tcPr>
          <w:p>
            <w:pPr>
              <w:jc w:val="right"/>
              <w:spacing w:after="0"/>
              <w:rPr>
                <w:sz w:val="20"/>
                <w:szCs w:val="20"/>
                <w:color w:val="auto"/>
              </w:rPr>
            </w:pPr>
            <w:r>
              <w:rPr>
                <w:rFonts w:ascii="Arial" w:cs="Arial" w:eastAsia="Arial" w:hAnsi="Arial"/>
                <w:sz w:val="18"/>
                <w:szCs w:val="18"/>
                <w:i w:val="1"/>
                <w:iCs w:val="1"/>
                <w:color w:val="auto"/>
              </w:rPr>
              <w:t>$</w:t>
            </w:r>
          </w:p>
        </w:tc>
        <w:tc>
          <w:tcPr>
            <w:tcW w:w="1180" w:type="dxa"/>
            <w:vAlign w:val="bottom"/>
            <w:vMerge w:val="restart"/>
          </w:tcPr>
          <w:p>
            <w:pPr>
              <w:jc w:val="right"/>
              <w:ind w:right="113"/>
              <w:spacing w:after="0"/>
              <w:rPr>
                <w:sz w:val="20"/>
                <w:szCs w:val="20"/>
                <w:color w:val="auto"/>
              </w:rPr>
            </w:pPr>
            <w:r>
              <w:rPr>
                <w:rFonts w:ascii="Arial" w:cs="Arial" w:eastAsia="Arial" w:hAnsi="Arial"/>
                <w:sz w:val="18"/>
                <w:szCs w:val="18"/>
                <w:i w:val="1"/>
                <w:iCs w:val="1"/>
                <w:color w:val="auto"/>
              </w:rPr>
              <w:t>(628)</w:t>
            </w:r>
          </w:p>
        </w:tc>
        <w:tc>
          <w:tcPr>
            <w:tcW w:w="240" w:type="dxa"/>
            <w:vAlign w:val="bottom"/>
            <w:vMerge w:val="restart"/>
          </w:tcPr>
          <w:p>
            <w:pPr>
              <w:jc w:val="right"/>
              <w:spacing w:after="0"/>
              <w:rPr>
                <w:sz w:val="20"/>
                <w:szCs w:val="20"/>
                <w:color w:val="auto"/>
              </w:rPr>
            </w:pPr>
            <w:r>
              <w:rPr>
                <w:rFonts w:ascii="Arial" w:cs="Arial" w:eastAsia="Arial" w:hAnsi="Arial"/>
                <w:sz w:val="18"/>
                <w:szCs w:val="18"/>
                <w:i w:val="1"/>
                <w:iCs w:val="1"/>
                <w:color w:val="auto"/>
              </w:rPr>
              <w:t>$</w:t>
            </w:r>
          </w:p>
        </w:tc>
        <w:tc>
          <w:tcPr>
            <w:tcW w:w="1080" w:type="dxa"/>
            <w:vAlign w:val="bottom"/>
            <w:vMerge w:val="restart"/>
          </w:tcPr>
          <w:p>
            <w:pPr>
              <w:jc w:val="right"/>
              <w:ind w:right="95"/>
              <w:spacing w:after="0"/>
              <w:rPr>
                <w:sz w:val="20"/>
                <w:szCs w:val="20"/>
                <w:color w:val="auto"/>
              </w:rPr>
            </w:pPr>
            <w:r>
              <w:rPr>
                <w:rFonts w:ascii="Arial" w:cs="Arial" w:eastAsia="Arial" w:hAnsi="Arial"/>
                <w:sz w:val="18"/>
                <w:szCs w:val="18"/>
                <w:i w:val="1"/>
                <w:iCs w:val="1"/>
                <w:color w:val="auto"/>
              </w:rPr>
              <w:t>(195)</w:t>
            </w:r>
          </w:p>
        </w:tc>
        <w:tc>
          <w:tcPr>
            <w:tcW w:w="1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i w:val="1"/>
                <w:iCs w:val="1"/>
                <w:color w:val="auto"/>
              </w:rPr>
              <w:t>(31.1)%</w:t>
            </w:r>
          </w:p>
        </w:tc>
        <w:tc>
          <w:tcPr>
            <w:tcW w:w="0" w:type="dxa"/>
            <w:vAlign w:val="bottom"/>
          </w:tcPr>
          <w:p>
            <w:pPr>
              <w:spacing w:after="0"/>
              <w:rPr>
                <w:sz w:val="1"/>
                <w:szCs w:val="1"/>
                <w:color w:val="auto"/>
              </w:rPr>
            </w:pPr>
          </w:p>
        </w:tc>
      </w:tr>
      <w:tr>
        <w:trPr>
          <w:trHeight w:val="230"/>
        </w:trPr>
        <w:tc>
          <w:tcPr>
            <w:tcW w:w="2300" w:type="dxa"/>
            <w:vAlign w:val="bottom"/>
          </w:tcPr>
          <w:p>
            <w:pPr>
              <w:ind w:left="160"/>
              <w:spacing w:after="0"/>
              <w:rPr>
                <w:sz w:val="20"/>
                <w:szCs w:val="20"/>
                <w:color w:val="auto"/>
              </w:rPr>
            </w:pPr>
            <w:r>
              <w:rPr>
                <w:rFonts w:ascii="Arial" w:cs="Arial" w:eastAsia="Arial" w:hAnsi="Arial"/>
                <w:sz w:val="18"/>
                <w:szCs w:val="18"/>
                <w:i w:val="1"/>
                <w:iCs w:val="1"/>
                <w:color w:val="auto"/>
              </w:rPr>
              <w:t>excluding Equity income</w:t>
            </w:r>
          </w:p>
        </w:tc>
        <w:tc>
          <w:tcPr>
            <w:tcW w:w="180" w:type="dxa"/>
            <w:vAlign w:val="bottom"/>
            <w:vMerge w:val="continue"/>
          </w:tcPr>
          <w:p>
            <w:pPr>
              <w:spacing w:after="0"/>
              <w:rPr>
                <w:sz w:val="20"/>
                <w:szCs w:val="20"/>
                <w:color w:val="auto"/>
              </w:rPr>
            </w:pPr>
          </w:p>
        </w:tc>
        <w:tc>
          <w:tcPr>
            <w:tcW w:w="1180" w:type="dxa"/>
            <w:vAlign w:val="bottom"/>
            <w:vMerge w:val="continue"/>
          </w:tcPr>
          <w:p>
            <w:pPr>
              <w:spacing w:after="0"/>
              <w:rPr>
                <w:sz w:val="20"/>
                <w:szCs w:val="20"/>
                <w:color w:val="auto"/>
              </w:rPr>
            </w:pPr>
          </w:p>
        </w:tc>
        <w:tc>
          <w:tcPr>
            <w:tcW w:w="300" w:type="dxa"/>
            <w:vAlign w:val="bottom"/>
            <w:vMerge w:val="continue"/>
          </w:tcPr>
          <w:p>
            <w:pPr>
              <w:spacing w:after="0"/>
              <w:rPr>
                <w:sz w:val="20"/>
                <w:szCs w:val="20"/>
                <w:color w:val="auto"/>
              </w:rPr>
            </w:pPr>
          </w:p>
        </w:tc>
        <w:tc>
          <w:tcPr>
            <w:tcW w:w="1180" w:type="dxa"/>
            <w:vAlign w:val="bottom"/>
            <w:vMerge w:val="continue"/>
          </w:tcPr>
          <w:p>
            <w:pPr>
              <w:spacing w:after="0"/>
              <w:rPr>
                <w:sz w:val="20"/>
                <w:szCs w:val="20"/>
                <w:color w:val="auto"/>
              </w:rPr>
            </w:pPr>
          </w:p>
        </w:tc>
        <w:tc>
          <w:tcPr>
            <w:tcW w:w="240" w:type="dxa"/>
            <w:vAlign w:val="bottom"/>
            <w:vMerge w:val="continue"/>
          </w:tcPr>
          <w:p>
            <w:pPr>
              <w:spacing w:after="0"/>
              <w:rPr>
                <w:sz w:val="20"/>
                <w:szCs w:val="20"/>
                <w:color w:val="auto"/>
              </w:rPr>
            </w:pPr>
          </w:p>
        </w:tc>
        <w:tc>
          <w:tcPr>
            <w:tcW w:w="10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2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8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(Vehicles in thousands)</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2300" w:type="dxa"/>
            <w:vAlign w:val="bottom"/>
          </w:tcPr>
          <w:p>
            <w:pPr>
              <w:spacing w:after="0"/>
              <w:rPr>
                <w:sz w:val="20"/>
                <w:szCs w:val="20"/>
                <w:color w:val="auto"/>
              </w:rPr>
            </w:pPr>
            <w:r>
              <w:rPr>
                <w:rFonts w:ascii="Arial" w:cs="Arial" w:eastAsia="Arial" w:hAnsi="Arial"/>
                <w:sz w:val="18"/>
                <w:szCs w:val="18"/>
                <w:color w:val="auto"/>
              </w:rPr>
              <w:t>Wholesale vehicle sales</w:t>
            </w:r>
          </w:p>
        </w:tc>
        <w:tc>
          <w:tcPr>
            <w:tcW w:w="180" w:type="dxa"/>
            <w:vAlign w:val="bottom"/>
          </w:tcPr>
          <w:p>
            <w:pPr>
              <w:spacing w:after="0"/>
              <w:rPr>
                <w:sz w:val="22"/>
                <w:szCs w:val="22"/>
                <w:color w:val="auto"/>
              </w:rPr>
            </w:pPr>
          </w:p>
        </w:tc>
        <w:tc>
          <w:tcPr>
            <w:tcW w:w="1180" w:type="dxa"/>
            <w:vAlign w:val="bottom"/>
          </w:tcPr>
          <w:p>
            <w:pPr>
              <w:jc w:val="right"/>
              <w:ind w:right="155"/>
              <w:spacing w:after="0"/>
              <w:rPr>
                <w:sz w:val="20"/>
                <w:szCs w:val="20"/>
                <w:color w:val="auto"/>
              </w:rPr>
            </w:pPr>
            <w:r>
              <w:rPr>
                <w:rFonts w:ascii="Arial" w:cs="Arial" w:eastAsia="Arial" w:hAnsi="Arial"/>
                <w:sz w:val="18"/>
                <w:szCs w:val="18"/>
                <w:color w:val="auto"/>
              </w:rPr>
              <w:t>281</w:t>
            </w:r>
          </w:p>
        </w:tc>
        <w:tc>
          <w:tcPr>
            <w:tcW w:w="300" w:type="dxa"/>
            <w:vAlign w:val="bottom"/>
          </w:tcPr>
          <w:p>
            <w:pPr>
              <w:spacing w:after="0"/>
              <w:rPr>
                <w:sz w:val="22"/>
                <w:szCs w:val="22"/>
                <w:color w:val="auto"/>
              </w:rPr>
            </w:pPr>
          </w:p>
        </w:tc>
        <w:tc>
          <w:tcPr>
            <w:tcW w:w="1180" w:type="dxa"/>
            <w:vAlign w:val="bottom"/>
          </w:tcPr>
          <w:p>
            <w:pPr>
              <w:jc w:val="right"/>
              <w:ind w:right="153"/>
              <w:spacing w:after="0"/>
              <w:rPr>
                <w:sz w:val="20"/>
                <w:szCs w:val="20"/>
                <w:color w:val="auto"/>
              </w:rPr>
            </w:pPr>
            <w:r>
              <w:rPr>
                <w:rFonts w:ascii="Arial" w:cs="Arial" w:eastAsia="Arial" w:hAnsi="Arial"/>
                <w:sz w:val="18"/>
                <w:szCs w:val="18"/>
                <w:color w:val="auto"/>
              </w:rPr>
              <w:t>495</w:t>
            </w:r>
          </w:p>
        </w:tc>
        <w:tc>
          <w:tcPr>
            <w:tcW w:w="240" w:type="dxa"/>
            <w:vAlign w:val="bottom"/>
          </w:tcPr>
          <w:p>
            <w:pPr>
              <w:spacing w:after="0"/>
              <w:rPr>
                <w:sz w:val="22"/>
                <w:szCs w:val="22"/>
                <w:color w:val="auto"/>
              </w:rPr>
            </w:pPr>
          </w:p>
        </w:tc>
        <w:tc>
          <w:tcPr>
            <w:tcW w:w="1080" w:type="dxa"/>
            <w:vAlign w:val="bottom"/>
          </w:tcPr>
          <w:p>
            <w:pPr>
              <w:jc w:val="right"/>
              <w:ind w:right="95"/>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bl>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n.m. = not meaningful</w:t>
      </w:r>
    </w:p>
    <w:p>
      <w:pPr>
        <w:spacing w:after="0" w:line="20" w:lineRule="exact"/>
        <w:rPr>
          <w:sz w:val="20"/>
          <w:szCs w:val="20"/>
          <w:color w:val="auto"/>
        </w:rPr>
      </w:pPr>
      <w:r>
        <w:rPr>
          <w:sz w:val="20"/>
          <w:szCs w:val="20"/>
          <w:color w:val="auto"/>
        </w:rPr>
        <w:br w:type="column"/>
      </w:r>
    </w:p>
    <w:p>
      <w:pPr>
        <w:jc w:val="center"/>
        <w:ind w:right="20"/>
        <w:spacing w:after="0"/>
        <w:rPr>
          <w:sz w:val="20"/>
          <w:szCs w:val="20"/>
          <w:color w:val="auto"/>
        </w:rPr>
      </w:pPr>
      <w:r>
        <w:rPr>
          <w:rFonts w:ascii="Arial" w:cs="Arial" w:eastAsia="Arial" w:hAnsi="Arial"/>
          <w:sz w:val="14"/>
          <w:szCs w:val="14"/>
          <w:b w:val="1"/>
          <w:bCs w:val="1"/>
          <w:color w:val="auto"/>
        </w:rPr>
        <w:t>Variance Due To</w:t>
      </w:r>
    </w:p>
    <w:p>
      <w:pPr>
        <w:spacing w:after="0" w:line="55" w:lineRule="exact"/>
        <w:rPr>
          <w:sz w:val="20"/>
          <w:szCs w:val="20"/>
          <w:color w:val="auto"/>
        </w:rPr>
      </w:pPr>
    </w:p>
    <w:p>
      <w:pPr>
        <w:ind w:left="100"/>
        <w:spacing w:after="0"/>
        <w:tabs>
          <w:tab w:leader="none" w:pos="940" w:val="left"/>
          <w:tab w:leader="none" w:pos="1620" w:val="left"/>
          <w:tab w:leader="none" w:pos="2360" w:val="left"/>
          <w:tab w:leader="none" w:pos="3040" w:val="left"/>
        </w:tabs>
        <w:rPr>
          <w:sz w:val="20"/>
          <w:szCs w:val="20"/>
          <w:color w:val="auto"/>
        </w:rPr>
      </w:pPr>
      <w:r>
        <w:rPr>
          <w:rFonts w:ascii="Arial" w:cs="Arial" w:eastAsia="Arial" w:hAnsi="Arial"/>
          <w:sz w:val="14"/>
          <w:szCs w:val="14"/>
          <w:b w:val="1"/>
          <w:bCs w:val="1"/>
          <w:color w:val="auto"/>
        </w:rPr>
        <w:t>Volume</w:t>
      </w:r>
      <w:r>
        <w:rPr>
          <w:sz w:val="20"/>
          <w:szCs w:val="20"/>
          <w:color w:val="auto"/>
        </w:rPr>
        <w:tab/>
      </w:r>
      <w:r>
        <w:rPr>
          <w:rFonts w:ascii="Arial" w:cs="Arial" w:eastAsia="Arial" w:hAnsi="Arial"/>
          <w:sz w:val="14"/>
          <w:szCs w:val="14"/>
          <w:b w:val="1"/>
          <w:bCs w:val="1"/>
          <w:color w:val="auto"/>
        </w:rPr>
        <w:t>Mix</w:t>
      </w:r>
      <w:r>
        <w:rPr>
          <w:sz w:val="20"/>
          <w:szCs w:val="20"/>
          <w:color w:val="auto"/>
        </w:rPr>
        <w:tab/>
      </w:r>
      <w:r>
        <w:rPr>
          <w:rFonts w:ascii="Arial" w:cs="Arial" w:eastAsia="Arial" w:hAnsi="Arial"/>
          <w:sz w:val="14"/>
          <w:szCs w:val="14"/>
          <w:b w:val="1"/>
          <w:bCs w:val="1"/>
          <w:color w:val="auto"/>
        </w:rPr>
        <w:t>Price</w:t>
      </w:r>
      <w:r>
        <w:rPr>
          <w:sz w:val="20"/>
          <w:szCs w:val="20"/>
          <w:color w:val="auto"/>
        </w:rPr>
        <w:tab/>
      </w:r>
      <w:r>
        <w:rPr>
          <w:rFonts w:ascii="Arial" w:cs="Arial" w:eastAsia="Arial" w:hAnsi="Arial"/>
          <w:sz w:val="14"/>
          <w:szCs w:val="14"/>
          <w:b w:val="1"/>
          <w:bCs w:val="1"/>
          <w:color w:val="auto"/>
        </w:rPr>
        <w:t>Cost</w:t>
      </w:r>
      <w:r>
        <w:rPr>
          <w:sz w:val="20"/>
          <w:szCs w:val="20"/>
          <w:color w:val="auto"/>
        </w:rPr>
        <w:tab/>
      </w:r>
      <w:r>
        <w:rPr>
          <w:rFonts w:ascii="Arial" w:cs="Arial" w:eastAsia="Arial" w:hAnsi="Arial"/>
          <w:sz w:val="13"/>
          <w:szCs w:val="13"/>
          <w:b w:val="1"/>
          <w:bCs w:val="1"/>
          <w:color w:val="auto"/>
        </w:rPr>
        <w:t>Other</w:t>
      </w:r>
    </w:p>
    <w:p>
      <w:pPr>
        <w:spacing w:after="0" w:line="55" w:lineRule="exact"/>
        <w:rPr>
          <w:sz w:val="20"/>
          <w:szCs w:val="20"/>
          <w:color w:val="auto"/>
        </w:rPr>
      </w:pPr>
    </w:p>
    <w:p>
      <w:pPr>
        <w:ind w:left="1180"/>
        <w:spacing w:after="0"/>
        <w:rPr>
          <w:sz w:val="20"/>
          <w:szCs w:val="20"/>
          <w:color w:val="auto"/>
        </w:rPr>
      </w:pPr>
      <w:r>
        <w:rPr>
          <w:rFonts w:ascii="Arial" w:cs="Arial" w:eastAsia="Arial" w:hAnsi="Arial"/>
          <w:sz w:val="14"/>
          <w:szCs w:val="14"/>
          <w:b w:val="1"/>
          <w:bCs w:val="1"/>
          <w:color w:val="auto"/>
        </w:rPr>
        <w:t>(Dollars in billions)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(2.8)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0.6</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 (0.7)</w:t>
            </w:r>
          </w:p>
        </w:tc>
      </w:tr>
      <w:tr>
        <w:trPr>
          <w:trHeight w:val="270"/>
        </w:trPr>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(0.3)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0.1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50"/>
              <w:spacing w:after="0"/>
              <w:rPr>
                <w:sz w:val="20"/>
                <w:szCs w:val="20"/>
                <w:color w:val="auto"/>
              </w:rPr>
            </w:pPr>
            <w:r>
              <w:rPr>
                <w:rFonts w:ascii="Arial" w:cs="Arial" w:eastAsia="Arial" w:hAnsi="Arial"/>
                <w:sz w:val="18"/>
                <w:szCs w:val="18"/>
                <w:color w:val="auto"/>
              </w:rPr>
              <w:t>0.1</w:t>
            </w:r>
          </w:p>
        </w:tc>
        <w:tc>
          <w:tcPr>
            <w:tcW w:w="620" w:type="dxa"/>
            <w:vAlign w:val="bottom"/>
          </w:tcPr>
          <w:p>
            <w:pPr>
              <w:jc w:val="right"/>
              <w:spacing w:after="0"/>
              <w:rPr>
                <w:sz w:val="20"/>
                <w:szCs w:val="20"/>
                <w:color w:val="auto"/>
              </w:rPr>
            </w:pPr>
            <w:r>
              <w:rPr>
                <w:rFonts w:ascii="Arial" w:cs="Arial" w:eastAsia="Arial" w:hAnsi="Arial"/>
                <w:sz w:val="18"/>
                <w:szCs w:val="18"/>
                <w:color w:val="auto"/>
              </w:rPr>
              <w:t>$ (0.8)</w:t>
            </w:r>
          </w:p>
        </w:tc>
      </w:tr>
    </w:tbl>
    <w:p>
      <w:pPr>
        <w:spacing w:after="0" w:line="2251" w:lineRule="exact"/>
        <w:rPr>
          <w:sz w:val="20"/>
          <w:szCs w:val="20"/>
          <w:color w:val="auto"/>
        </w:rPr>
      </w:pPr>
    </w:p>
    <w:p>
      <w:pPr>
        <w:sectPr>
          <w:pgSz w:w="11900" w:h="16838" w:orient="portrait"/>
          <w:cols w:equalWidth="0" w:num="2">
            <w:col w:w="7480" w:space="220"/>
            <w:col w:w="3540"/>
          </w:cols>
          <w:pgMar w:left="320" w:top="125" w:right="339" w:bottom="1440" w:gutter="0" w:footer="0" w:header="0"/>
          <w:type w:val="continuous"/>
        </w:sectPr>
      </w:pPr>
    </w:p>
    <w:p>
      <w:pPr>
        <w:spacing w:after="0" w:line="30"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vehicle sales of our Automotive China JVs are not recorded in Total net sales and revenue. The results of our joint ventures are recorded in Equity income, which is included in EBIT (loss)-adjusted above.</w:t>
      </w:r>
    </w:p>
    <w:p>
      <w:pPr>
        <w:spacing w:after="0" w:line="197"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b w:val="1"/>
          <w:bCs w:val="1"/>
          <w:i w:val="1"/>
          <w:iCs w:val="1"/>
          <w:color w:val="auto"/>
        </w:rPr>
        <w:t xml:space="preserve">GMI Total Net Sales and Revenue </w:t>
      </w:r>
      <w:r>
        <w:rPr>
          <w:rFonts w:ascii="Arial" w:cs="Arial" w:eastAsia="Arial" w:hAnsi="Arial"/>
          <w:sz w:val="17"/>
          <w:szCs w:val="17"/>
          <w:color w:val="auto"/>
        </w:rPr>
        <w:t>In the three months ended June 30, 2020, Total net sales and revenue decreased primarily due to: (1) decreased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wholesale volumes primarily due to lower industry volumes due to the COVID-19 pandemic primarily in Brazil and Asia/Pacific; and (2) unfavorable Other primarily due to the foreign currency effect resulting from the weakening of the Brazilian Real and Argentine Peso against the U.S. Dollar and decreased parts and accessories sales, partially offset by (3) favorable mix in Brazil partially offset by unfavorable mix in the Middle East.</w:t>
      </w:r>
    </w:p>
    <w:p>
      <w:pPr>
        <w:spacing w:after="0" w:line="198" w:lineRule="exact"/>
        <w:rPr>
          <w:sz w:val="20"/>
          <w:szCs w:val="20"/>
          <w:color w:val="auto"/>
        </w:rPr>
      </w:pPr>
    </w:p>
    <w:p>
      <w:pPr>
        <w:jc w:val="both"/>
        <w:ind w:firstLine="162"/>
        <w:spacing w:after="0" w:line="243" w:lineRule="auto"/>
        <w:rPr>
          <w:sz w:val="20"/>
          <w:szCs w:val="20"/>
          <w:color w:val="auto"/>
        </w:rPr>
      </w:pPr>
      <w:r>
        <w:rPr>
          <w:rFonts w:ascii="Arial" w:cs="Arial" w:eastAsia="Arial" w:hAnsi="Arial"/>
          <w:sz w:val="18"/>
          <w:szCs w:val="18"/>
          <w:color w:val="auto"/>
        </w:rPr>
        <w:t>In the six months ended June 30, 2020, Total net sales and revenue decreased primarily due to: (1) decreased wholesale volumes primarily due to lower industry volumes and the COVID-19 pandemic primarily in Brazil and Asia/Pacific; and (2) unfavorable Other primarily due to the foreign currency effect resulting from the weakening of the Brazilian Real and Argentine Peso against the U.S. Dollar and decreased parts and accessories sales, partially offset by (3) favorable mix in Brazil and Asia/Pacific.</w:t>
      </w:r>
    </w:p>
    <w:p>
      <w:pPr>
        <w:spacing w:after="0" w:line="215"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 xml:space="preserve">GMI EBIT (Loss)-Adjusted </w:t>
      </w:r>
      <w:r>
        <w:rPr>
          <w:rFonts w:ascii="Arial" w:cs="Arial" w:eastAsia="Arial" w:hAnsi="Arial"/>
          <w:sz w:val="17"/>
          <w:szCs w:val="17"/>
          <w:color w:val="auto"/>
        </w:rPr>
        <w:t>In the three months ended June 30, 2020, EBIT (loss)-adjusted increased primarily due to unfavorable volume.</w:t>
      </w:r>
    </w:p>
    <w:p>
      <w:pPr>
        <w:spacing w:after="0" w:line="264" w:lineRule="exact"/>
        <w:rPr>
          <w:sz w:val="20"/>
          <w:szCs w:val="20"/>
          <w:color w:val="auto"/>
        </w:rPr>
      </w:pPr>
    </w:p>
    <w:p>
      <w:pPr>
        <w:jc w:val="both"/>
        <w:ind w:firstLine="162"/>
        <w:spacing w:after="0" w:line="248" w:lineRule="auto"/>
        <w:rPr>
          <w:sz w:val="20"/>
          <w:szCs w:val="20"/>
          <w:color w:val="auto"/>
        </w:rPr>
      </w:pPr>
      <w:r>
        <w:rPr>
          <w:rFonts w:ascii="Arial" w:cs="Arial" w:eastAsia="Arial" w:hAnsi="Arial"/>
          <w:sz w:val="18"/>
          <w:szCs w:val="18"/>
          <w:color w:val="auto"/>
        </w:rPr>
        <w:t>In the six months ended June 30, 2020, EBIT (loss)-adjusted increased primarily due to: (1) unfavorable volume; and (2) unfavorable Other primarily due to decreased equity income and the foreign currency effect resulting from the weakening of the Argentine Peso and other currencies against the U.S. Dollar; partially offset by (3) favorable Cost primarily due to decreased advertising.</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81"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We view the Chinese market as important to our global growth strategy and are employing a multi-brand strategy led by our Buick, Chevrolet and Cadillac brands. In the coming years we plan to leverage our global architectures to increase the number of product offerings under the Buick, Chevrolet and Cadillac brands in China and continue to grow our business under the local Baojun and Wuling brands, with Baojun focusing its expansion in less developed cities and markets. We operate in the Chinese market through a number of joint ventures and maintaining strong relationships with our joint venture partners is an important part of our China growth strategy.</w:t>
      </w:r>
    </w:p>
    <w:p>
      <w:pPr>
        <w:spacing w:after="0" w:line="21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certain key operational and financial data for the Automotive China JVs (vehicles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555"/>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635"/>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5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2020</w:t>
            </w:r>
          </w:p>
        </w:tc>
        <w:tc>
          <w:tcPr>
            <w:tcW w:w="160" w:type="dxa"/>
            <w:vAlign w:val="bottom"/>
          </w:tcPr>
          <w:p>
            <w:pPr>
              <w:spacing w:after="0"/>
              <w:rPr>
                <w:sz w:val="17"/>
                <w:szCs w:val="17"/>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 2019</w:t>
            </w:r>
          </w:p>
        </w:tc>
        <w:tc>
          <w:tcPr>
            <w:tcW w:w="160" w:type="dxa"/>
            <w:vAlign w:val="bottom"/>
          </w:tcPr>
          <w:p>
            <w:pPr>
              <w:spacing w:after="0"/>
              <w:rPr>
                <w:sz w:val="17"/>
                <w:szCs w:val="17"/>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2020</w:t>
            </w:r>
          </w:p>
        </w:tc>
        <w:tc>
          <w:tcPr>
            <w:tcW w:w="160" w:type="dxa"/>
            <w:vAlign w:val="bottom"/>
          </w:tcPr>
          <w:p>
            <w:pPr>
              <w:spacing w:after="0"/>
              <w:rPr>
                <w:sz w:val="17"/>
                <w:szCs w:val="17"/>
                <w:color w:val="auto"/>
              </w:rPr>
            </w:pPr>
          </w:p>
        </w:tc>
        <w:tc>
          <w:tcPr>
            <w:tcW w:w="1080" w:type="dxa"/>
            <w:vAlign w:val="bottom"/>
          </w:tcPr>
          <w:p>
            <w:pPr>
              <w:jc w:val="right"/>
              <w:ind w:right="115"/>
              <w:spacing w:after="0"/>
              <w:rPr>
                <w:sz w:val="20"/>
                <w:szCs w:val="20"/>
                <w:color w:val="auto"/>
              </w:rPr>
            </w:pPr>
            <w:r>
              <w:rPr>
                <w:rFonts w:ascii="Arial" w:cs="Arial" w:eastAsia="Arial" w:hAnsi="Arial"/>
                <w:sz w:val="14"/>
                <w:szCs w:val="14"/>
                <w:b w:val="1"/>
                <w:bCs w:val="1"/>
                <w:color w:val="auto"/>
                <w:w w:val="94"/>
              </w:rPr>
              <w:t>June 30, 2019</w:t>
            </w:r>
          </w:p>
        </w:tc>
      </w:tr>
      <w:tr>
        <w:trPr>
          <w:trHeight w:val="270"/>
        </w:trPr>
        <w:tc>
          <w:tcPr>
            <w:tcW w:w="5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1"/>
              </w:rPr>
              <w:t>Wholesale vehicle sales, including vehicles exported to markets outside of China</w:t>
            </w:r>
          </w:p>
        </w:tc>
        <w:tc>
          <w:tcPr>
            <w:tcW w:w="1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733</w:t>
            </w: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731</w:t>
            </w: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1,075</w:t>
            </w: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1,587</w:t>
            </w:r>
          </w:p>
        </w:tc>
      </w:tr>
      <w:tr>
        <w:trPr>
          <w:trHeight w:val="243"/>
        </w:trPr>
        <w:tc>
          <w:tcPr>
            <w:tcW w:w="5940" w:type="dxa"/>
            <w:vAlign w:val="bottom"/>
          </w:tcPr>
          <w:p>
            <w:pPr>
              <w:ind w:left="20"/>
              <w:spacing w:after="0"/>
              <w:rPr>
                <w:sz w:val="20"/>
                <w:szCs w:val="20"/>
                <w:color w:val="auto"/>
              </w:rPr>
            </w:pPr>
            <w:r>
              <w:rPr>
                <w:rFonts w:ascii="Arial" w:cs="Arial" w:eastAsia="Arial" w:hAnsi="Arial"/>
                <w:sz w:val="18"/>
                <w:szCs w:val="18"/>
                <w:color w:val="auto"/>
              </w:rPr>
              <w:t>Total net sales and revenue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57"/>
              <w:spacing w:after="0"/>
              <w:rPr>
                <w:sz w:val="20"/>
                <w:szCs w:val="20"/>
                <w:color w:val="auto"/>
              </w:rPr>
            </w:pPr>
            <w:r>
              <w:rPr>
                <w:rFonts w:ascii="Arial" w:cs="Arial" w:eastAsia="Arial" w:hAnsi="Arial"/>
                <w:sz w:val="18"/>
                <w:szCs w:val="18"/>
                <w:color w:val="auto"/>
              </w:rPr>
              <w:t>9,239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75"/>
              <w:spacing w:after="0"/>
              <w:rPr>
                <w:sz w:val="20"/>
                <w:szCs w:val="20"/>
                <w:color w:val="auto"/>
              </w:rPr>
            </w:pPr>
            <w:r>
              <w:rPr>
                <w:rFonts w:ascii="Arial" w:cs="Arial" w:eastAsia="Arial" w:hAnsi="Arial"/>
                <w:sz w:val="18"/>
                <w:szCs w:val="18"/>
                <w:color w:val="auto"/>
              </w:rPr>
              <w:t>9,002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57"/>
              <w:spacing w:after="0"/>
              <w:rPr>
                <w:sz w:val="20"/>
                <w:szCs w:val="20"/>
                <w:color w:val="auto"/>
              </w:rPr>
            </w:pPr>
            <w:r>
              <w:rPr>
                <w:rFonts w:ascii="Arial" w:cs="Arial" w:eastAsia="Arial" w:hAnsi="Arial"/>
                <w:sz w:val="18"/>
                <w:szCs w:val="18"/>
                <w:color w:val="auto"/>
              </w:rPr>
              <w:t>13,560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75"/>
              <w:spacing w:after="0"/>
              <w:rPr>
                <w:sz w:val="20"/>
                <w:szCs w:val="20"/>
                <w:color w:val="auto"/>
              </w:rPr>
            </w:pPr>
            <w:r>
              <w:rPr>
                <w:rFonts w:ascii="Arial" w:cs="Arial" w:eastAsia="Arial" w:hAnsi="Arial"/>
                <w:sz w:val="18"/>
                <w:szCs w:val="18"/>
                <w:color w:val="auto"/>
              </w:rPr>
              <w:t>19,148</w:t>
            </w:r>
          </w:p>
        </w:tc>
      </w:tr>
      <w:tr>
        <w:trPr>
          <w:trHeight w:val="27"/>
        </w:trPr>
        <w:tc>
          <w:tcPr>
            <w:tcW w:w="5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3"/>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562</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499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214</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1,266</w:t>
            </w:r>
          </w:p>
        </w:tc>
      </w:tr>
      <w:tr>
        <w:trPr>
          <w:trHeight w:val="27"/>
        </w:trPr>
        <w:tc>
          <w:tcPr>
            <w:tcW w:w="59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Cruise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6686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6686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19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44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ind w:left="120"/>
              <w:spacing w:after="0"/>
              <w:rPr>
                <w:sz w:val="20"/>
                <w:szCs w:val="20"/>
                <w:color w:val="auto"/>
              </w:rPr>
            </w:pPr>
            <w:r>
              <w:rPr>
                <w:rFonts w:ascii="Arial" w:cs="Arial" w:eastAsia="Arial" w:hAnsi="Arial"/>
                <w:sz w:val="14"/>
                <w:szCs w:val="14"/>
                <w:b w:val="1"/>
                <w:bCs w:val="1"/>
                <w:color w:val="auto"/>
              </w:rPr>
              <w:t>Favorable /</w:t>
            </w: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9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4"/>
              <w:spacing w:after="0"/>
              <w:rPr>
                <w:sz w:val="20"/>
                <w:szCs w:val="20"/>
                <w:color w:val="auto"/>
              </w:rPr>
            </w:pPr>
            <w:r>
              <w:rPr>
                <w:rFonts w:ascii="Arial" w:cs="Arial" w:eastAsia="Arial" w:hAnsi="Arial"/>
                <w:sz w:val="14"/>
                <w:szCs w:val="14"/>
                <w:b w:val="1"/>
                <w:bCs w:val="1"/>
                <w:color w:val="auto"/>
                <w:w w:val="90"/>
              </w:rPr>
              <w:t>June 30, 2020</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w w:val="92"/>
              </w:rPr>
              <w:t>June 30, 2019</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64"/>
              <w:spacing w:after="0"/>
              <w:rPr>
                <w:sz w:val="20"/>
                <w:szCs w:val="20"/>
                <w:color w:val="auto"/>
              </w:rPr>
            </w:pPr>
            <w:r>
              <w:rPr>
                <w:rFonts w:ascii="Arial" w:cs="Arial" w:eastAsia="Arial" w:hAnsi="Arial"/>
                <w:sz w:val="14"/>
                <w:szCs w:val="14"/>
                <w:b w:val="1"/>
                <w:bCs w:val="1"/>
                <w:color w:val="auto"/>
                <w:w w:val="97"/>
              </w:rPr>
              <w:t>(Unfavorable)</w:t>
            </w:r>
          </w:p>
        </w:tc>
        <w:tc>
          <w:tcPr>
            <w:tcW w:w="100" w:type="dxa"/>
            <w:vAlign w:val="bottom"/>
          </w:tcPr>
          <w:p>
            <w:pPr>
              <w:spacing w:after="0"/>
              <w:rPr>
                <w:sz w:val="17"/>
                <w:szCs w:val="17"/>
                <w:color w:val="auto"/>
              </w:rPr>
            </w:pPr>
          </w:p>
        </w:tc>
        <w:tc>
          <w:tcPr>
            <w:tcW w:w="64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1940" w:type="dxa"/>
            <w:vAlign w:val="bottom"/>
          </w:tcPr>
          <w:p>
            <w:pPr>
              <w:spacing w:after="0" w:line="152" w:lineRule="exact"/>
              <w:rPr>
                <w:sz w:val="20"/>
                <w:szCs w:val="20"/>
                <w:color w:val="auto"/>
              </w:rPr>
            </w:pPr>
            <w:r>
              <w:rPr>
                <w:rFonts w:ascii="Arial" w:cs="Arial" w:eastAsia="Arial" w:hAnsi="Arial"/>
                <w:sz w:val="16"/>
                <w:szCs w:val="16"/>
                <w:color w:val="auto"/>
              </w:rPr>
              <w:t>Total net sales and</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vMerge w:val="restart"/>
          </w:tcPr>
          <w:p>
            <w:pPr>
              <w:jc w:val="right"/>
              <w:ind w:right="84"/>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vMerge w:val="restart"/>
          </w:tcPr>
          <w:p>
            <w:pPr>
              <w:jc w:val="right"/>
              <w:ind w:right="62"/>
              <w:spacing w:after="0"/>
              <w:rPr>
                <w:sz w:val="20"/>
                <w:szCs w:val="20"/>
                <w:color w:val="auto"/>
              </w:rPr>
            </w:pPr>
            <w:r>
              <w:rPr>
                <w:rFonts w:ascii="Arial" w:cs="Arial" w:eastAsia="Arial" w:hAnsi="Arial"/>
                <w:sz w:val="16"/>
                <w:szCs w:val="16"/>
                <w:color w:val="auto"/>
              </w:rPr>
              <w:t>25</w:t>
            </w:r>
          </w:p>
        </w:tc>
        <w:tc>
          <w:tcPr>
            <w:tcW w:w="22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w:t>
            </w:r>
          </w:p>
        </w:tc>
        <w:tc>
          <w:tcPr>
            <w:tcW w:w="1040" w:type="dxa"/>
            <w:vAlign w:val="bottom"/>
            <w:vMerge w:val="restart"/>
          </w:tcPr>
          <w:p>
            <w:pPr>
              <w:jc w:val="right"/>
              <w:ind w:right="84"/>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12.0</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206"/>
        </w:trPr>
        <w:tc>
          <w:tcPr>
            <w:tcW w:w="1940" w:type="dxa"/>
            <w:vAlign w:val="bottom"/>
          </w:tcPr>
          <w:p>
            <w:pPr>
              <w:ind w:left="160"/>
              <w:spacing w:after="0"/>
              <w:rPr>
                <w:sz w:val="20"/>
                <w:szCs w:val="20"/>
                <w:color w:val="auto"/>
              </w:rPr>
            </w:pPr>
            <w:r>
              <w:rPr>
                <w:rFonts w:ascii="Arial" w:cs="Arial" w:eastAsia="Arial" w:hAnsi="Arial"/>
                <w:sz w:val="16"/>
                <w:szCs w:val="16"/>
                <w:color w:val="auto"/>
              </w:rPr>
              <w:t>revenue(a)</w:t>
            </w:r>
          </w:p>
        </w:tc>
        <w:tc>
          <w:tcPr>
            <w:tcW w:w="12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220" w:type="dxa"/>
            <w:vAlign w:val="bottom"/>
            <w:gridSpan w:val="2"/>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1940" w:type="dxa"/>
            <w:vAlign w:val="bottom"/>
          </w:tcPr>
          <w:p>
            <w:pPr>
              <w:spacing w:after="0"/>
              <w:rPr>
                <w:sz w:val="20"/>
                <w:szCs w:val="20"/>
                <w:color w:val="auto"/>
              </w:rPr>
            </w:pPr>
            <w:r>
              <w:rPr>
                <w:rFonts w:ascii="Arial" w:cs="Arial" w:eastAsia="Arial" w:hAnsi="Arial"/>
                <w:sz w:val="16"/>
                <w:szCs w:val="16"/>
                <w:color w:val="auto"/>
              </w:rPr>
              <w:t>EBIT (loss)-adjusted</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44"/>
              <w:spacing w:after="0"/>
              <w:rPr>
                <w:sz w:val="20"/>
                <w:szCs w:val="20"/>
                <w:color w:val="auto"/>
              </w:rPr>
            </w:pPr>
            <w:r>
              <w:rPr>
                <w:rFonts w:ascii="Arial" w:cs="Arial" w:eastAsia="Arial" w:hAnsi="Arial"/>
                <w:sz w:val="16"/>
                <w:szCs w:val="16"/>
                <w:color w:val="auto"/>
              </w:rPr>
              <w:t>(195)</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22"/>
              <w:spacing w:after="0"/>
              <w:rPr>
                <w:sz w:val="20"/>
                <w:szCs w:val="20"/>
                <w:color w:val="auto"/>
              </w:rPr>
            </w:pPr>
            <w:r>
              <w:rPr>
                <w:rFonts w:ascii="Arial" w:cs="Arial" w:eastAsia="Arial" w:hAnsi="Arial"/>
                <w:sz w:val="16"/>
                <w:szCs w:val="16"/>
                <w:color w:val="auto"/>
              </w:rPr>
              <w:t>(279)</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84"/>
              <w:spacing w:after="0"/>
              <w:rPr>
                <w:sz w:val="20"/>
                <w:szCs w:val="20"/>
                <w:color w:val="auto"/>
              </w:rPr>
            </w:pPr>
            <w:r>
              <w:rPr>
                <w:rFonts w:ascii="Arial" w:cs="Arial" w:eastAsia="Arial" w:hAnsi="Arial"/>
                <w:sz w:val="16"/>
                <w:szCs w:val="16"/>
                <w:color w:val="auto"/>
              </w:rPr>
              <w:t>84</w:t>
            </w: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30.1</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bl>
    <w:p>
      <w:pPr>
        <w:spacing w:after="0" w:line="91"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1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542"/>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ind w:left="120"/>
              <w:spacing w:after="0"/>
              <w:rPr>
                <w:sz w:val="20"/>
                <w:szCs w:val="20"/>
                <w:color w:val="auto"/>
              </w:rPr>
            </w:pPr>
            <w:r>
              <w:rPr>
                <w:rFonts w:ascii="Arial" w:cs="Arial" w:eastAsia="Arial" w:hAnsi="Arial"/>
                <w:sz w:val="14"/>
                <w:szCs w:val="14"/>
                <w:b w:val="1"/>
                <w:bCs w:val="1"/>
                <w:color w:val="auto"/>
              </w:rPr>
              <w:t>Favorable /</w:t>
            </w: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97"/>
        </w:trPr>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4"/>
              <w:spacing w:after="0"/>
              <w:rPr>
                <w:sz w:val="20"/>
                <w:szCs w:val="20"/>
                <w:color w:val="auto"/>
              </w:rPr>
            </w:pPr>
            <w:r>
              <w:rPr>
                <w:rFonts w:ascii="Arial" w:cs="Arial" w:eastAsia="Arial" w:hAnsi="Arial"/>
                <w:sz w:val="14"/>
                <w:szCs w:val="14"/>
                <w:b w:val="1"/>
                <w:bCs w:val="1"/>
                <w:color w:val="auto"/>
                <w:w w:val="92"/>
              </w:rPr>
              <w:t>June 30, 2020</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w w:val="92"/>
              </w:rPr>
              <w:t>June 30, 2019</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64"/>
              <w:spacing w:after="0"/>
              <w:rPr>
                <w:sz w:val="20"/>
                <w:szCs w:val="20"/>
                <w:color w:val="auto"/>
              </w:rPr>
            </w:pPr>
            <w:r>
              <w:rPr>
                <w:rFonts w:ascii="Arial" w:cs="Arial" w:eastAsia="Arial" w:hAnsi="Arial"/>
                <w:sz w:val="14"/>
                <w:szCs w:val="14"/>
                <w:b w:val="1"/>
                <w:bCs w:val="1"/>
                <w:color w:val="auto"/>
                <w:w w:val="97"/>
              </w:rPr>
              <w:t>(Unfavorable)</w:t>
            </w:r>
          </w:p>
        </w:tc>
        <w:tc>
          <w:tcPr>
            <w:tcW w:w="100" w:type="dxa"/>
            <w:vAlign w:val="bottom"/>
          </w:tcPr>
          <w:p>
            <w:pPr>
              <w:spacing w:after="0"/>
              <w:rPr>
                <w:sz w:val="17"/>
                <w:szCs w:val="17"/>
                <w:color w:val="auto"/>
              </w:rPr>
            </w:pPr>
          </w:p>
        </w:tc>
        <w:tc>
          <w:tcPr>
            <w:tcW w:w="64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auto"/>
            </w:tcBorders>
          </w:tcPr>
          <w:p>
            <w:pPr>
              <w:spacing w:after="0"/>
              <w:rPr>
                <w:sz w:val="17"/>
                <w:szCs w:val="17"/>
                <w:color w:val="auto"/>
              </w:rPr>
            </w:pPr>
          </w:p>
        </w:tc>
      </w:tr>
      <w:tr>
        <w:trPr>
          <w:trHeight w:val="331"/>
        </w:trPr>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84"/>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82"/>
              <w:spacing w:after="0"/>
              <w:rPr>
                <w:sz w:val="20"/>
                <w:szCs w:val="20"/>
                <w:color w:val="auto"/>
              </w:rPr>
            </w:pPr>
            <w:r>
              <w:rPr>
                <w:rFonts w:ascii="Arial" w:cs="Arial" w:eastAsia="Arial" w:hAnsi="Arial"/>
                <w:sz w:val="16"/>
                <w:szCs w:val="16"/>
                <w:color w:val="auto"/>
              </w:rPr>
              <w:t>50</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64"/>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6.0</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r>
      <w:tr>
        <w:trPr>
          <w:trHeight w:val="257"/>
        </w:trPr>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44"/>
              <w:spacing w:after="0"/>
              <w:rPr>
                <w:sz w:val="20"/>
                <w:szCs w:val="20"/>
                <w:color w:val="auto"/>
              </w:rPr>
            </w:pPr>
            <w:r>
              <w:rPr>
                <w:rFonts w:ascii="Arial" w:cs="Arial" w:eastAsia="Arial" w:hAnsi="Arial"/>
                <w:sz w:val="16"/>
                <w:szCs w:val="16"/>
                <w:color w:val="auto"/>
              </w:rPr>
              <w:t>(423)</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42"/>
              <w:spacing w:after="0"/>
              <w:rPr>
                <w:sz w:val="20"/>
                <w:szCs w:val="20"/>
                <w:color w:val="auto"/>
              </w:rPr>
            </w:pPr>
            <w:r>
              <w:rPr>
                <w:rFonts w:ascii="Arial" w:cs="Arial" w:eastAsia="Arial" w:hAnsi="Arial"/>
                <w:sz w:val="16"/>
                <w:szCs w:val="16"/>
                <w:color w:val="auto"/>
              </w:rPr>
              <w:t>(448)</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64"/>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5.6</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r>
    </w:tbl>
    <w:p>
      <w:pPr>
        <w:spacing w:after="0" w:line="320" w:lineRule="exact"/>
        <w:rPr>
          <w:sz w:val="20"/>
          <w:szCs w:val="20"/>
          <w:color w:val="auto"/>
        </w:rPr>
      </w:pPr>
    </w:p>
    <w:p>
      <w:pPr>
        <w:sectPr>
          <w:pgSz w:w="11900" w:h="16838" w:orient="portrait"/>
          <w:cols w:equalWidth="0" w:num="2">
            <w:col w:w="6480" w:space="200"/>
            <w:col w:w="4560"/>
          </w:cols>
          <w:pgMar w:left="320" w:top="125" w:right="339" w:bottom="1440" w:gutter="0" w:footer="0" w:header="0"/>
          <w:type w:val="continuous"/>
        </w:sectPr>
      </w:pPr>
    </w:p>
    <w:p>
      <w:pPr>
        <w:ind w:left="340" w:hanging="332"/>
        <w:spacing w:after="0" w:line="257" w:lineRule="auto"/>
        <w:tabs>
          <w:tab w:leader="none" w:pos="331"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Reclassified to Interest income and other non-operating income, net in our condensed consolidated income statements in the three and six months ended June 30, 2020 and 2019.</w:t>
      </w:r>
    </w:p>
    <w:p>
      <w:pPr>
        <w:spacing w:after="0" w:line="208"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b w:val="1"/>
          <w:bCs w:val="1"/>
          <w:i w:val="1"/>
          <w:iCs w:val="1"/>
          <w:color w:val="auto"/>
        </w:rPr>
        <w:t xml:space="preserve">Cruise EBIT (Loss)-Adjusted </w:t>
      </w:r>
      <w:r>
        <w:rPr>
          <w:rFonts w:ascii="Arial" w:cs="Arial" w:eastAsia="Arial" w:hAnsi="Arial"/>
          <w:sz w:val="18"/>
          <w:szCs w:val="18"/>
          <w:color w:val="auto"/>
        </w:rPr>
        <w:t>In the three and six months ended June 30, 2020, EBIT (loss)-adjusted decreased primarily due to a reduction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development costs as we progress towards the commercialization of a network of on-demand autonomous vehicles in the U.S.</w:t>
      </w:r>
    </w:p>
    <w:p>
      <w:pPr>
        <w:sectPr>
          <w:pgSz w:w="11900" w:h="16838" w:orient="portrait"/>
          <w:cols w:equalWidth="0" w:num="1">
            <w:col w:w="11240"/>
          </w:cols>
          <w:pgMar w:left="320" w:top="125" w:right="339" w:bottom="1440" w:gutter="0" w:footer="0" w:header="0"/>
          <w:type w:val="continuous"/>
        </w:sectPr>
      </w:pP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2433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243330"/>
                    </a:xfrm>
                    <a:prstGeom prst="rect">
                      <a:avLst/>
                    </a:prstGeom>
                    <a:noFill/>
                  </pic:spPr>
                </pic:pic>
              </a:graphicData>
            </a:graphic>
          </wp:anchor>
        </w:drawing>
      </w:r>
    </w:p>
    <w:p>
      <w:pPr>
        <w:spacing w:after="0" w:line="12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17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5"/>
          </w:tcPr>
          <w:p>
            <w:pPr>
              <w:jc w:val="right"/>
              <w:ind w:right="321"/>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Increase/</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7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June 30, 2020</w:t>
            </w:r>
          </w:p>
        </w:tc>
        <w:tc>
          <w:tcPr>
            <w:tcW w:w="1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June 30, 2019</w:t>
            </w:r>
          </w:p>
        </w:tc>
        <w:tc>
          <w:tcPr>
            <w:tcW w:w="1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(Decrease)</w:t>
            </w:r>
          </w:p>
        </w:tc>
        <w:tc>
          <w:tcPr>
            <w:tcW w:w="120" w:type="dxa"/>
            <w:vAlign w:val="bottom"/>
          </w:tcPr>
          <w:p>
            <w:pPr>
              <w:spacing w:after="0"/>
              <w:rPr>
                <w:sz w:val="17"/>
                <w:szCs w:val="17"/>
                <w:color w:val="auto"/>
              </w:rPr>
            </w:pPr>
          </w:p>
        </w:tc>
        <w:tc>
          <w:tcPr>
            <w:tcW w:w="76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1760" w:type="dxa"/>
            <w:vAlign w:val="bottom"/>
          </w:tcPr>
          <w:p>
            <w:pPr>
              <w:spacing w:after="0"/>
              <w:rPr>
                <w:sz w:val="20"/>
                <w:szCs w:val="20"/>
                <w:color w:val="auto"/>
              </w:rPr>
            </w:pPr>
            <w:r>
              <w:rPr>
                <w:rFonts w:ascii="Arial" w:cs="Arial" w:eastAsia="Arial" w:hAnsi="Arial"/>
                <w:sz w:val="16"/>
                <w:szCs w:val="16"/>
                <w:color w:val="auto"/>
              </w:rPr>
              <w:t>Total revenue</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3,423</w:t>
            </w:r>
          </w:p>
        </w:tc>
        <w:tc>
          <w:tcPr>
            <w:tcW w:w="40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3,639</w:t>
            </w:r>
          </w:p>
        </w:tc>
        <w:tc>
          <w:tcPr>
            <w:tcW w:w="44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82"/>
              <w:spacing w:after="0"/>
              <w:rPr>
                <w:sz w:val="20"/>
                <w:szCs w:val="20"/>
                <w:color w:val="auto"/>
              </w:rPr>
            </w:pPr>
            <w:r>
              <w:rPr>
                <w:rFonts w:ascii="Arial" w:cs="Arial" w:eastAsia="Arial" w:hAnsi="Arial"/>
                <w:sz w:val="16"/>
                <w:szCs w:val="16"/>
                <w:color w:val="auto"/>
              </w:rPr>
              <w:t>(216)</w:t>
            </w: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(5.9) %</w:t>
            </w:r>
          </w:p>
        </w:tc>
        <w:tc>
          <w:tcPr>
            <w:tcW w:w="0" w:type="dxa"/>
            <w:vAlign w:val="bottom"/>
          </w:tcPr>
          <w:p>
            <w:pPr>
              <w:spacing w:after="0"/>
              <w:rPr>
                <w:sz w:val="1"/>
                <w:szCs w:val="1"/>
                <w:color w:val="auto"/>
              </w:rPr>
            </w:pPr>
          </w:p>
        </w:tc>
      </w:tr>
      <w:tr>
        <w:trPr>
          <w:trHeight w:val="256"/>
        </w:trPr>
        <w:tc>
          <w:tcPr>
            <w:tcW w:w="1760" w:type="dxa"/>
            <w:vAlign w:val="bottom"/>
          </w:tcPr>
          <w:p>
            <w:pPr>
              <w:spacing w:after="0"/>
              <w:rPr>
                <w:sz w:val="20"/>
                <w:szCs w:val="20"/>
                <w:color w:val="auto"/>
              </w:rPr>
            </w:pPr>
            <w:r>
              <w:rPr>
                <w:rFonts w:ascii="Arial" w:cs="Arial" w:eastAsia="Arial" w:hAnsi="Arial"/>
                <w:sz w:val="16"/>
                <w:szCs w:val="16"/>
                <w:color w:val="auto"/>
              </w:rPr>
              <w:t>Provision for loan losses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327</w:t>
            </w:r>
          </w:p>
        </w:tc>
        <w:tc>
          <w:tcPr>
            <w:tcW w:w="40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179</w:t>
            </w:r>
          </w:p>
        </w:tc>
        <w:tc>
          <w:tcPr>
            <w:tcW w:w="44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22"/>
              <w:spacing w:after="0"/>
              <w:rPr>
                <w:sz w:val="20"/>
                <w:szCs w:val="20"/>
                <w:color w:val="auto"/>
              </w:rPr>
            </w:pPr>
            <w:r>
              <w:rPr>
                <w:rFonts w:ascii="Arial" w:cs="Arial" w:eastAsia="Arial" w:hAnsi="Arial"/>
                <w:sz w:val="16"/>
                <w:szCs w:val="16"/>
                <w:color w:val="auto"/>
              </w:rPr>
              <w:t>148</w:t>
            </w:r>
          </w:p>
        </w:tc>
        <w:tc>
          <w:tcPr>
            <w:tcW w:w="1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82.7 %</w:t>
            </w:r>
          </w:p>
        </w:tc>
        <w:tc>
          <w:tcPr>
            <w:tcW w:w="0" w:type="dxa"/>
            <w:vAlign w:val="bottom"/>
          </w:tcPr>
          <w:p>
            <w:pPr>
              <w:spacing w:after="0"/>
              <w:rPr>
                <w:sz w:val="1"/>
                <w:szCs w:val="1"/>
                <w:color w:val="auto"/>
              </w:rPr>
            </w:pPr>
          </w:p>
        </w:tc>
      </w:tr>
      <w:tr>
        <w:trPr>
          <w:trHeight w:val="257"/>
        </w:trPr>
        <w:tc>
          <w:tcPr>
            <w:tcW w:w="1760" w:type="dxa"/>
            <w:vAlign w:val="bottom"/>
          </w:tcPr>
          <w:p>
            <w:pPr>
              <w:spacing w:after="0"/>
              <w:rPr>
                <w:sz w:val="20"/>
                <w:szCs w:val="20"/>
                <w:color w:val="auto"/>
              </w:rPr>
            </w:pPr>
            <w:r>
              <w:rPr>
                <w:rFonts w:ascii="Arial" w:cs="Arial" w:eastAsia="Arial" w:hAnsi="Arial"/>
                <w:sz w:val="16"/>
                <w:szCs w:val="16"/>
                <w:color w:val="auto"/>
              </w:rPr>
              <w:t>EBT-adjusted</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226</w:t>
            </w:r>
          </w:p>
        </w:tc>
        <w:tc>
          <w:tcPr>
            <w:tcW w:w="40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536</w:t>
            </w:r>
          </w:p>
        </w:tc>
        <w:tc>
          <w:tcPr>
            <w:tcW w:w="44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82"/>
              <w:spacing w:after="0"/>
              <w:rPr>
                <w:sz w:val="20"/>
                <w:szCs w:val="20"/>
                <w:color w:val="auto"/>
              </w:rPr>
            </w:pPr>
            <w:r>
              <w:rPr>
                <w:rFonts w:ascii="Arial" w:cs="Arial" w:eastAsia="Arial" w:hAnsi="Arial"/>
                <w:sz w:val="16"/>
                <w:szCs w:val="16"/>
                <w:color w:val="auto"/>
              </w:rPr>
              <w:t>(310)</w:t>
            </w:r>
          </w:p>
        </w:tc>
        <w:tc>
          <w:tcPr>
            <w:tcW w:w="1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(57.8) %</w:t>
            </w:r>
          </w:p>
        </w:tc>
        <w:tc>
          <w:tcPr>
            <w:tcW w:w="0" w:type="dxa"/>
            <w:vAlign w:val="bottom"/>
          </w:tcPr>
          <w:p>
            <w:pPr>
              <w:spacing w:after="0"/>
              <w:rPr>
                <w:sz w:val="1"/>
                <w:szCs w:val="1"/>
                <w:color w:val="auto"/>
              </w:rPr>
            </w:pPr>
          </w:p>
        </w:tc>
      </w:tr>
      <w:tr>
        <w:trPr>
          <w:trHeight w:val="172"/>
        </w:trPr>
        <w:tc>
          <w:tcPr>
            <w:tcW w:w="1760" w:type="dxa"/>
            <w:vAlign w:val="bottom"/>
          </w:tcPr>
          <w:p>
            <w:pPr>
              <w:spacing w:after="0" w:line="171" w:lineRule="exact"/>
              <w:rPr>
                <w:sz w:val="20"/>
                <w:szCs w:val="20"/>
                <w:color w:val="auto"/>
              </w:rPr>
            </w:pPr>
            <w:r>
              <w:rPr>
                <w:rFonts w:ascii="Arial" w:cs="Arial" w:eastAsia="Arial" w:hAnsi="Arial"/>
                <w:sz w:val="16"/>
                <w:szCs w:val="16"/>
                <w:color w:val="auto"/>
                <w:w w:val="95"/>
              </w:rPr>
              <w:t>Average debt outstanding</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95.9</w:t>
            </w:r>
          </w:p>
        </w:tc>
        <w:tc>
          <w:tcPr>
            <w:tcW w:w="400" w:type="dxa"/>
            <w:vAlign w:val="bottom"/>
            <w:gridSpan w:val="3"/>
            <w:vMerge w:val="restart"/>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92.5</w:t>
            </w:r>
          </w:p>
        </w:tc>
        <w:tc>
          <w:tcPr>
            <w:tcW w:w="440" w:type="dxa"/>
            <w:vAlign w:val="bottom"/>
            <w:gridSpan w:val="3"/>
            <w:vMerge w:val="restart"/>
          </w:tcPr>
          <w:p>
            <w:pPr>
              <w:jc w:val="right"/>
              <w:ind w:right="80"/>
              <w:spacing w:after="0"/>
              <w:rPr>
                <w:sz w:val="20"/>
                <w:szCs w:val="20"/>
                <w:color w:val="auto"/>
              </w:rPr>
            </w:pPr>
            <w:r>
              <w:rPr>
                <w:rFonts w:ascii="Arial" w:cs="Arial" w:eastAsia="Arial" w:hAnsi="Arial"/>
                <w:sz w:val="16"/>
                <w:szCs w:val="16"/>
                <w:color w:val="auto"/>
              </w:rPr>
              <w:t>$</w:t>
            </w:r>
          </w:p>
        </w:tc>
        <w:tc>
          <w:tcPr>
            <w:tcW w:w="1000" w:type="dxa"/>
            <w:vAlign w:val="bottom"/>
            <w:vMerge w:val="restart"/>
          </w:tcPr>
          <w:p>
            <w:pPr>
              <w:jc w:val="right"/>
              <w:ind w:right="122"/>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3.6 %</w:t>
            </w:r>
          </w:p>
        </w:tc>
        <w:tc>
          <w:tcPr>
            <w:tcW w:w="0" w:type="dxa"/>
            <w:vAlign w:val="bottom"/>
          </w:tcPr>
          <w:p>
            <w:pPr>
              <w:spacing w:after="0"/>
              <w:rPr>
                <w:sz w:val="1"/>
                <w:szCs w:val="1"/>
                <w:color w:val="auto"/>
              </w:rPr>
            </w:pPr>
          </w:p>
        </w:tc>
      </w:tr>
      <w:tr>
        <w:trPr>
          <w:trHeight w:val="206"/>
        </w:trPr>
        <w:tc>
          <w:tcPr>
            <w:tcW w:w="1760" w:type="dxa"/>
            <w:vAlign w:val="bottom"/>
          </w:tcPr>
          <w:p>
            <w:pPr>
              <w:ind w:left="160"/>
              <w:spacing w:after="0"/>
              <w:rPr>
                <w:sz w:val="20"/>
                <w:szCs w:val="20"/>
                <w:color w:val="auto"/>
              </w:rPr>
            </w:pPr>
            <w:r>
              <w:rPr>
                <w:rFonts w:ascii="Arial" w:cs="Arial" w:eastAsia="Arial" w:hAnsi="Arial"/>
                <w:sz w:val="16"/>
                <w:szCs w:val="16"/>
                <w:color w:val="auto"/>
              </w:rPr>
              <w:t>(dollars in billions)</w:t>
            </w:r>
          </w:p>
        </w:tc>
        <w:tc>
          <w:tcPr>
            <w:tcW w:w="12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400" w:type="dxa"/>
            <w:vAlign w:val="bottom"/>
            <w:gridSpan w:val="3"/>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440" w:type="dxa"/>
            <w:vAlign w:val="bottom"/>
            <w:gridSpan w:val="3"/>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1760" w:type="dxa"/>
            <w:vAlign w:val="bottom"/>
          </w:tcPr>
          <w:p>
            <w:pPr>
              <w:spacing w:after="0" w:line="171" w:lineRule="exact"/>
              <w:rPr>
                <w:sz w:val="20"/>
                <w:szCs w:val="20"/>
                <w:color w:val="auto"/>
              </w:rPr>
            </w:pPr>
            <w:r>
              <w:rPr>
                <w:rFonts w:ascii="Arial" w:cs="Arial" w:eastAsia="Arial" w:hAnsi="Arial"/>
                <w:sz w:val="16"/>
                <w:szCs w:val="16"/>
                <w:color w:val="auto"/>
              </w:rPr>
              <w:t>Effective rate of interest</w:t>
            </w:r>
          </w:p>
        </w:tc>
        <w:tc>
          <w:tcPr>
            <w:tcW w:w="12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3.3</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4"/>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4.1</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4"/>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(0.8) %</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760" w:type="dxa"/>
            <w:vAlign w:val="bottom"/>
          </w:tcPr>
          <w:p>
            <w:pPr>
              <w:ind w:left="160"/>
              <w:spacing w:after="0"/>
              <w:rPr>
                <w:sz w:val="20"/>
                <w:szCs w:val="20"/>
                <w:color w:val="auto"/>
              </w:rPr>
            </w:pPr>
            <w:r>
              <w:rPr>
                <w:rFonts w:ascii="Arial" w:cs="Arial" w:eastAsia="Arial" w:hAnsi="Arial"/>
                <w:sz w:val="16"/>
                <w:szCs w:val="16"/>
                <w:color w:val="auto"/>
              </w:rPr>
              <w:t>paid</w:t>
            </w:r>
          </w:p>
        </w:tc>
        <w:tc>
          <w:tcPr>
            <w:tcW w:w="12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n.m. = not meaningful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14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5"/>
          </w:tcPr>
          <w:p>
            <w:pPr>
              <w:jc w:val="right"/>
              <w:ind w:right="578"/>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ind w:left="120"/>
              <w:spacing w:after="0"/>
              <w:rPr>
                <w:sz w:val="20"/>
                <w:szCs w:val="20"/>
                <w:color w:val="auto"/>
              </w:rPr>
            </w:pPr>
            <w:r>
              <w:rPr>
                <w:rFonts w:ascii="Arial" w:cs="Arial" w:eastAsia="Arial" w:hAnsi="Arial"/>
                <w:sz w:val="14"/>
                <w:szCs w:val="14"/>
                <w:b w:val="1"/>
                <w:bCs w:val="1"/>
                <w:color w:val="auto"/>
              </w:rPr>
              <w:t>Increase/</w:t>
            </w:r>
          </w:p>
        </w:tc>
        <w:tc>
          <w:tcPr>
            <w:tcW w:w="800" w:type="dxa"/>
            <w:vAlign w:val="bottom"/>
          </w:tcPr>
          <w:p>
            <w:pPr>
              <w:spacing w:after="0"/>
              <w:rPr>
                <w:sz w:val="16"/>
                <w:szCs w:val="16"/>
                <w:color w:val="auto"/>
              </w:rPr>
            </w:pPr>
          </w:p>
        </w:tc>
      </w:tr>
      <w:tr>
        <w:trPr>
          <w:trHeight w:val="197"/>
        </w:trPr>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June 30, 2020</w:t>
            </w:r>
          </w:p>
        </w:tc>
        <w:tc>
          <w:tcPr>
            <w:tcW w:w="1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98"/>
              <w:spacing w:after="0"/>
              <w:rPr>
                <w:sz w:val="20"/>
                <w:szCs w:val="20"/>
                <w:color w:val="auto"/>
              </w:rPr>
            </w:pPr>
            <w:r>
              <w:rPr>
                <w:rFonts w:ascii="Arial" w:cs="Arial" w:eastAsia="Arial" w:hAnsi="Arial"/>
                <w:sz w:val="14"/>
                <w:szCs w:val="14"/>
                <w:b w:val="1"/>
                <w:bCs w:val="1"/>
                <w:color w:val="auto"/>
                <w:w w:val="92"/>
              </w:rPr>
              <w:t>June 30, 2019</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w w:val="97"/>
              </w:rPr>
              <w:t>(Decrease)</w:t>
            </w:r>
          </w:p>
        </w:tc>
        <w:tc>
          <w:tcPr>
            <w:tcW w:w="100" w:type="dxa"/>
            <w:vAlign w:val="bottom"/>
          </w:tcPr>
          <w:p>
            <w:pPr>
              <w:spacing w:after="0"/>
              <w:rPr>
                <w:sz w:val="17"/>
                <w:szCs w:val="17"/>
                <w:color w:val="auto"/>
              </w:rPr>
            </w:pPr>
          </w:p>
        </w:tc>
        <w:tc>
          <w:tcPr>
            <w:tcW w:w="80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w:t>
            </w:r>
          </w:p>
        </w:tc>
      </w:tr>
      <w:tr>
        <w:trPr>
          <w:trHeight w:val="223"/>
        </w:trPr>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6,984</w:t>
            </w:r>
          </w:p>
        </w:tc>
        <w:tc>
          <w:tcPr>
            <w:tcW w:w="420" w:type="dxa"/>
            <w:vAlign w:val="bottom"/>
            <w:gridSpan w:val="3"/>
          </w:tcPr>
          <w:p>
            <w:pPr>
              <w:ind w:left="28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38"/>
              <w:spacing w:after="0"/>
              <w:rPr>
                <w:sz w:val="20"/>
                <w:szCs w:val="20"/>
                <w:color w:val="auto"/>
              </w:rPr>
            </w:pPr>
            <w:r>
              <w:rPr>
                <w:rFonts w:ascii="Arial" w:cs="Arial" w:eastAsia="Arial" w:hAnsi="Arial"/>
                <w:sz w:val="16"/>
                <w:szCs w:val="16"/>
                <w:color w:val="auto"/>
              </w:rPr>
              <w:t>7,259</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02"/>
              <w:spacing w:after="0"/>
              <w:rPr>
                <w:sz w:val="20"/>
                <w:szCs w:val="20"/>
                <w:color w:val="auto"/>
              </w:rPr>
            </w:pPr>
            <w:r>
              <w:rPr>
                <w:rFonts w:ascii="Arial" w:cs="Arial" w:eastAsia="Arial" w:hAnsi="Arial"/>
                <w:sz w:val="16"/>
                <w:szCs w:val="16"/>
                <w:color w:val="auto"/>
              </w:rPr>
              <w:t>(275)</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(3.8) %</w:t>
            </w:r>
          </w:p>
        </w:tc>
      </w:tr>
      <w:tr>
        <w:trPr>
          <w:trHeight w:val="256"/>
        </w:trPr>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793</w:t>
            </w:r>
          </w:p>
        </w:tc>
        <w:tc>
          <w:tcPr>
            <w:tcW w:w="420" w:type="dxa"/>
            <w:vAlign w:val="bottom"/>
            <w:gridSpan w:val="3"/>
          </w:tcPr>
          <w:p>
            <w:pPr>
              <w:ind w:left="28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38"/>
              <w:spacing w:after="0"/>
              <w:rPr>
                <w:sz w:val="20"/>
                <w:szCs w:val="20"/>
                <w:color w:val="auto"/>
              </w:rPr>
            </w:pPr>
            <w:r>
              <w:rPr>
                <w:rFonts w:ascii="Arial" w:cs="Arial" w:eastAsia="Arial" w:hAnsi="Arial"/>
                <w:sz w:val="16"/>
                <w:szCs w:val="16"/>
                <w:color w:val="auto"/>
              </w:rPr>
              <w:t>354</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42"/>
              <w:spacing w:after="0"/>
              <w:rPr>
                <w:sz w:val="20"/>
                <w:szCs w:val="20"/>
                <w:color w:val="auto"/>
              </w:rPr>
            </w:pPr>
            <w:r>
              <w:rPr>
                <w:rFonts w:ascii="Arial" w:cs="Arial" w:eastAsia="Arial" w:hAnsi="Arial"/>
                <w:sz w:val="16"/>
                <w:szCs w:val="16"/>
                <w:color w:val="auto"/>
              </w:rPr>
              <w:t>439</w:t>
            </w: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57"/>
        </w:trPr>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456</w:t>
            </w:r>
          </w:p>
        </w:tc>
        <w:tc>
          <w:tcPr>
            <w:tcW w:w="420" w:type="dxa"/>
            <w:vAlign w:val="bottom"/>
            <w:gridSpan w:val="3"/>
          </w:tcPr>
          <w:p>
            <w:pPr>
              <w:ind w:left="28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38"/>
              <w:spacing w:after="0"/>
              <w:rPr>
                <w:sz w:val="20"/>
                <w:szCs w:val="20"/>
                <w:color w:val="auto"/>
              </w:rPr>
            </w:pPr>
            <w:r>
              <w:rPr>
                <w:rFonts w:ascii="Arial" w:cs="Arial" w:eastAsia="Arial" w:hAnsi="Arial"/>
                <w:sz w:val="16"/>
                <w:szCs w:val="16"/>
                <w:color w:val="auto"/>
              </w:rPr>
              <w:t>895</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02"/>
              <w:spacing w:after="0"/>
              <w:rPr>
                <w:sz w:val="20"/>
                <w:szCs w:val="20"/>
                <w:color w:val="auto"/>
              </w:rPr>
            </w:pPr>
            <w:r>
              <w:rPr>
                <w:rFonts w:ascii="Arial" w:cs="Arial" w:eastAsia="Arial" w:hAnsi="Arial"/>
                <w:sz w:val="16"/>
                <w:szCs w:val="16"/>
                <w:color w:val="auto"/>
              </w:rPr>
              <w:t>(439)</w:t>
            </w: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(49.1) %</w:t>
            </w:r>
          </w:p>
        </w:tc>
      </w:tr>
      <w:tr>
        <w:trPr>
          <w:trHeight w:val="384"/>
        </w:trPr>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92.4</w:t>
            </w:r>
          </w:p>
        </w:tc>
        <w:tc>
          <w:tcPr>
            <w:tcW w:w="42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58"/>
              <w:spacing w:after="0"/>
              <w:rPr>
                <w:sz w:val="20"/>
                <w:szCs w:val="20"/>
                <w:color w:val="auto"/>
              </w:rPr>
            </w:pPr>
            <w:r>
              <w:rPr>
                <w:rFonts w:ascii="Arial" w:cs="Arial" w:eastAsia="Arial" w:hAnsi="Arial"/>
                <w:sz w:val="18"/>
                <w:szCs w:val="18"/>
                <w:color w:val="auto"/>
              </w:rPr>
              <w:t>92.4</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(0.1) %</w:t>
            </w:r>
          </w:p>
        </w:tc>
      </w:tr>
      <w:tr>
        <w:trPr>
          <w:trHeight w:val="378"/>
        </w:trPr>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3.5</w:t>
            </w:r>
          </w:p>
        </w:tc>
        <w:tc>
          <w:tcPr>
            <w:tcW w:w="160" w:type="dxa"/>
            <w:vAlign w:val="bottom"/>
          </w:tcPr>
          <w:p>
            <w:pPr>
              <w:jc w:val="right"/>
              <w:spacing w:after="0"/>
              <w:rPr>
                <w:sz w:val="20"/>
                <w:szCs w:val="20"/>
                <w:color w:val="auto"/>
              </w:rPr>
            </w:pPr>
            <w:r>
              <w:rPr>
                <w:rFonts w:ascii="Arial" w:cs="Arial" w:eastAsia="Arial" w:hAnsi="Arial"/>
                <w:sz w:val="16"/>
                <w:szCs w:val="16"/>
                <w:color w:val="auto"/>
                <w:w w:val="84"/>
              </w:rPr>
              <w:t>%</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4.1 %</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(0.6) %</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pacing w:after="0" w:line="698" w:lineRule="exact"/>
        <w:rPr>
          <w:sz w:val="20"/>
          <w:szCs w:val="20"/>
          <w:color w:val="auto"/>
        </w:rPr>
      </w:pPr>
    </w:p>
    <w:p>
      <w:pPr>
        <w:sectPr>
          <w:pgSz w:w="11900" w:h="16838" w:orient="portrait"/>
          <w:cols w:equalWidth="0" w:num="2">
            <w:col w:w="6360" w:space="220"/>
            <w:col w:w="4660"/>
          </w:cols>
          <w:pgMar w:left="320" w:top="125" w:right="339" w:bottom="1440" w:gutter="0" w:footer="0" w:header="0"/>
          <w:type w:val="continuous"/>
        </w:sectPr>
      </w:pPr>
    </w:p>
    <w:p>
      <w:pPr>
        <w:spacing w:after="0" w:line="30"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b w:val="1"/>
          <w:bCs w:val="1"/>
          <w:i w:val="1"/>
          <w:iCs w:val="1"/>
          <w:color w:val="auto"/>
        </w:rPr>
        <w:t xml:space="preserve">GM Financial Revenue </w:t>
      </w:r>
      <w:r>
        <w:rPr>
          <w:rFonts w:ascii="Arial" w:cs="Arial" w:eastAsia="Arial" w:hAnsi="Arial"/>
          <w:sz w:val="18"/>
          <w:szCs w:val="18"/>
          <w:color w:val="auto"/>
        </w:rPr>
        <w:t>In the three months ended June 30, 2020, total revenue decreased primarily due to decreased leased vehicle income of $0.1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billion primarily due to a decrease in the leased vehicle portfolio and decreased commercial finance charge income of $0.1 billion due to a lower effective yield resulting from falling benchmark interest rates and a decrease in the commercial finance receivables portfolio as a result of GM suspending manufacturing operations due to the COVID-19 pandemic.</w:t>
      </w:r>
    </w:p>
    <w:p>
      <w:pPr>
        <w:spacing w:after="0" w:line="214" w:lineRule="exact"/>
        <w:rPr>
          <w:sz w:val="20"/>
          <w:szCs w:val="20"/>
          <w:color w:val="auto"/>
        </w:rPr>
      </w:pPr>
    </w:p>
    <w:p>
      <w:pPr>
        <w:jc w:val="both"/>
        <w:ind w:right="20" w:firstLine="162"/>
        <w:spacing w:after="0" w:line="308" w:lineRule="auto"/>
        <w:rPr>
          <w:sz w:val="20"/>
          <w:szCs w:val="20"/>
          <w:color w:val="auto"/>
        </w:rPr>
      </w:pPr>
      <w:r>
        <w:rPr>
          <w:rFonts w:ascii="Arial" w:cs="Arial" w:eastAsia="Arial" w:hAnsi="Arial"/>
          <w:sz w:val="17"/>
          <w:szCs w:val="17"/>
          <w:color w:val="auto"/>
        </w:rPr>
        <w:t>In the six months ended June 30, 2020 total revenue decreased primarily due to decreased leased vehicle income of $0.2 billion primarily due to a decrease in the leased vehicle portfolio and decreased investment income of $0.1 billion resulting from falling benchmark interest rates.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81"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b w:val="1"/>
          <w:bCs w:val="1"/>
          <w:i w:val="1"/>
          <w:iCs w:val="1"/>
          <w:color w:val="auto"/>
        </w:rPr>
        <w:t xml:space="preserve">GM Financial EBT-Adjusted </w:t>
      </w:r>
      <w:r>
        <w:rPr>
          <w:rFonts w:ascii="Arial" w:cs="Arial" w:eastAsia="Arial" w:hAnsi="Arial"/>
          <w:sz w:val="18"/>
          <w:szCs w:val="18"/>
          <w:color w:val="auto"/>
        </w:rPr>
        <w:t>In the three months ended June 30, 2020, EBT-adjusted decreased primarily due to: (1) decreased leased vehicle income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 of leased vehicle expenses of $0.3 billion primarily due to a decrease in the leased vehicle portfolio and an increase in the depreciation rate resulting from lowered residual value estimates on the lease portfolio; (2) increased provision for loan losses of $0.1 billion primarily due to increased expected charge-offs and decreased expected recoveries as a result of the economic impact of the COVID-19 pandemic, inclusive of new CECL standard impacts; partially offset by (3) decreased interest expense of $0.2 billion due to a lower effective rate of interest on debt resulting from falling benchmark interest rates, partially offset by an increase in the average debt outstanding.</w:t>
      </w:r>
    </w:p>
    <w:p>
      <w:pPr>
        <w:spacing w:after="0" w:line="219" w:lineRule="exact"/>
        <w:rPr>
          <w:sz w:val="20"/>
          <w:szCs w:val="20"/>
          <w:color w:val="auto"/>
        </w:rPr>
      </w:pPr>
    </w:p>
    <w:p>
      <w:pPr>
        <w:jc w:val="both"/>
        <w:ind w:firstLine="162"/>
        <w:spacing w:after="0" w:line="275" w:lineRule="auto"/>
        <w:rPr>
          <w:sz w:val="20"/>
          <w:szCs w:val="20"/>
          <w:color w:val="auto"/>
        </w:rPr>
      </w:pPr>
      <w:r>
        <w:rPr>
          <w:rFonts w:ascii="Arial" w:cs="Arial" w:eastAsia="Arial" w:hAnsi="Arial"/>
          <w:sz w:val="17"/>
          <w:szCs w:val="17"/>
          <w:color w:val="auto"/>
        </w:rPr>
        <w:t>In the six months ended June 30, 2020 EBT-adjusted decreased primarily due to: (1) increased provision for loan losses of $0.4 billion primarily due to increased expected charge-offs and decreased expected recoveries as a result of the economic impact of the COVID-19 pandemic, inclusive of new CECL standard impacts; (2) decreased leased vehicle income net of leased vehicle expenses of $0.2 billion primarily due to a decrease in the leased vehicle portfolio and an increase in the depreciation rate resulting from lowered residual value estimates on the lease portfolio; partially offset by (3) decreased interest expense of $0.3 billion due to a lower effective rate of interest on debt resulting from falling benchmark interest rates.</w:t>
      </w:r>
    </w:p>
    <w:p>
      <w:pPr>
        <w:spacing w:after="0" w:line="19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Liquidity and Capital Resources </w:t>
      </w:r>
      <w:r>
        <w:rPr>
          <w:rFonts w:ascii="Arial" w:cs="Arial" w:eastAsia="Arial" w:hAnsi="Arial"/>
          <w:sz w:val="18"/>
          <w:szCs w:val="18"/>
          <w:color w:val="auto"/>
        </w:rPr>
        <w:t>As described in the “Overview” section of this MD&amp;A, the COVID-19 pandemic has had a material impact on our</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results and we expect it will continue to have a material impact on future periods, including our cash flows from operating activities and liquidity. The extent of COVID-19’s impact on our liquidity will depend upon, among other things, the duration, spread and intensity of the pandemic and related government responses such as required physical distancing, restrictions on business operations and travel, the pace of recovery of economic activity and the impact to consumers, all of which are uncertain and difficult to predict. Refer to Item 1A. Risk Factors for a full discussion of the risks associated with the COVID-19 pandemic.</w:t>
      </w:r>
    </w:p>
    <w:p>
      <w:pPr>
        <w:spacing w:after="0" w:line="218"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In April and May 2020, to preserve financial flexibility in light of the current uncertainty in global markets resulting from the COVID-19 pandemic, we borrowed $15.9 billion under our revolving credit facilities, extended a portion of our revolving credit facilities for an additional year, issued $4.0 billion in senior unsecured notes and entered into a new unsecured 364-day, $2.0 billion revolving credit facility. See the "Automotive Liquidity" section of this MD&amp;A for additional information on these liquidity actions. In response to the uncertainties created by the pandemic, we are executing a number of austerity measures to reduce costs, such as limiting advertising and other third-party spending, suspending our dividend on common shares, deferring salaried employee compensation and delaying non-critical projects, including certain future product programs.</w:t>
      </w:r>
    </w:p>
    <w:p>
      <w:pPr>
        <w:spacing w:after="0" w:line="205" w:lineRule="exact"/>
        <w:rPr>
          <w:sz w:val="20"/>
          <w:szCs w:val="20"/>
          <w:color w:val="auto"/>
        </w:rPr>
      </w:pPr>
    </w:p>
    <w:p>
      <w:pPr>
        <w:jc w:val="both"/>
        <w:ind w:firstLine="162"/>
        <w:spacing w:after="0" w:line="254" w:lineRule="auto"/>
        <w:rPr>
          <w:sz w:val="20"/>
          <w:szCs w:val="20"/>
          <w:color w:val="auto"/>
        </w:rPr>
      </w:pPr>
      <w:r>
        <w:rPr>
          <w:rFonts w:ascii="Arial" w:cs="Arial" w:eastAsia="Arial" w:hAnsi="Arial"/>
          <w:sz w:val="18"/>
          <w:szCs w:val="18"/>
          <w:color w:val="auto"/>
        </w:rPr>
        <w:t>Despite the negative impact COVID-19 continues to have on our liquidity, we believe our current levels of cash, cash equivalents, and marketable debt securities, which include the borrowings under our revolving credit facilities, and other liquidity actions currently available to us are sufficient to meet our liquidity requirements. We also maintain access to the capital markets and may issue debt or equity securities, which may provide an additional source of liquidity. We have substantial cash requirements going forward, which we plan to fund through our total available liquidity, cash flows from operating activities and additional liquidity measures, if determined to be necessary. Our ability to raise additional capital may be adversely impacted by potential worsening global economic conditions and the recent disruptions to, and volatility in, the credit and financial markets in the U.S. and worldwide resulting from the ongoing COVID-19 pandemic.</w:t>
      </w:r>
    </w:p>
    <w:p>
      <w:pPr>
        <w:spacing w:after="0" w:line="222" w:lineRule="exact"/>
        <w:rPr>
          <w:sz w:val="20"/>
          <w:szCs w:val="20"/>
          <w:color w:val="auto"/>
        </w:rPr>
      </w:pPr>
    </w:p>
    <w:p>
      <w:pPr>
        <w:jc w:val="both"/>
        <w:ind w:firstLine="162"/>
        <w:spacing w:after="0" w:line="289" w:lineRule="auto"/>
        <w:rPr>
          <w:sz w:val="20"/>
          <w:szCs w:val="20"/>
          <w:color w:val="auto"/>
        </w:rPr>
      </w:pPr>
      <w:r>
        <w:rPr>
          <w:rFonts w:ascii="Arial" w:cs="Arial" w:eastAsia="Arial" w:hAnsi="Arial"/>
          <w:sz w:val="16"/>
          <w:szCs w:val="16"/>
          <w:color w:val="auto"/>
        </w:rPr>
        <w:t>Our known current and future material uses of cash relate to funding near-term operations through the current economic cycle including: (1) ongoing cash costs including payments associated with previously announced vehicle recalls, the settlements of the multi-district litigation and any other recall-related contingencies, payments to service debt and other long-term obligations, including repayment of amounts drawn on our revolving credit facilities and discretionary and mandatory contributions to our pension plans; and (2) capital expenditures and payments for engineering and product development activities, which we expect will be significantly less than previously forecasted for the remainder of 2020 due to our austerity measures. Our future uses of cash will be focused on the three objectives of our capital allocation program: (1) reinvest in our business at an average target ROIC-adjusted rate of 20% or greater; (2) maintain a strong investment-grade balance sheet, including a target average automotive cash balance of $18 billion; and (3) after the first two objectives are met, return available cash to shareholders. Our senior management evaluates our capital allocation program on an ongoing basis and recommends any modifications to the program to our Board of Directors not less than once annually.</w:t>
      </w:r>
    </w:p>
    <w:p>
      <w:pPr>
        <w:spacing w:after="0" w:line="193"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Our liquidity plans are subject to a number of risks and uncertainties, including those described in the "Forward-Looking Statements" section of this MD&amp;A, Item 1A. Risk Factors in this Form 10-Q and Item 1A. Risk Factors of our 2019 Form 10-K, some of which are outside of our control.</w:t>
      </w:r>
    </w:p>
    <w:p>
      <w:pPr>
        <w:spacing w:after="0" w:line="173"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Cash flows occur amongst our Automotive, Cruise and GM Financial operations that are eliminated when we consolidate our cash flows. Such eliminations include, among other things, collections by Automotive on wholesale accounts receivables</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financed by dealers through GM Financial, payments between Automotive and GM Financial for accounts receivables transferred by Automotive to GM Financial, loans to Automotive from GM Financial, dividends issued by GM Financial to Automotive and Automotive cash injections in Cruise. The presentation of Automotive liquidity, Cruise liquidity and GM Financial liquidity presented below includes the impact of cash transactions amongst the sectors that are ultimately eliminated in consolidation.</w:t>
      </w:r>
    </w:p>
    <w:p>
      <w:pPr>
        <w:spacing w:after="0" w:line="214" w:lineRule="exact"/>
        <w:rPr>
          <w:sz w:val="20"/>
          <w:szCs w:val="20"/>
          <w:color w:val="auto"/>
        </w:rPr>
      </w:pPr>
    </w:p>
    <w:p>
      <w:pPr>
        <w:jc w:val="both"/>
        <w:spacing w:after="0" w:line="270" w:lineRule="auto"/>
        <w:rPr>
          <w:sz w:val="20"/>
          <w:szCs w:val="20"/>
          <w:color w:val="auto"/>
        </w:rPr>
      </w:pPr>
      <w:r>
        <w:rPr>
          <w:rFonts w:ascii="Arial" w:cs="Arial" w:eastAsia="Arial" w:hAnsi="Arial"/>
          <w:sz w:val="16"/>
          <w:szCs w:val="16"/>
          <w:b w:val="1"/>
          <w:bCs w:val="1"/>
          <w:i w:val="1"/>
          <w:iCs w:val="1"/>
          <w:color w:val="auto"/>
        </w:rPr>
        <w:t xml:space="preserve">Automotive Liquidity </w:t>
      </w:r>
      <w:r>
        <w:rPr>
          <w:rFonts w:ascii="Arial" w:cs="Arial" w:eastAsia="Arial" w:hAnsi="Arial"/>
          <w:sz w:val="16"/>
          <w:szCs w:val="16"/>
          <w:color w:val="auto"/>
        </w:rPr>
        <w:t>Total available liquidity includes cash, cash equivalents, marketable debt securities and funds available under credit facilities.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amount of available liquidity is subject to seasonal fluctuations and includes balances held by various business units and subsidiaries worldwide that are needed to fund their operations. In response to the COVID-19 pandemic, we have taken immediate actions to provide for additional liquidity including drawing $15.9 billion on our revolving credit facilities and implementing austerity measures. In May 2020, we issued $4.0 billion in aggregate principal amount of senior unsecured notes with a weighted average interest rate of 6.11% and maturity dates ranging from 2023 to 2027. The notes are governed by a sixth supplemental indenture and the same base indenture that governs our existing notes, which contains terms and covenants customary for these types of securities, including a limitation on the amount of certain secured debt we may incur. The net proceeds from the issuance of these senior unsecured notes provides additional financial flexibility and will be used for general corporate purposes. In May 2020, we also entered into a new unsecured 364-day, $2.0 billion revolving credit facility as an additional source of available liquidity. We have changed the management of our liquidity by borrowing on our credit facilities, changing our investment portfolio composition and taking significant austerity measures to provide better flexibility in response to COVID-19; however, we have not significantly changed our investment guidelines since December 31, 2019.</w:t>
      </w:r>
    </w:p>
    <w:p>
      <w:pPr>
        <w:spacing w:after="0" w:line="194" w:lineRule="exact"/>
        <w:rPr>
          <w:sz w:val="20"/>
          <w:szCs w:val="20"/>
          <w:color w:val="auto"/>
        </w:rPr>
      </w:pPr>
    </w:p>
    <w:p>
      <w:pPr>
        <w:jc w:val="both"/>
        <w:ind w:firstLine="162"/>
        <w:spacing w:after="0" w:line="254" w:lineRule="auto"/>
        <w:rPr>
          <w:sz w:val="20"/>
          <w:szCs w:val="20"/>
          <w:color w:val="auto"/>
        </w:rPr>
      </w:pPr>
      <w:r>
        <w:rPr>
          <w:rFonts w:ascii="Arial" w:cs="Arial" w:eastAsia="Arial" w:hAnsi="Arial"/>
          <w:sz w:val="17"/>
          <w:szCs w:val="17"/>
          <w:color w:val="auto"/>
        </w:rPr>
        <w:t>We use credit facilities as a mechanism to provide additional flexibility in managing our global liquidity. We increased our automotive borrowing capacity under credit facilities from $17.5 billion at December 31, 2019 to $18.5 billion at June 30, 2020. At June 30, 2020 our automotive borrowing capacity under credit facilities consisted of four revolving credit facilities. These facilities consist of a three-year, $4.0 billion facility, a five-year, $10.5 billion facility, a three-year, $2.0 billion transformation facility and a new 364-day, $2.0 billion revolving credit facility entered into in May 2020. The three-year, $4.0 billion facility allows for borrowings in U.S. Dollars and other currencies and includes a letter of credit sub-facility of $1.1 billion. The five-year, $10.5 billion facility allows for borrowings in U.S. Dollars and other currencies. The three-year, $2.0 billion transformation facility and the new unsecured 364-day facility allow for borrowings in U.S. Dollars only. Total borrowing capacity under our automotive credit facilities does not include a 364-day, $2.0 billion facility designated for exclusive use by GM Financial, which allows for borrowings in U.S. Dollars only.</w:t>
      </w:r>
    </w:p>
    <w:p>
      <w:pPr>
        <w:spacing w:after="0" w:line="208"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In April 2020, we renewed our 364-day, $2.0 billion facility designated for exclusive use by GM Financial for an additional 364-day term and extended $3.6 billion of the three-year, $4.0 billion facility for an additional year expiring in April 2022. The remaining portion will expire in April 2021, unless extended. As part of the extension of the three-year, $4.0 billion facility, we have agreed not to execute any share repurchases until we no longer have outstanding borrowings under the revolving credit facilities, except for the three-year, $2.0 billion transformation facility. In addition, we are restricted from paying dividends on our common shares if outstanding borrowings under the revolving credit facilities exceed $5.0 billion, with the exception of the three-year, $2.0 billion transformation facility.</w:t>
      </w:r>
    </w:p>
    <w:p>
      <w:pPr>
        <w:spacing w:after="0" w:line="219"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In the six months ended June 30, 2020, we borrowed $3.4 billion against our three-year, $4.0 billion facility, $2.0 billion against our three-year, $2.0 billion transformation facility and $10.5 billion against our five-year, $10.5 billion facility to preserve financial flexibility in response to the current uncertainty in global markets and the adverse economic environment resulting from the COVID-19 pandemic. We did not have any borrowings against our facilities at December 31, 2019. We had letters of credit outstanding under our sub-facility of $0.3 billion and $0.2 billion at June 30, 2020 and December 31, 2019. Refer to Note 11 to our condensed consolidated financial statements for additional information on the contractual maturities of our debt obligations.</w:t>
      </w:r>
    </w:p>
    <w:p>
      <w:pPr>
        <w:spacing w:after="0" w:line="219"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color w:val="auto"/>
        </w:rPr>
        <w:t>If available capacity permits, GM Financial has access to our automotive credit facilities, except for the three-year, $2.0 billion transformation facility. In addition, GM Financial has exclusive use of the 364-day, $2.0 billion facility that expires in April 2021. GM Financial did not have borrowings outstanding against any facilities at June 30, 2020 and December 31, 2019. We had intercompany loans from GM Financial of $1.4 billion, which primarily consisted of $0.9 billion in funding for subvention owed in the three months ended June 30, 2020 and $0.4 billion of commercial loans to dealers we consolidate at June 30, 2020 and $0.5 billion which primarily consisted of commercial loans to dealers we consolidate at December 31, 2019. We did not have intercompany loans to GM Financial. Refer to Note 5 of our condensed consolidated financial statements for additional information.</w:t>
      </w:r>
    </w:p>
    <w:p>
      <w:pPr>
        <w:spacing w:after="0" w:line="191"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In the three and six months ended June 30, 2020, GM Financial's Board of Directors declared and paid dividends of $0.4 billion and $0.8 billion on its common stock. Future dividends from GM Financial will depend on several factors including</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business and economic conditions, its financial condition, earnings, liquidity requirements and leverage ratio. In addition, we expect to continue to receive dividends from our Automotive China JVs on a normal cadence.</w:t>
      </w:r>
    </w:p>
    <w:p>
      <w:pPr>
        <w:spacing w:after="0" w:line="197"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continue to monitor and evaluate opportunities to strengthen our competitive position over the long term while maintaining a strong investment-grade balance sheet. These actions may include opportunistic payments to reduce our long-term obligations as well as the possibility of acquisitions, dispositions, investments with joint venture partners and strategic alliances that we believe would generate significant advantages and substantially strengthen our business.</w:t>
      </w:r>
    </w:p>
    <w:p>
      <w:pPr>
        <w:spacing w:after="0" w:line="214"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color w:val="auto"/>
        </w:rPr>
        <w:t>Several of our loan facilities, including our revolving credit facilities, require compliance with certain financial and operational covenants as well as regular reporting to lenders. We have reviewed our covenants in effect as of June 30, 2020 and determined we are in compliance and expect to remain in compliance in the future.</w:t>
      </w:r>
    </w:p>
    <w:p>
      <w:pPr>
        <w:spacing w:after="0" w:line="211"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January 2017 we announced that our Board of Directors had authorized the purchase of up to $5.0 billion of our common stock with no expiration date as part of our common stock repurchase program. We have completed $1.7 billion of the $5.0 billion program through June 30, 2020. In April 2020 we agreed not to execute any share repurchases until we no longer have outstanding borrowings under the revolving credit facilities, except for the three-year, $2.0 billion transformation facility.</w:t>
      </w:r>
    </w:p>
    <w:p>
      <w:pPr>
        <w:spacing w:after="0" w:line="21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our available liquidity (dollars in billions):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2020</w:t>
            </w:r>
          </w:p>
        </w:tc>
        <w:tc>
          <w:tcPr>
            <w:tcW w:w="180" w:type="dxa"/>
            <w:vAlign w:val="bottom"/>
          </w:tcPr>
          <w:p>
            <w:pPr>
              <w:spacing w:after="0"/>
              <w:rPr>
                <w:sz w:val="16"/>
                <w:szCs w:val="16"/>
                <w:color w:val="auto"/>
              </w:rPr>
            </w:pPr>
          </w:p>
        </w:tc>
        <w:tc>
          <w:tcPr>
            <w:tcW w:w="1460" w:type="dxa"/>
            <w:vAlign w:val="bottom"/>
          </w:tcPr>
          <w:p>
            <w:pPr>
              <w:jc w:val="right"/>
              <w:ind w:right="152"/>
              <w:spacing w:after="0"/>
              <w:rPr>
                <w:sz w:val="20"/>
                <w:szCs w:val="20"/>
                <w:color w:val="auto"/>
              </w:rPr>
            </w:pPr>
            <w:r>
              <w:rPr>
                <w:rFonts w:ascii="Arial" w:cs="Arial" w:eastAsia="Arial" w:hAnsi="Arial"/>
                <w:sz w:val="14"/>
                <w:szCs w:val="14"/>
                <w:b w:val="1"/>
                <w:bCs w:val="1"/>
                <w:color w:val="auto"/>
                <w:w w:val="95"/>
              </w:rPr>
              <w:t>December 31, 2019</w:t>
            </w:r>
          </w:p>
        </w:tc>
        <w:tc>
          <w:tcPr>
            <w:tcW w:w="0" w:type="dxa"/>
            <w:vAlign w:val="bottom"/>
          </w:tcPr>
          <w:p>
            <w:pPr>
              <w:spacing w:after="0"/>
              <w:rPr>
                <w:sz w:val="1"/>
                <w:szCs w:val="1"/>
                <w:color w:val="auto"/>
              </w:rPr>
            </w:pPr>
          </w:p>
        </w:tc>
      </w:tr>
      <w:tr>
        <w:trPr>
          <w:trHeight w:val="250"/>
        </w:trPr>
        <w:tc>
          <w:tcPr>
            <w:tcW w:w="7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Automotive cash and cash equivalents, net(a)</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20.0</w:t>
            </w: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43"/>
        </w:trPr>
        <w:tc>
          <w:tcPr>
            <w:tcW w:w="7660" w:type="dxa"/>
            <w:vAlign w:val="bottom"/>
          </w:tcPr>
          <w:p>
            <w:pPr>
              <w:ind w:left="20"/>
              <w:spacing w:after="0"/>
              <w:rPr>
                <w:sz w:val="20"/>
                <w:szCs w:val="20"/>
                <w:color w:val="auto"/>
              </w:rPr>
            </w:pPr>
            <w:r>
              <w:rPr>
                <w:rFonts w:ascii="Arial" w:cs="Arial" w:eastAsia="Arial" w:hAnsi="Arial"/>
                <w:sz w:val="18"/>
                <w:szCs w:val="18"/>
                <w:color w:val="auto"/>
              </w:rPr>
              <w:t>Marketable debt securities</w:t>
            </w:r>
          </w:p>
        </w:tc>
        <w:tc>
          <w:tcPr>
            <w:tcW w:w="240" w:type="dxa"/>
            <w:vAlign w:val="bottom"/>
          </w:tcPr>
          <w:p>
            <w:pPr>
              <w:spacing w:after="0"/>
              <w:rPr>
                <w:sz w:val="21"/>
                <w:szCs w:val="21"/>
                <w:color w:val="auto"/>
              </w:rPr>
            </w:pPr>
          </w:p>
        </w:tc>
        <w:tc>
          <w:tcPr>
            <w:tcW w:w="1360" w:type="dxa"/>
            <w:vAlign w:val="bottom"/>
          </w:tcPr>
          <w:p>
            <w:pPr>
              <w:jc w:val="right"/>
              <w:ind w:right="52"/>
              <w:spacing w:after="0"/>
              <w:rPr>
                <w:sz w:val="20"/>
                <w:szCs w:val="20"/>
                <w:color w:val="auto"/>
              </w:rPr>
            </w:pPr>
            <w:r>
              <w:rPr>
                <w:rFonts w:ascii="Arial" w:cs="Arial" w:eastAsia="Arial" w:hAnsi="Arial"/>
                <w:sz w:val="18"/>
                <w:szCs w:val="18"/>
                <w:color w:val="auto"/>
              </w:rPr>
              <w:t>8.3</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ind w:right="72"/>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Automotive cash, cash equivalents and marketable debt securities, net</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28.3</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43"/>
        </w:trPr>
        <w:tc>
          <w:tcPr>
            <w:tcW w:w="7660" w:type="dxa"/>
            <w:vAlign w:val="bottom"/>
          </w:tcPr>
          <w:p>
            <w:pPr>
              <w:ind w:left="20"/>
              <w:spacing w:after="0"/>
              <w:rPr>
                <w:sz w:val="20"/>
                <w:szCs w:val="20"/>
                <w:color w:val="auto"/>
              </w:rPr>
            </w:pPr>
            <w:r>
              <w:rPr>
                <w:rFonts w:ascii="Arial" w:cs="Arial" w:eastAsia="Arial" w:hAnsi="Arial"/>
                <w:sz w:val="18"/>
                <w:szCs w:val="18"/>
                <w:color w:val="auto"/>
              </w:rPr>
              <w:t>Cruise cash and cash equivalents(b)</w:t>
            </w:r>
          </w:p>
        </w:tc>
        <w:tc>
          <w:tcPr>
            <w:tcW w:w="240" w:type="dxa"/>
            <w:vAlign w:val="bottom"/>
          </w:tcPr>
          <w:p>
            <w:pPr>
              <w:spacing w:after="0"/>
              <w:rPr>
                <w:sz w:val="21"/>
                <w:szCs w:val="21"/>
                <w:color w:val="auto"/>
              </w:rPr>
            </w:pPr>
          </w:p>
        </w:tc>
        <w:tc>
          <w:tcPr>
            <w:tcW w:w="1360" w:type="dxa"/>
            <w:vAlign w:val="bottom"/>
          </w:tcPr>
          <w:p>
            <w:pPr>
              <w:jc w:val="right"/>
              <w:ind w:right="52"/>
              <w:spacing w:after="0"/>
              <w:rPr>
                <w:sz w:val="20"/>
                <w:szCs w:val="20"/>
                <w:color w:val="auto"/>
              </w:rPr>
            </w:pPr>
            <w:r>
              <w:rPr>
                <w:rFonts w:ascii="Arial" w:cs="Arial" w:eastAsia="Arial" w:hAnsi="Arial"/>
                <w:sz w:val="18"/>
                <w:szCs w:val="18"/>
                <w:color w:val="auto"/>
              </w:rPr>
              <w:t>1.2</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ind w:right="72"/>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Cruise marketable debt securities(b)</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w:t>
            </w:r>
          </w:p>
        </w:tc>
        <w:tc>
          <w:tcPr>
            <w:tcW w:w="3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7"/>
        </w:trPr>
        <w:tc>
          <w:tcPr>
            <w:tcW w:w="7660" w:type="dxa"/>
            <w:vAlign w:val="bottom"/>
          </w:tcPr>
          <w:p>
            <w:pPr>
              <w:ind w:left="20"/>
              <w:spacing w:after="0"/>
              <w:rPr>
                <w:sz w:val="20"/>
                <w:szCs w:val="20"/>
                <w:color w:val="auto"/>
              </w:rPr>
            </w:pPr>
            <w:r>
              <w:rPr>
                <w:rFonts w:ascii="Arial" w:cs="Arial" w:eastAsia="Arial" w:hAnsi="Arial"/>
                <w:sz w:val="18"/>
                <w:szCs w:val="18"/>
                <w:color w:val="auto"/>
              </w:rPr>
              <w:t>Available liquidity</w:t>
            </w: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30.5</w:t>
            </w:r>
          </w:p>
        </w:tc>
        <w:tc>
          <w:tcPr>
            <w:tcW w:w="3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Available under credit facilities</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2.3</w:t>
            </w:r>
          </w:p>
        </w:tc>
        <w:tc>
          <w:tcPr>
            <w:tcW w:w="3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64"/>
        </w:trPr>
        <w:tc>
          <w:tcPr>
            <w:tcW w:w="7660" w:type="dxa"/>
            <w:vAlign w:val="bottom"/>
          </w:tcPr>
          <w:p>
            <w:pPr>
              <w:ind w:left="20"/>
              <w:spacing w:after="0"/>
              <w:rPr>
                <w:sz w:val="20"/>
                <w:szCs w:val="20"/>
                <w:color w:val="auto"/>
              </w:rPr>
            </w:pPr>
            <w:r>
              <w:rPr>
                <w:rFonts w:ascii="Arial" w:cs="Arial" w:eastAsia="Arial" w:hAnsi="Arial"/>
                <w:sz w:val="18"/>
                <w:szCs w:val="18"/>
                <w:color w:val="auto"/>
              </w:rPr>
              <w:t>Total available liquidity</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32.8</w:t>
            </w:r>
          </w:p>
        </w:tc>
        <w:tc>
          <w:tcPr>
            <w:tcW w:w="34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0"/>
        </w:trPr>
        <w:tc>
          <w:tcPr>
            <w:tcW w:w="766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0"/>
        </w:trPr>
        <w:tc>
          <w:tcPr>
            <w:tcW w:w="76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Amount is net of $0.5 billion owed for unsettled marketable debt securities at June 30, 2020.</w:t>
      </w:r>
    </w:p>
    <w:p>
      <w:pPr>
        <w:spacing w:after="0" w:line="9" w:lineRule="exact"/>
        <w:rPr>
          <w:rFonts w:ascii="Arial" w:cs="Arial" w:eastAsia="Arial" w:hAnsi="Arial"/>
          <w:sz w:val="16"/>
          <w:szCs w:val="16"/>
          <w:color w:val="auto"/>
        </w:rPr>
      </w:pPr>
    </w:p>
    <w:p>
      <w:pPr>
        <w:ind w:left="340" w:hanging="332"/>
        <w:spacing w:after="0"/>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Amounts are designated exclusively for the use of Cruise.</w:t>
      </w:r>
    </w:p>
    <w:p>
      <w:pPr>
        <w:spacing w:after="0" w:line="23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changes in our Automotive available liquidity (excluding Cruise, dollars in billions):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80" w:type="dxa"/>
            <w:vAlign w:val="bottom"/>
          </w:tcPr>
          <w:p>
            <w:pPr>
              <w:spacing w:after="0"/>
              <w:rPr>
                <w:sz w:val="14"/>
                <w:szCs w:val="14"/>
                <w:color w:val="auto"/>
              </w:rPr>
            </w:pPr>
          </w:p>
        </w:tc>
        <w:tc>
          <w:tcPr>
            <w:tcW w:w="176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Six Months Ended June 30,</w:t>
            </w:r>
          </w:p>
        </w:tc>
        <w:tc>
          <w:tcPr>
            <w:tcW w:w="0" w:type="dxa"/>
            <w:vAlign w:val="bottom"/>
          </w:tcPr>
          <w:p>
            <w:pPr>
              <w:spacing w:after="0"/>
              <w:rPr>
                <w:sz w:val="1"/>
                <w:szCs w:val="1"/>
                <w:color w:val="auto"/>
              </w:rPr>
            </w:pPr>
          </w:p>
        </w:tc>
      </w:tr>
      <w:tr>
        <w:trPr>
          <w:trHeight w:val="192"/>
        </w:trPr>
        <w:tc>
          <w:tcPr>
            <w:tcW w:w="94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50"/>
        </w:trPr>
        <w:tc>
          <w:tcPr>
            <w:tcW w:w="9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cash flow</w:t>
            </w:r>
          </w:p>
        </w:tc>
        <w:tc>
          <w:tcPr>
            <w:tcW w:w="420" w:type="dxa"/>
            <w:vAlign w:val="bottom"/>
            <w:tcBorders>
              <w:bottom w:val="single" w:sz="8" w:color="CCEEFF"/>
            </w:tcBorders>
            <w:shd w:val="clear" w:color="auto" w:fill="CCEEFF"/>
          </w:tcPr>
          <w:p>
            <w:pPr>
              <w:jc w:val="right"/>
              <w:ind w:right="236"/>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43"/>
        </w:trPr>
        <w:tc>
          <w:tcPr>
            <w:tcW w:w="948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42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9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Dividends paid and payments to purchase common stock</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43"/>
        </w:trPr>
        <w:tc>
          <w:tcPr>
            <w:tcW w:w="9480" w:type="dxa"/>
            <w:vAlign w:val="bottom"/>
          </w:tcPr>
          <w:p>
            <w:pPr>
              <w:ind w:left="20"/>
              <w:spacing w:after="0"/>
              <w:rPr>
                <w:sz w:val="20"/>
                <w:szCs w:val="20"/>
                <w:color w:val="auto"/>
              </w:rPr>
            </w:pPr>
            <w:r>
              <w:rPr>
                <w:rFonts w:ascii="Arial" w:cs="Arial" w:eastAsia="Arial" w:hAnsi="Arial"/>
                <w:sz w:val="18"/>
                <w:szCs w:val="18"/>
                <w:color w:val="auto"/>
              </w:rPr>
              <w:t>Issuance of senior unsecured notes</w:t>
            </w:r>
          </w:p>
        </w:tc>
        <w:tc>
          <w:tcPr>
            <w:tcW w:w="420" w:type="dxa"/>
            <w:vAlign w:val="bottom"/>
          </w:tcPr>
          <w:p>
            <w:pPr>
              <w:spacing w:after="0"/>
              <w:rPr>
                <w:sz w:val="21"/>
                <w:szCs w:val="21"/>
                <w:color w:val="auto"/>
              </w:rPr>
            </w:pP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9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Borrowings against credit facilities</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43"/>
        </w:trPr>
        <w:tc>
          <w:tcPr>
            <w:tcW w:w="9480" w:type="dxa"/>
            <w:vAlign w:val="bottom"/>
          </w:tcPr>
          <w:p>
            <w:pPr>
              <w:ind w:left="20"/>
              <w:spacing w:after="0"/>
              <w:rPr>
                <w:sz w:val="20"/>
                <w:szCs w:val="20"/>
                <w:color w:val="auto"/>
              </w:rPr>
            </w:pPr>
            <w:r>
              <w:rPr>
                <w:rFonts w:ascii="Arial" w:cs="Arial" w:eastAsia="Arial" w:hAnsi="Arial"/>
                <w:sz w:val="18"/>
                <w:szCs w:val="18"/>
                <w:color w:val="auto"/>
              </w:rPr>
              <w:t>Other non-operating(a)</w:t>
            </w:r>
          </w:p>
        </w:tc>
        <w:tc>
          <w:tcPr>
            <w:tcW w:w="420" w:type="dxa"/>
            <w:vAlign w:val="bottom"/>
          </w:tcPr>
          <w:p>
            <w:pPr>
              <w:spacing w:after="0"/>
              <w:rPr>
                <w:sz w:val="21"/>
                <w:szCs w:val="21"/>
                <w:color w:val="auto"/>
              </w:rPr>
            </w:pP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9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Decrease in available credit facilities</w:t>
            </w:r>
          </w:p>
        </w:tc>
        <w:tc>
          <w:tcPr>
            <w:tcW w:w="4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63"/>
        </w:trPr>
        <w:tc>
          <w:tcPr>
            <w:tcW w:w="9480" w:type="dxa"/>
            <w:vAlign w:val="bottom"/>
          </w:tcPr>
          <w:p>
            <w:pPr>
              <w:ind w:left="20"/>
              <w:spacing w:after="0"/>
              <w:rPr>
                <w:sz w:val="20"/>
                <w:szCs w:val="20"/>
                <w:color w:val="auto"/>
              </w:rPr>
            </w:pPr>
            <w:r>
              <w:rPr>
                <w:rFonts w:ascii="Arial" w:cs="Arial" w:eastAsia="Arial" w:hAnsi="Arial"/>
                <w:sz w:val="18"/>
                <w:szCs w:val="18"/>
                <w:color w:val="auto"/>
              </w:rPr>
              <w:t>Total change in automotive available liquidity</w:t>
            </w:r>
          </w:p>
        </w:tc>
        <w:tc>
          <w:tcPr>
            <w:tcW w:w="420" w:type="dxa"/>
            <w:vAlign w:val="bottom"/>
            <w:tcBorders>
              <w:top w:val="single" w:sz="8" w:color="auto"/>
              <w:bottom w:val="single" w:sz="8" w:color="auto"/>
            </w:tcBorders>
          </w:tcPr>
          <w:p>
            <w:pPr>
              <w:jc w:val="right"/>
              <w:ind w:right="236"/>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948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4"/>
        </w:trPr>
        <w:tc>
          <w:tcPr>
            <w:tcW w:w="948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27"/>
        </w:numPr>
        <w:rPr>
          <w:rFonts w:ascii="Arial" w:cs="Arial" w:eastAsia="Arial" w:hAnsi="Arial"/>
          <w:sz w:val="15"/>
          <w:szCs w:val="15"/>
          <w:color w:val="auto"/>
        </w:rPr>
      </w:pPr>
      <w:r>
        <w:rPr>
          <w:rFonts w:ascii="Arial" w:cs="Arial" w:eastAsia="Arial" w:hAnsi="Arial"/>
          <w:sz w:val="15"/>
          <w:szCs w:val="15"/>
          <w:color w:val="auto"/>
        </w:rPr>
        <w:t>Amount includes $0.6 billion of proceeds from the sale of our remaining shares in Lyft and $0.9 billion in intercompany loans from GM Financial for subvention owed.</w:t>
      </w:r>
    </w:p>
    <w:p>
      <w:pPr>
        <w:spacing w:after="0" w:line="200" w:lineRule="exact"/>
        <w:rPr>
          <w:rFonts w:ascii="Arial" w:cs="Arial" w:eastAsia="Arial" w:hAnsi="Arial"/>
          <w:sz w:val="15"/>
          <w:szCs w:val="15"/>
          <w:color w:val="auto"/>
        </w:rPr>
      </w:pPr>
    </w:p>
    <w:p>
      <w:pPr>
        <w:spacing w:after="0" w:line="396" w:lineRule="exact"/>
        <w:rPr>
          <w:rFonts w:ascii="Arial" w:cs="Arial" w:eastAsia="Arial" w:hAnsi="Arial"/>
          <w:sz w:val="15"/>
          <w:szCs w:val="15"/>
          <w:color w:val="auto"/>
        </w:rPr>
      </w:pPr>
    </w:p>
    <w:p>
      <w:pPr>
        <w:ind w:left="5540"/>
        <w:spacing w:after="0"/>
        <w:rPr>
          <w:rFonts w:ascii="Arial" w:cs="Arial" w:eastAsia="Arial" w:hAnsi="Arial"/>
          <w:sz w:val="15"/>
          <w:szCs w:val="15"/>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8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Automotive Cash Flow (dollars in billions)</w:t>
      </w:r>
    </w:p>
    <w:p>
      <w:pPr>
        <w:spacing w:after="0" w:line="149"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7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right"/>
              <w:ind w:right="1032"/>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6"/>
        </w:trPr>
        <w:tc>
          <w:tcPr>
            <w:tcW w:w="6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2020</w:t>
            </w:r>
          </w:p>
        </w:tc>
        <w:tc>
          <w:tcPr>
            <w:tcW w:w="260" w:type="dxa"/>
            <w:vAlign w:val="bottom"/>
          </w:tcPr>
          <w:p>
            <w:pPr>
              <w:spacing w:after="0"/>
              <w:rPr>
                <w:sz w:val="17"/>
                <w:szCs w:val="17"/>
                <w:color w:val="auto"/>
              </w:rPr>
            </w:pPr>
          </w:p>
        </w:tc>
        <w:tc>
          <w:tcPr>
            <w:tcW w:w="148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2019</w:t>
            </w:r>
          </w:p>
        </w:tc>
        <w:tc>
          <w:tcPr>
            <w:tcW w:w="200" w:type="dxa"/>
            <w:vAlign w:val="bottom"/>
          </w:tcPr>
          <w:p>
            <w:pPr>
              <w:spacing w:after="0"/>
              <w:rPr>
                <w:sz w:val="17"/>
                <w:szCs w:val="17"/>
                <w:color w:val="auto"/>
              </w:rPr>
            </w:pP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Change</w:t>
            </w:r>
          </w:p>
        </w:tc>
      </w:tr>
      <w:tr>
        <w:trPr>
          <w:trHeight w:val="230"/>
        </w:trPr>
        <w:tc>
          <w:tcPr>
            <w:tcW w:w="6720" w:type="dxa"/>
            <w:vAlign w:val="bottom"/>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26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r>
      <w:tr>
        <w:trPr>
          <w:trHeight w:val="27"/>
        </w:trPr>
        <w:tc>
          <w:tcPr>
            <w:tcW w:w="6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center"/>
              <w:ind w:left="734"/>
              <w:spacing w:after="0"/>
              <w:rPr>
                <w:sz w:val="20"/>
                <w:szCs w:val="20"/>
                <w:color w:val="auto"/>
              </w:rPr>
            </w:pPr>
            <w:r>
              <w:rPr>
                <w:rFonts w:ascii="Arial" w:cs="Arial" w:eastAsia="Arial" w:hAnsi="Arial"/>
                <w:sz w:val="18"/>
                <w:szCs w:val="18"/>
                <w:color w:val="auto"/>
                <w:w w:val="97"/>
              </w:rPr>
              <w:t>(0.5)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center"/>
              <w:ind w:left="172"/>
              <w:spacing w:after="0"/>
              <w:rPr>
                <w:sz w:val="20"/>
                <w:szCs w:val="20"/>
                <w:color w:val="auto"/>
              </w:rPr>
            </w:pPr>
            <w:r>
              <w:rPr>
                <w:rFonts w:ascii="Arial" w:cs="Arial" w:eastAsia="Arial" w:hAnsi="Arial"/>
                <w:sz w:val="18"/>
                <w:szCs w:val="18"/>
                <w:color w:val="auto"/>
                <w:w w:val="91"/>
              </w:rPr>
              <w:t>(4.7)</w:t>
            </w: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Depreciation, amortization and impairment charges</w:t>
            </w:r>
          </w:p>
        </w:tc>
        <w:tc>
          <w:tcPr>
            <w:tcW w:w="260" w:type="dxa"/>
            <w:vAlign w:val="bottom"/>
          </w:tcPr>
          <w:p>
            <w:pPr>
              <w:spacing w:after="0"/>
              <w:rPr>
                <w:sz w:val="21"/>
                <w:szCs w:val="21"/>
                <w:color w:val="auto"/>
              </w:rPr>
            </w:pPr>
          </w:p>
        </w:tc>
        <w:tc>
          <w:tcPr>
            <w:tcW w:w="1380" w:type="dxa"/>
            <w:vAlign w:val="bottom"/>
          </w:tcPr>
          <w:p>
            <w:pPr>
              <w:jc w:val="center"/>
              <w:ind w:left="754"/>
              <w:spacing w:after="0"/>
              <w:rPr>
                <w:sz w:val="20"/>
                <w:szCs w:val="20"/>
                <w:color w:val="auto"/>
              </w:rPr>
            </w:pPr>
            <w:r>
              <w:rPr>
                <w:rFonts w:ascii="Arial" w:cs="Arial" w:eastAsia="Arial" w:hAnsi="Arial"/>
                <w:sz w:val="18"/>
                <w:szCs w:val="18"/>
                <w:color w:val="auto"/>
                <w:w w:val="87"/>
              </w:rPr>
              <w:t>2.8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jc w:val="right"/>
              <w:ind w:right="72"/>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center"/>
              <w:ind w:left="172"/>
              <w:spacing w:after="0"/>
              <w:rPr>
                <w:sz w:val="20"/>
                <w:szCs w:val="20"/>
                <w:color w:val="auto"/>
              </w:rPr>
            </w:pPr>
            <w:r>
              <w:rPr>
                <w:rFonts w:ascii="Arial" w:cs="Arial" w:eastAsia="Arial" w:hAnsi="Arial"/>
                <w:sz w:val="18"/>
                <w:szCs w:val="18"/>
                <w:color w:val="auto"/>
                <w:w w:val="91"/>
              </w:rPr>
              <w:t>(1.0)</w:t>
            </w:r>
          </w:p>
        </w:tc>
      </w:tr>
      <w:tr>
        <w:trPr>
          <w:trHeight w:val="27"/>
        </w:trPr>
        <w:tc>
          <w:tcPr>
            <w:tcW w:w="6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Pension and OPEB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center"/>
              <w:ind w:left="734"/>
              <w:spacing w:after="0"/>
              <w:rPr>
                <w:sz w:val="20"/>
                <w:szCs w:val="20"/>
                <w:color w:val="auto"/>
              </w:rPr>
            </w:pPr>
            <w:r>
              <w:rPr>
                <w:rFonts w:ascii="Arial" w:cs="Arial" w:eastAsia="Arial" w:hAnsi="Arial"/>
                <w:sz w:val="18"/>
                <w:szCs w:val="18"/>
                <w:color w:val="auto"/>
                <w:w w:val="97"/>
              </w:rPr>
              <w:t>(0.8)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center"/>
              <w:ind w:left="192"/>
              <w:spacing w:after="0"/>
              <w:rPr>
                <w:sz w:val="20"/>
                <w:szCs w:val="20"/>
                <w:color w:val="auto"/>
              </w:rPr>
            </w:pPr>
            <w:r>
              <w:rPr>
                <w:rFonts w:ascii="Arial" w:cs="Arial" w:eastAsia="Arial" w:hAnsi="Arial"/>
                <w:sz w:val="18"/>
                <w:szCs w:val="18"/>
                <w:color w:val="auto"/>
                <w:w w:val="95"/>
              </w:rPr>
              <w:t>0.1</w:t>
            </w: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Working capital</w:t>
            </w:r>
          </w:p>
        </w:tc>
        <w:tc>
          <w:tcPr>
            <w:tcW w:w="260" w:type="dxa"/>
            <w:vAlign w:val="bottom"/>
          </w:tcPr>
          <w:p>
            <w:pPr>
              <w:spacing w:after="0"/>
              <w:rPr>
                <w:sz w:val="21"/>
                <w:szCs w:val="21"/>
                <w:color w:val="auto"/>
              </w:rPr>
            </w:pPr>
          </w:p>
        </w:tc>
        <w:tc>
          <w:tcPr>
            <w:tcW w:w="1380" w:type="dxa"/>
            <w:vAlign w:val="bottom"/>
          </w:tcPr>
          <w:p>
            <w:pPr>
              <w:jc w:val="center"/>
              <w:ind w:left="734"/>
              <w:spacing w:after="0"/>
              <w:rPr>
                <w:sz w:val="20"/>
                <w:szCs w:val="20"/>
                <w:color w:val="auto"/>
              </w:rPr>
            </w:pPr>
            <w:r>
              <w:rPr>
                <w:rFonts w:ascii="Arial" w:cs="Arial" w:eastAsia="Arial" w:hAnsi="Arial"/>
                <w:sz w:val="18"/>
                <w:szCs w:val="18"/>
                <w:color w:val="auto"/>
                <w:w w:val="97"/>
              </w:rPr>
              <w:t>(5.8)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center"/>
              <w:ind w:left="172"/>
              <w:spacing w:after="0"/>
              <w:rPr>
                <w:sz w:val="20"/>
                <w:szCs w:val="20"/>
                <w:color w:val="auto"/>
              </w:rPr>
            </w:pPr>
            <w:r>
              <w:rPr>
                <w:rFonts w:ascii="Arial" w:cs="Arial" w:eastAsia="Arial" w:hAnsi="Arial"/>
                <w:sz w:val="18"/>
                <w:szCs w:val="18"/>
                <w:color w:val="auto"/>
                <w:w w:val="91"/>
              </w:rPr>
              <w:t>(1.2)</w:t>
            </w:r>
          </w:p>
        </w:tc>
      </w:tr>
      <w:tr>
        <w:trPr>
          <w:trHeight w:val="27"/>
        </w:trPr>
        <w:tc>
          <w:tcPr>
            <w:tcW w:w="6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and other liabilities and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center"/>
              <w:ind w:left="734"/>
              <w:spacing w:after="0"/>
              <w:rPr>
                <w:sz w:val="20"/>
                <w:szCs w:val="20"/>
                <w:color w:val="auto"/>
              </w:rPr>
            </w:pPr>
            <w:r>
              <w:rPr>
                <w:rFonts w:ascii="Arial" w:cs="Arial" w:eastAsia="Arial" w:hAnsi="Arial"/>
                <w:sz w:val="18"/>
                <w:szCs w:val="18"/>
                <w:color w:val="auto"/>
                <w:w w:val="97"/>
              </w:rPr>
              <w:t>(4.9)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center"/>
              <w:ind w:left="172"/>
              <w:spacing w:after="0"/>
              <w:rPr>
                <w:sz w:val="20"/>
                <w:szCs w:val="20"/>
                <w:color w:val="auto"/>
              </w:rPr>
            </w:pPr>
            <w:r>
              <w:rPr>
                <w:rFonts w:ascii="Arial" w:cs="Arial" w:eastAsia="Arial" w:hAnsi="Arial"/>
                <w:sz w:val="18"/>
                <w:szCs w:val="18"/>
                <w:color w:val="auto"/>
                <w:w w:val="91"/>
              </w:rPr>
              <w:t>(4.9)</w:t>
            </w: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1380" w:type="dxa"/>
            <w:vAlign w:val="bottom"/>
          </w:tcPr>
          <w:p>
            <w:pPr>
              <w:jc w:val="center"/>
              <w:ind w:left="754"/>
              <w:spacing w:after="0"/>
              <w:rPr>
                <w:sz w:val="20"/>
                <w:szCs w:val="20"/>
                <w:color w:val="auto"/>
              </w:rPr>
            </w:pPr>
            <w:r>
              <w:rPr>
                <w:rFonts w:ascii="Arial" w:cs="Arial" w:eastAsia="Arial" w:hAnsi="Arial"/>
                <w:sz w:val="18"/>
                <w:szCs w:val="18"/>
                <w:color w:val="auto"/>
                <w:w w:val="87"/>
              </w:rPr>
              <w:t>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center"/>
              <w:ind w:left="192"/>
              <w:spacing w:after="0"/>
              <w:rPr>
                <w:sz w:val="20"/>
                <w:szCs w:val="20"/>
                <w:color w:val="auto"/>
              </w:rPr>
            </w:pPr>
            <w:r>
              <w:rPr>
                <w:rFonts w:ascii="Arial" w:cs="Arial" w:eastAsia="Arial" w:hAnsi="Arial"/>
                <w:sz w:val="18"/>
                <w:szCs w:val="18"/>
                <w:color w:val="auto"/>
                <w:w w:val="95"/>
              </w:rPr>
              <w:t>2.4</w:t>
            </w:r>
          </w:p>
        </w:tc>
      </w:tr>
      <w:tr>
        <w:trPr>
          <w:trHeight w:val="27"/>
        </w:trPr>
        <w:tc>
          <w:tcPr>
            <w:tcW w:w="67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88"/>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automotive cash provided by (used in) operating activities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center"/>
              <w:ind w:left="734"/>
              <w:spacing w:after="0"/>
              <w:rPr>
                <w:sz w:val="20"/>
                <w:szCs w:val="20"/>
                <w:color w:val="auto"/>
              </w:rPr>
            </w:pPr>
            <w:r>
              <w:rPr>
                <w:rFonts w:ascii="Arial" w:cs="Arial" w:eastAsia="Arial" w:hAnsi="Arial"/>
                <w:sz w:val="18"/>
                <w:szCs w:val="18"/>
                <w:color w:val="auto"/>
                <w:w w:val="97"/>
              </w:rPr>
              <w:t>(7.7)</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center"/>
              <w:ind w:left="172"/>
              <w:spacing w:after="0"/>
              <w:rPr>
                <w:sz w:val="20"/>
                <w:szCs w:val="20"/>
                <w:color w:val="auto"/>
              </w:rPr>
            </w:pPr>
            <w:r>
              <w:rPr>
                <w:rFonts w:ascii="Arial" w:cs="Arial" w:eastAsia="Arial" w:hAnsi="Arial"/>
                <w:sz w:val="18"/>
                <w:szCs w:val="18"/>
                <w:color w:val="auto"/>
                <w:w w:val="91"/>
              </w:rPr>
              <w:t>(9.3)</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162"/>
        <w:spacing w:after="0" w:line="291" w:lineRule="auto"/>
        <w:rPr>
          <w:sz w:val="20"/>
          <w:szCs w:val="20"/>
          <w:color w:val="auto"/>
        </w:rPr>
      </w:pPr>
      <w:r>
        <w:rPr>
          <w:rFonts w:ascii="Arial" w:cs="Arial" w:eastAsia="Arial" w:hAnsi="Arial"/>
          <w:sz w:val="16"/>
          <w:szCs w:val="16"/>
          <w:color w:val="auto"/>
        </w:rPr>
        <w:t>In the six months ended June 30, 2020, the decrease in Net automotive cash provided by (used in) operating activities was primarily due to: (1) lower pre-tax earnings of $5.1 billion, the unwind of sales incentives of $4.4 billion, and the unwind of working capital, all impacted unfavorably by COVID-19;</w:t>
      </w:r>
    </w:p>
    <w:p>
      <w:pPr>
        <w:ind w:firstLine="8"/>
        <w:spacing w:after="0" w:line="260" w:lineRule="auto"/>
        <w:tabs>
          <w:tab w:leader="none" w:pos="279"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lower dividends received from our nonconsolidated affiliates of $0.4 billion; partially offset by (3) dividends received from GM Financial of $0.8 billion; and (4) several other insignificant items.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ind w:left="860"/>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2020</w:t>
            </w:r>
          </w:p>
        </w:tc>
        <w:tc>
          <w:tcPr>
            <w:tcW w:w="260" w:type="dxa"/>
            <w:vAlign w:val="bottom"/>
          </w:tcPr>
          <w:p>
            <w:pPr>
              <w:spacing w:after="0"/>
              <w:rPr>
                <w:sz w:val="17"/>
                <w:szCs w:val="17"/>
                <w:color w:val="auto"/>
              </w:rPr>
            </w:pPr>
          </w:p>
        </w:tc>
        <w:tc>
          <w:tcPr>
            <w:tcW w:w="148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2019</w:t>
            </w:r>
          </w:p>
        </w:tc>
        <w:tc>
          <w:tcPr>
            <w:tcW w:w="200" w:type="dxa"/>
            <w:vAlign w:val="bottom"/>
          </w:tcPr>
          <w:p>
            <w:pPr>
              <w:spacing w:after="0"/>
              <w:rPr>
                <w:sz w:val="17"/>
                <w:szCs w:val="17"/>
                <w:color w:val="auto"/>
              </w:rPr>
            </w:pP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720" w:type="dxa"/>
            <w:vAlign w:val="bottom"/>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26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center"/>
              <w:ind w:left="733"/>
              <w:spacing w:after="0"/>
              <w:rPr>
                <w:sz w:val="20"/>
                <w:szCs w:val="20"/>
                <w:color w:val="auto"/>
              </w:rPr>
            </w:pPr>
            <w:r>
              <w:rPr>
                <w:rFonts w:ascii="Arial" w:cs="Arial" w:eastAsia="Arial" w:hAnsi="Arial"/>
                <w:sz w:val="18"/>
                <w:szCs w:val="18"/>
                <w:color w:val="auto"/>
                <w:w w:val="97"/>
              </w:rPr>
              <w:t>(3.4)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center"/>
              <w:ind w:left="193"/>
              <w:spacing w:after="0"/>
              <w:rPr>
                <w:sz w:val="20"/>
                <w:szCs w:val="20"/>
                <w:color w:val="auto"/>
              </w:rPr>
            </w:pPr>
            <w:r>
              <w:rPr>
                <w:rFonts w:ascii="Arial" w:cs="Arial" w:eastAsia="Arial" w:hAnsi="Arial"/>
                <w:sz w:val="18"/>
                <w:szCs w:val="18"/>
                <w:color w:val="auto"/>
                <w:w w:val="95"/>
              </w:rPr>
              <w:t>1.1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20"/>
              <w:spacing w:after="0"/>
              <w:rPr>
                <w:sz w:val="20"/>
                <w:szCs w:val="20"/>
                <w:color w:val="auto"/>
              </w:rPr>
            </w:pPr>
            <w:r>
              <w:rPr>
                <w:rFonts w:ascii="Arial" w:cs="Arial" w:eastAsia="Arial" w:hAnsi="Arial"/>
                <w:sz w:val="18"/>
                <w:szCs w:val="18"/>
                <w:color w:val="auto"/>
              </w:rPr>
              <w:t>Acquisitions and liquidations of marketable securities, net(a)</w:t>
            </w:r>
          </w:p>
        </w:tc>
        <w:tc>
          <w:tcPr>
            <w:tcW w:w="260" w:type="dxa"/>
            <w:vAlign w:val="bottom"/>
          </w:tcPr>
          <w:p>
            <w:pPr>
              <w:spacing w:after="0"/>
              <w:rPr>
                <w:sz w:val="21"/>
                <w:szCs w:val="21"/>
                <w:color w:val="auto"/>
              </w:rPr>
            </w:pPr>
          </w:p>
        </w:tc>
        <w:tc>
          <w:tcPr>
            <w:tcW w:w="1380" w:type="dxa"/>
            <w:vAlign w:val="bottom"/>
          </w:tcPr>
          <w:p>
            <w:pPr>
              <w:jc w:val="right"/>
              <w:ind w:right="15"/>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jc w:val="center"/>
              <w:ind w:left="733"/>
              <w:spacing w:after="0"/>
              <w:rPr>
                <w:sz w:val="20"/>
                <w:szCs w:val="20"/>
                <w:color w:val="auto"/>
              </w:rPr>
            </w:pPr>
            <w:r>
              <w:rPr>
                <w:rFonts w:ascii="Arial" w:cs="Arial" w:eastAsia="Arial" w:hAnsi="Arial"/>
                <w:sz w:val="18"/>
                <w:szCs w:val="18"/>
                <w:color w:val="auto"/>
                <w:w w:val="97"/>
              </w:rPr>
              <w:t>(0.1)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center"/>
              <w:ind w:left="173"/>
              <w:spacing w:after="0"/>
              <w:rPr>
                <w:sz w:val="20"/>
                <w:szCs w:val="20"/>
                <w:color w:val="auto"/>
              </w:rPr>
            </w:pPr>
            <w:r>
              <w:rPr>
                <w:rFonts w:ascii="Arial" w:cs="Arial" w:eastAsia="Arial" w:hAnsi="Arial"/>
                <w:sz w:val="18"/>
                <w:szCs w:val="18"/>
                <w:color w:val="auto"/>
                <w:w w:val="91"/>
              </w:rPr>
              <w:t>(3.2)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GM investment in Cruise</w:t>
            </w: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center"/>
              <w:ind w:left="733"/>
              <w:spacing w:after="0"/>
              <w:rPr>
                <w:sz w:val="20"/>
                <w:szCs w:val="20"/>
                <w:color w:val="auto"/>
              </w:rPr>
            </w:pPr>
            <w:r>
              <w:rPr>
                <w:rFonts w:ascii="Arial" w:cs="Arial" w:eastAsia="Arial" w:hAnsi="Arial"/>
                <w:sz w:val="18"/>
                <w:szCs w:val="18"/>
                <w:color w:val="auto"/>
                <w:w w:val="97"/>
              </w:rPr>
              <w:t>(0.7)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center"/>
              <w:ind w:left="193"/>
              <w:spacing w:after="0"/>
              <w:rPr>
                <w:sz w:val="20"/>
                <w:szCs w:val="20"/>
                <w:color w:val="auto"/>
              </w:rPr>
            </w:pPr>
            <w:r>
              <w:rPr>
                <w:rFonts w:ascii="Arial" w:cs="Arial" w:eastAsia="Arial" w:hAnsi="Arial"/>
                <w:sz w:val="18"/>
                <w:szCs w:val="18"/>
                <w:color w:val="auto"/>
                <w:w w:val="95"/>
              </w:rPr>
              <w:t>0.7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148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80" w:type="dxa"/>
            <w:vAlign w:val="bottom"/>
          </w:tcPr>
          <w:p>
            <w:pPr>
              <w:jc w:val="center"/>
              <w:ind w:left="753"/>
              <w:spacing w:after="0"/>
              <w:rPr>
                <w:sz w:val="20"/>
                <w:szCs w:val="20"/>
                <w:color w:val="auto"/>
              </w:rPr>
            </w:pPr>
            <w:r>
              <w:rPr>
                <w:rFonts w:ascii="Arial" w:cs="Arial" w:eastAsia="Arial" w:hAnsi="Arial"/>
                <w:sz w:val="18"/>
                <w:szCs w:val="18"/>
                <w:color w:val="auto"/>
                <w:w w:val="87"/>
              </w:rPr>
              <w:t>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center"/>
              <w:ind w:left="173"/>
              <w:spacing w:after="0"/>
              <w:rPr>
                <w:sz w:val="20"/>
                <w:szCs w:val="20"/>
                <w:color w:val="auto"/>
              </w:rPr>
            </w:pPr>
            <w:r>
              <w:rPr>
                <w:rFonts w:ascii="Arial" w:cs="Arial" w:eastAsia="Arial" w:hAnsi="Arial"/>
                <w:sz w:val="18"/>
                <w:szCs w:val="18"/>
                <w:color w:val="auto"/>
                <w:w w:val="91"/>
              </w:rPr>
              <w:t>(0.1)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automotive cash used in investing activities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center"/>
              <w:ind w:left="733"/>
              <w:spacing w:after="0"/>
              <w:rPr>
                <w:sz w:val="20"/>
                <w:szCs w:val="20"/>
                <w:color w:val="auto"/>
              </w:rPr>
            </w:pPr>
            <w:r>
              <w:rPr>
                <w:rFonts w:ascii="Arial" w:cs="Arial" w:eastAsia="Arial" w:hAnsi="Arial"/>
                <w:sz w:val="18"/>
                <w:szCs w:val="18"/>
                <w:color w:val="auto"/>
                <w:w w:val="97"/>
              </w:rPr>
              <w:t>(4.1)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center"/>
              <w:ind w:left="173"/>
              <w:spacing w:after="0"/>
              <w:rPr>
                <w:sz w:val="20"/>
                <w:szCs w:val="20"/>
                <w:color w:val="auto"/>
              </w:rPr>
            </w:pPr>
            <w:r>
              <w:rPr>
                <w:rFonts w:ascii="Arial" w:cs="Arial" w:eastAsia="Arial" w:hAnsi="Arial"/>
                <w:sz w:val="18"/>
                <w:szCs w:val="18"/>
                <w:color w:val="auto"/>
                <w:w w:val="91"/>
              </w:rPr>
              <w:t>(1.5)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740" w:type="dxa"/>
            <w:vAlign w:val="bottom"/>
            <w:gridSpan w:val="2"/>
            <w:vMerge w:val="restart"/>
          </w:tcPr>
          <w:p>
            <w:pPr>
              <w:jc w:val="right"/>
              <w:ind w:right="5750"/>
              <w:spacing w:after="0"/>
              <w:rPr>
                <w:sz w:val="20"/>
                <w:szCs w:val="20"/>
                <w:color w:val="auto"/>
              </w:rPr>
            </w:pPr>
            <w:r>
              <w:rPr>
                <w:rFonts w:ascii="Arial" w:cs="Arial" w:eastAsia="Arial" w:hAnsi="Arial"/>
                <w:sz w:val="18"/>
                <w:szCs w:val="18"/>
                <w:color w:val="auto"/>
                <w:w w:val="87"/>
              </w:rPr>
              <w:t>__________</w:t>
            </w: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674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tabs>
          <w:tab w:leader="none" w:pos="30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Amount includes $0.6 billion of proceeds from the sale of our remaining shares in Lyft in the six months ended June 30, 2020.</w:t>
      </w:r>
    </w:p>
    <w:p>
      <w:pPr>
        <w:spacing w:after="0" w:line="234"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color w:val="auto"/>
        </w:rPr>
        <w:t>In the six months ended June 30, 2020, capital expenditures decreased due to the delay of non-critical projects, including certain future product programs, in response to the COVID-19 pandemic. Cash used in acquisitions and liquidations of marketable securities, net increased due to the increased purchases of marketable securities with proceeds from the issuance of debt in response to the COVID-19 pandemic.</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right"/>
              <w:ind w:right="1033"/>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2020</w:t>
            </w:r>
          </w:p>
        </w:tc>
        <w:tc>
          <w:tcPr>
            <w:tcW w:w="260" w:type="dxa"/>
            <w:vAlign w:val="bottom"/>
          </w:tcPr>
          <w:p>
            <w:pPr>
              <w:spacing w:after="0"/>
              <w:rPr>
                <w:sz w:val="17"/>
                <w:szCs w:val="17"/>
                <w:color w:val="auto"/>
              </w:rPr>
            </w:pPr>
          </w:p>
        </w:tc>
        <w:tc>
          <w:tcPr>
            <w:tcW w:w="148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2019</w:t>
            </w:r>
          </w:p>
        </w:tc>
        <w:tc>
          <w:tcPr>
            <w:tcW w:w="200" w:type="dxa"/>
            <w:vAlign w:val="bottom"/>
          </w:tcPr>
          <w:p>
            <w:pPr>
              <w:spacing w:after="0"/>
              <w:rPr>
                <w:sz w:val="17"/>
                <w:szCs w:val="17"/>
                <w:color w:val="auto"/>
              </w:rPr>
            </w:pPr>
          </w:p>
        </w:tc>
        <w:tc>
          <w:tcPr>
            <w:tcW w:w="800" w:type="dxa"/>
            <w:vAlign w:val="bottom"/>
          </w:tcPr>
          <w:p>
            <w:pPr>
              <w:jc w:val="right"/>
              <w:ind w:right="17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20" w:type="dxa"/>
            <w:vAlign w:val="bottom"/>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26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Borrowings against credit facilities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20"/>
              <w:spacing w:after="0"/>
              <w:rPr>
                <w:sz w:val="20"/>
                <w:szCs w:val="20"/>
                <w:color w:val="auto"/>
              </w:rPr>
            </w:pPr>
            <w:r>
              <w:rPr>
                <w:rFonts w:ascii="Arial" w:cs="Arial" w:eastAsia="Arial" w:hAnsi="Arial"/>
                <w:sz w:val="18"/>
                <w:szCs w:val="18"/>
                <w:color w:val="auto"/>
              </w:rPr>
              <w:t>Net proceeds from short-term debt(a)</w:t>
            </w:r>
          </w:p>
        </w:tc>
        <w:tc>
          <w:tcPr>
            <w:tcW w:w="260" w:type="dxa"/>
            <w:vAlign w:val="bottom"/>
          </w:tcPr>
          <w:p>
            <w:pPr>
              <w:spacing w:after="0"/>
              <w:rPr>
                <w:sz w:val="21"/>
                <w:szCs w:val="21"/>
                <w:color w:val="auto"/>
              </w:rPr>
            </w:pPr>
          </w:p>
        </w:tc>
        <w:tc>
          <w:tcPr>
            <w:tcW w:w="1380" w:type="dxa"/>
            <w:vAlign w:val="bottom"/>
          </w:tcPr>
          <w:p>
            <w:pPr>
              <w:jc w:val="right"/>
              <w:ind w:right="75"/>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jc w:val="right"/>
              <w:ind w:right="73"/>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53"/>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Issuance of senior unsecured notes</w:t>
            </w: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20"/>
              <w:spacing w:after="0"/>
              <w:rPr>
                <w:sz w:val="20"/>
                <w:szCs w:val="20"/>
                <w:color w:val="auto"/>
              </w:rPr>
            </w:pPr>
            <w:r>
              <w:rPr>
                <w:rFonts w:ascii="Arial" w:cs="Arial" w:eastAsia="Arial" w:hAnsi="Arial"/>
                <w:sz w:val="18"/>
                <w:szCs w:val="18"/>
                <w:color w:val="auto"/>
              </w:rPr>
              <w:t>Dividends paid and payments to purchase common stock</w:t>
            </w:r>
          </w:p>
        </w:tc>
        <w:tc>
          <w:tcPr>
            <w:tcW w:w="260" w:type="dxa"/>
            <w:vAlign w:val="bottom"/>
          </w:tcPr>
          <w:p>
            <w:pPr>
              <w:spacing w:after="0"/>
              <w:rPr>
                <w:sz w:val="21"/>
                <w:szCs w:val="21"/>
                <w:color w:val="auto"/>
              </w:rPr>
            </w:pPr>
          </w:p>
        </w:tc>
        <w:tc>
          <w:tcPr>
            <w:tcW w:w="1380" w:type="dxa"/>
            <w:vAlign w:val="bottom"/>
          </w:tcPr>
          <w:p>
            <w:pPr>
              <w:jc w:val="right"/>
              <w:ind w:right="15"/>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53"/>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720" w:type="dxa"/>
            <w:vAlign w:val="bottom"/>
          </w:tcPr>
          <w:p>
            <w:pPr>
              <w:ind w:left="20"/>
              <w:spacing w:after="0"/>
              <w:rPr>
                <w:sz w:val="20"/>
                <w:szCs w:val="20"/>
                <w:color w:val="auto"/>
              </w:rPr>
            </w:pPr>
            <w:r>
              <w:rPr>
                <w:rFonts w:ascii="Arial" w:cs="Arial" w:eastAsia="Arial" w:hAnsi="Arial"/>
                <w:sz w:val="18"/>
                <w:szCs w:val="18"/>
                <w:color w:val="auto"/>
              </w:rPr>
              <w:t>Net automotive cash provided by financing activities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0"/>
        </w:trPr>
        <w:tc>
          <w:tcPr>
            <w:tcW w:w="6740" w:type="dxa"/>
            <w:vAlign w:val="bottom"/>
            <w:gridSpan w:val="2"/>
            <w:vMerge w:val="restart"/>
          </w:tcPr>
          <w:p>
            <w:pPr>
              <w:jc w:val="right"/>
              <w:ind w:right="5750"/>
              <w:spacing w:after="0"/>
              <w:rPr>
                <w:sz w:val="20"/>
                <w:szCs w:val="20"/>
                <w:color w:val="auto"/>
              </w:rPr>
            </w:pPr>
            <w:r>
              <w:rPr>
                <w:rFonts w:ascii="Arial" w:cs="Arial" w:eastAsia="Arial" w:hAnsi="Arial"/>
                <w:sz w:val="18"/>
                <w:szCs w:val="18"/>
                <w:color w:val="auto"/>
                <w:w w:val="87"/>
              </w:rPr>
              <w:t>__________</w:t>
            </w: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4"/>
        </w:trPr>
        <w:tc>
          <w:tcPr>
            <w:tcW w:w="674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tabs>
          <w:tab w:leader="none" w:pos="30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Amount includes $0.9 billion intercompany loans from GM Financial for subvention owed in the six months ended June 30, 2020.</w:t>
      </w:r>
    </w:p>
    <w:p>
      <w:pPr>
        <w:spacing w:after="0" w:line="234"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i w:val="1"/>
          <w:iCs w:val="1"/>
          <w:color w:val="auto"/>
        </w:rPr>
        <w:t xml:space="preserve">Adjusted Automotive Free Cash Flow </w:t>
      </w:r>
      <w:r>
        <w:rPr>
          <w:rFonts w:ascii="Arial" w:cs="Arial" w:eastAsia="Arial" w:hAnsi="Arial"/>
          <w:sz w:val="17"/>
          <w:szCs w:val="17"/>
          <w:color w:val="auto"/>
        </w:rPr>
        <w:t>We measure adjusted automotive free cash flow as automotive operating cash flow from operations less capital</w:t>
      </w:r>
      <w:r>
        <w:rPr>
          <w:rFonts w:ascii="Arial" w:cs="Arial" w:eastAsia="Arial" w:hAnsi="Arial"/>
          <w:sz w:val="17"/>
          <w:szCs w:val="17"/>
          <w:i w:val="1"/>
          <w:iCs w:val="1"/>
          <w:color w:val="auto"/>
        </w:rPr>
        <w:t xml:space="preserve"> </w:t>
      </w:r>
      <w:r>
        <w:rPr>
          <w:rFonts w:ascii="Arial" w:cs="Arial" w:eastAsia="Arial" w:hAnsi="Arial"/>
          <w:sz w:val="17"/>
          <w:szCs w:val="17"/>
          <w:color w:val="auto"/>
        </w:rPr>
        <w:t>expenditures adjusted for management actions. For the six months ended June 30, 2020, net automotive cash used in operating activities under U.S. GAAP was $7.7 billion, capital expenditures were $2.3 billion, and adjustments for management actions were insignificant.</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81" w:lineRule="exact"/>
        <w:rPr>
          <w:sz w:val="20"/>
          <w:szCs w:val="20"/>
          <w:color w:val="auto"/>
        </w:rPr>
      </w:pPr>
    </w:p>
    <w:p>
      <w:pPr>
        <w:jc w:val="both"/>
        <w:ind w:right="20" w:firstLine="162"/>
        <w:spacing w:after="0" w:line="308" w:lineRule="auto"/>
        <w:rPr>
          <w:sz w:val="20"/>
          <w:szCs w:val="20"/>
          <w:color w:val="auto"/>
        </w:rPr>
      </w:pPr>
      <w:r>
        <w:rPr>
          <w:rFonts w:ascii="Arial" w:cs="Arial" w:eastAsia="Arial" w:hAnsi="Arial"/>
          <w:sz w:val="17"/>
          <w:szCs w:val="17"/>
          <w:color w:val="auto"/>
        </w:rPr>
        <w:t>For the six months ended June 30, 2019, net automotive cash provided by operating activities under U.S. GAAP was $1.6 billion, capital expenditures were $3.4 billion, and an adjustment for management actions related to transformation activities primarily in GMNA was $0.5 billion.</w:t>
      </w:r>
    </w:p>
    <w:p>
      <w:pPr>
        <w:spacing w:after="0" w:line="173"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i w:val="1"/>
          <w:iCs w:val="1"/>
          <w:color w:val="auto"/>
        </w:rPr>
        <w:t xml:space="preserve">Status of Credit Ratings </w:t>
      </w:r>
      <w:r>
        <w:rPr>
          <w:rFonts w:ascii="Arial" w:cs="Arial" w:eastAsia="Arial" w:hAnsi="Arial"/>
          <w:sz w:val="18"/>
          <w:szCs w:val="18"/>
          <w:color w:val="auto"/>
        </w:rPr>
        <w:t>We receive ratings from four independent credit rating agencies: DBRS Limited (DBRS), Fitch Ratings (Fitch), Moody's</w:t>
      </w:r>
      <w:r>
        <w:rPr>
          <w:rFonts w:ascii="Arial" w:cs="Arial" w:eastAsia="Arial" w:hAnsi="Arial"/>
          <w:sz w:val="18"/>
          <w:szCs w:val="18"/>
          <w:i w:val="1"/>
          <w:iCs w:val="1"/>
          <w:color w:val="auto"/>
        </w:rPr>
        <w:t xml:space="preserve"> </w:t>
      </w:r>
      <w:r>
        <w:rPr>
          <w:rFonts w:ascii="Arial" w:cs="Arial" w:eastAsia="Arial" w:hAnsi="Arial"/>
          <w:sz w:val="18"/>
          <w:szCs w:val="18"/>
          <w:color w:val="auto"/>
        </w:rPr>
        <w:t>Investor Service (Moody's) and Standard &amp; Poor's (S&amp;P). All four credit rating agencies currently rate our corporate credit at investment grade. The following table summarizes our credit ratings at July 15, 2020:</w:t>
      </w:r>
    </w:p>
    <w:p>
      <w:pPr>
        <w:spacing w:after="0" w:line="108" w:lineRule="exact"/>
        <w:rPr>
          <w:sz w:val="20"/>
          <w:szCs w:val="20"/>
          <w:color w:val="auto"/>
        </w:rPr>
      </w:pPr>
    </w:p>
    <w:tbl>
      <w:tblPr>
        <w:tblLayout w:type="fixed"/>
        <w:tblInd w:w="20" w:type="dxa"/>
        <w:tblCellMar>
          <w:top w:w="0" w:type="dxa"/>
          <w:left w:w="0" w:type="dxa"/>
          <w:bottom w:w="0" w:type="dxa"/>
          <w:right w:w="0" w:type="dxa"/>
        </w:tblCellMar>
      </w:tblPr>
      <w:tr>
        <w:trPr>
          <w:trHeight w:val="206"/>
        </w:trPr>
        <w:tc>
          <w:tcPr>
            <w:tcW w:w="1520" w:type="dxa"/>
            <w:vAlign w:val="bottom"/>
            <w:tcBorders>
              <w:bottom w:val="single" w:sz="8" w:color="CCEEFF"/>
            </w:tcBorders>
          </w:tcPr>
          <w:p>
            <w:pPr>
              <w:spacing w:after="0"/>
              <w:rPr>
                <w:sz w:val="17"/>
                <w:szCs w:val="17"/>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Corporate</w:t>
            </w:r>
          </w:p>
        </w:tc>
        <w:tc>
          <w:tcPr>
            <w:tcW w:w="100" w:type="dxa"/>
            <w:vAlign w:val="bottom"/>
            <w:tcBorders>
              <w:bottom w:val="single" w:sz="8" w:color="CCEEFF"/>
            </w:tcBorders>
          </w:tcPr>
          <w:p>
            <w:pPr>
              <w:spacing w:after="0"/>
              <w:rPr>
                <w:sz w:val="17"/>
                <w:szCs w:val="17"/>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Revolving Credit Facilities</w:t>
            </w:r>
          </w:p>
        </w:tc>
        <w:tc>
          <w:tcPr>
            <w:tcW w:w="120" w:type="dxa"/>
            <w:vAlign w:val="bottom"/>
            <w:tcBorders>
              <w:bottom w:val="single" w:sz="8" w:color="CCEEFF"/>
            </w:tcBorders>
          </w:tcPr>
          <w:p>
            <w:pPr>
              <w:spacing w:after="0"/>
              <w:rPr>
                <w:sz w:val="17"/>
                <w:szCs w:val="17"/>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Senior Unsecured</w:t>
            </w:r>
          </w:p>
        </w:tc>
        <w:tc>
          <w:tcPr>
            <w:tcW w:w="100" w:type="dxa"/>
            <w:vAlign w:val="bottom"/>
            <w:tcBorders>
              <w:bottom w:val="single" w:sz="8" w:color="CCEEFF"/>
            </w:tcBorders>
          </w:tcPr>
          <w:p>
            <w:pPr>
              <w:spacing w:after="0"/>
              <w:rPr>
                <w:sz w:val="17"/>
                <w:szCs w:val="17"/>
                <w:color w:val="auto"/>
              </w:rPr>
            </w:pPr>
          </w:p>
        </w:tc>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Outlook</w:t>
            </w:r>
          </w:p>
        </w:tc>
      </w:tr>
      <w:tr>
        <w:trPr>
          <w:trHeight w:val="250"/>
        </w:trPr>
        <w:tc>
          <w:tcPr>
            <w:tcW w:w="1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DBRS</w:t>
            </w:r>
          </w:p>
        </w:tc>
        <w:tc>
          <w:tcPr>
            <w:tcW w:w="17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BBB</w:t>
            </w:r>
          </w:p>
        </w:tc>
        <w:tc>
          <w:tcPr>
            <w:tcW w:w="18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BBB</w:t>
            </w:r>
          </w:p>
        </w:tc>
        <w:tc>
          <w:tcPr>
            <w:tcW w:w="17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N/A</w:t>
            </w:r>
          </w:p>
        </w:tc>
        <w:tc>
          <w:tcPr>
            <w:tcW w:w="43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Negative</w:t>
            </w:r>
          </w:p>
        </w:tc>
      </w:tr>
      <w:tr>
        <w:trPr>
          <w:trHeight w:val="243"/>
        </w:trPr>
        <w:tc>
          <w:tcPr>
            <w:tcW w:w="1520" w:type="dxa"/>
            <w:vAlign w:val="bottom"/>
          </w:tcPr>
          <w:p>
            <w:pPr>
              <w:ind w:left="20"/>
              <w:spacing w:after="0"/>
              <w:rPr>
                <w:sz w:val="20"/>
                <w:szCs w:val="20"/>
                <w:color w:val="auto"/>
              </w:rPr>
            </w:pPr>
            <w:r>
              <w:rPr>
                <w:rFonts w:ascii="Arial" w:cs="Arial" w:eastAsia="Arial" w:hAnsi="Arial"/>
                <w:sz w:val="18"/>
                <w:szCs w:val="18"/>
                <w:color w:val="auto"/>
              </w:rPr>
              <w:t>Fitch</w:t>
            </w:r>
          </w:p>
        </w:tc>
        <w:tc>
          <w:tcPr>
            <w:tcW w:w="17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BBB-</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BBB-</w:t>
            </w:r>
          </w:p>
        </w:tc>
        <w:tc>
          <w:tcPr>
            <w:tcW w:w="17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BBB-</w:t>
            </w:r>
          </w:p>
        </w:tc>
        <w:tc>
          <w:tcPr>
            <w:tcW w:w="4320" w:type="dxa"/>
            <w:vAlign w:val="bottom"/>
          </w:tcPr>
          <w:p>
            <w:pPr>
              <w:jc w:val="center"/>
              <w:spacing w:after="0"/>
              <w:rPr>
                <w:sz w:val="20"/>
                <w:szCs w:val="20"/>
                <w:color w:val="auto"/>
              </w:rPr>
            </w:pPr>
            <w:r>
              <w:rPr>
                <w:rFonts w:ascii="Arial" w:cs="Arial" w:eastAsia="Arial" w:hAnsi="Arial"/>
                <w:sz w:val="18"/>
                <w:szCs w:val="18"/>
                <w:color w:val="auto"/>
                <w:w w:val="90"/>
              </w:rPr>
              <w:t>Stable</w:t>
            </w:r>
          </w:p>
        </w:tc>
      </w:tr>
      <w:tr>
        <w:trPr>
          <w:trHeight w:val="27"/>
        </w:trPr>
        <w:tc>
          <w:tcPr>
            <w:tcW w:w="15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320" w:type="dxa"/>
            <w:vAlign w:val="bottom"/>
          </w:tcPr>
          <w:p>
            <w:pPr>
              <w:spacing w:after="0"/>
              <w:rPr>
                <w:sz w:val="2"/>
                <w:szCs w:val="2"/>
                <w:color w:val="auto"/>
              </w:rPr>
            </w:pPr>
          </w:p>
        </w:tc>
      </w:tr>
      <w:tr>
        <w:trPr>
          <w:trHeight w:val="250"/>
        </w:trPr>
        <w:tc>
          <w:tcPr>
            <w:tcW w:w="1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Moody's</w:t>
            </w:r>
          </w:p>
        </w:tc>
        <w:tc>
          <w:tcPr>
            <w:tcW w:w="17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Investment Grade</w:t>
            </w:r>
          </w:p>
        </w:tc>
        <w:tc>
          <w:tcPr>
            <w:tcW w:w="18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Baa2</w:t>
            </w:r>
          </w:p>
        </w:tc>
        <w:tc>
          <w:tcPr>
            <w:tcW w:w="17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5"/>
              </w:rPr>
              <w:t>Baa3</w:t>
            </w:r>
          </w:p>
        </w:tc>
        <w:tc>
          <w:tcPr>
            <w:tcW w:w="43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Negative</w:t>
            </w:r>
          </w:p>
        </w:tc>
      </w:tr>
      <w:tr>
        <w:trPr>
          <w:trHeight w:val="243"/>
        </w:trPr>
        <w:tc>
          <w:tcPr>
            <w:tcW w:w="1520" w:type="dxa"/>
            <w:vAlign w:val="bottom"/>
          </w:tcPr>
          <w:p>
            <w:pPr>
              <w:ind w:left="20"/>
              <w:spacing w:after="0"/>
              <w:rPr>
                <w:sz w:val="20"/>
                <w:szCs w:val="20"/>
                <w:color w:val="auto"/>
              </w:rPr>
            </w:pPr>
            <w:r>
              <w:rPr>
                <w:rFonts w:ascii="Arial" w:cs="Arial" w:eastAsia="Arial" w:hAnsi="Arial"/>
                <w:sz w:val="18"/>
                <w:szCs w:val="18"/>
                <w:color w:val="auto"/>
              </w:rPr>
              <w:t>S&amp;P</w:t>
            </w: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BBB</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BBB</w:t>
            </w: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BBB</w:t>
            </w:r>
          </w:p>
        </w:tc>
        <w:tc>
          <w:tcPr>
            <w:tcW w:w="4320" w:type="dxa"/>
            <w:vAlign w:val="bottom"/>
          </w:tcPr>
          <w:p>
            <w:pPr>
              <w:jc w:val="center"/>
              <w:spacing w:after="0"/>
              <w:rPr>
                <w:sz w:val="20"/>
                <w:szCs w:val="20"/>
                <w:color w:val="auto"/>
              </w:rPr>
            </w:pPr>
            <w:r>
              <w:rPr>
                <w:rFonts w:ascii="Arial" w:cs="Arial" w:eastAsia="Arial" w:hAnsi="Arial"/>
                <w:sz w:val="18"/>
                <w:szCs w:val="18"/>
                <w:color w:val="auto"/>
                <w:w w:val="93"/>
              </w:rPr>
              <w:t>Credit watch with negative implications</w:t>
            </w:r>
          </w:p>
        </w:tc>
      </w:tr>
    </w:tbl>
    <w:p>
      <w:pPr>
        <w:spacing w:after="0" w:line="337"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7"/>
          <w:szCs w:val="17"/>
          <w:color w:val="auto"/>
        </w:rPr>
        <w:t>Rating actions taken by each of the credit rating agencies from January 1, 2020 through July 15, 2020 were as follows: (1) S&amp;P revised their outlook to Credit watch with negative implications from Stable in March 2020; (2) Moody’s revised their outlook to Under review for downgrade from Stable in March 2020; confirmed our ratings and revised their outlook to Negative from Under review for downgrade in May 2020; (3) DBRS revised their outlook to Under review with negative implications from Stable in March 2020; downgraded our ratings to BBB from BBB (high) and revised their outlook to Negative from Under review with negative implications in June 2020; and (4) Fitch downgraded our ratings to BBB- from BBB in May 2020.</w:t>
      </w:r>
    </w:p>
    <w:p>
      <w:pPr>
        <w:spacing w:after="0" w:line="201"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b w:val="1"/>
          <w:bCs w:val="1"/>
          <w:i w:val="1"/>
          <w:iCs w:val="1"/>
          <w:color w:val="auto"/>
        </w:rPr>
        <w:t xml:space="preserve">Cruise Liquidity </w:t>
      </w:r>
      <w:r>
        <w:rPr>
          <w:rFonts w:ascii="Arial" w:cs="Arial" w:eastAsia="Arial" w:hAnsi="Arial"/>
          <w:sz w:val="18"/>
          <w:szCs w:val="18"/>
          <w:color w:val="auto"/>
        </w:rPr>
        <w:t>The changes in our Cruise available liquidity in the six months ended June 30, 2020 were primarily driven by operating cash flow.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When Cruise's autonomous vehicles are ready for commercial deployment, The Vision Fund is obligated to purchase additional Cruise convertible preferred shares for $1.35 billion.</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Cruise Cash Flow (dollars in billions)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ind w:left="880"/>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97"/>
        </w:trPr>
        <w:tc>
          <w:tcPr>
            <w:tcW w:w="67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June 30, 2020</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June 30, 2019</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Change</w:t>
            </w:r>
          </w:p>
        </w:tc>
      </w:tr>
      <w:tr>
        <w:trPr>
          <w:trHeight w:val="250"/>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center"/>
              <w:ind w:left="755"/>
              <w:spacing w:after="0"/>
              <w:rPr>
                <w:sz w:val="20"/>
                <w:szCs w:val="20"/>
                <w:color w:val="auto"/>
              </w:rPr>
            </w:pPr>
            <w:r>
              <w:rPr>
                <w:rFonts w:ascii="Arial" w:cs="Arial" w:eastAsia="Arial" w:hAnsi="Arial"/>
                <w:sz w:val="18"/>
                <w:szCs w:val="18"/>
                <w:color w:val="auto"/>
                <w:w w:val="91"/>
              </w:rPr>
              <w:t>(0.4)</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7"/>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center"/>
              <w:ind w:left="755"/>
              <w:spacing w:after="0"/>
              <w:rPr>
                <w:sz w:val="20"/>
                <w:szCs w:val="20"/>
                <w:color w:val="auto"/>
              </w:rPr>
            </w:pPr>
            <w:r>
              <w:rPr>
                <w:rFonts w:ascii="Arial" w:cs="Arial" w:eastAsia="Arial" w:hAnsi="Arial"/>
                <w:sz w:val="18"/>
                <w:szCs w:val="18"/>
                <w:color w:val="auto"/>
                <w:w w:val="91"/>
              </w:rPr>
              <w:t>(0.9)</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75"/>
              <w:spacing w:after="0"/>
              <w:rPr>
                <w:sz w:val="20"/>
                <w:szCs w:val="20"/>
                <w:color w:val="auto"/>
              </w:rPr>
            </w:pPr>
            <w:r>
              <w:rPr>
                <w:rFonts w:ascii="Arial" w:cs="Arial" w:eastAsia="Arial" w:hAnsi="Arial"/>
                <w:sz w:val="18"/>
                <w:szCs w:val="18"/>
                <w:color w:val="auto"/>
              </w:rPr>
              <w:t>0.2</w:t>
            </w: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3"/>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center"/>
              <w:ind w:left="775"/>
              <w:spacing w:after="0"/>
              <w:rPr>
                <w:sz w:val="20"/>
                <w:szCs w:val="20"/>
                <w:color w:val="auto"/>
              </w:rPr>
            </w:pPr>
            <w:r>
              <w:rPr>
                <w:rFonts w:ascii="Arial" w:cs="Arial" w:eastAsia="Arial" w:hAnsi="Arial"/>
                <w:sz w:val="18"/>
                <w:szCs w:val="18"/>
                <w:color w:val="auto"/>
                <w:w w:val="95"/>
              </w:rPr>
              <w:t>1.1</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(1.1)</w:t>
            </w:r>
          </w:p>
        </w:tc>
      </w:tr>
      <w:tr>
        <w:trPr>
          <w:trHeight w:val="27"/>
        </w:trPr>
        <w:tc>
          <w:tcPr>
            <w:tcW w:w="67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r>
    </w:tbl>
    <w:p>
      <w:pPr>
        <w:spacing w:after="0" w:line="323" w:lineRule="exact"/>
        <w:rPr>
          <w:sz w:val="20"/>
          <w:szCs w:val="20"/>
          <w:color w:val="auto"/>
        </w:rPr>
      </w:pPr>
    </w:p>
    <w:p>
      <w:pPr>
        <w:jc w:val="both"/>
        <w:ind w:firstLine="162"/>
        <w:spacing w:after="0" w:line="254" w:lineRule="auto"/>
        <w:rPr>
          <w:sz w:val="20"/>
          <w:szCs w:val="20"/>
          <w:color w:val="auto"/>
        </w:rPr>
      </w:pPr>
      <w:r>
        <w:rPr>
          <w:rFonts w:ascii="Arial" w:cs="Arial" w:eastAsia="Arial" w:hAnsi="Arial"/>
          <w:sz w:val="18"/>
          <w:szCs w:val="18"/>
          <w:b w:val="1"/>
          <w:bCs w:val="1"/>
          <w:i w:val="1"/>
          <w:iCs w:val="1"/>
          <w:color w:val="auto"/>
        </w:rPr>
        <w:t xml:space="preserve">Automotive Financing – GM Financial Liquidity </w:t>
      </w:r>
      <w:r>
        <w:rPr>
          <w:rFonts w:ascii="Arial" w:cs="Arial" w:eastAsia="Arial" w:hAnsi="Arial"/>
          <w:sz w:val="18"/>
          <w:szCs w:val="18"/>
          <w:color w:val="auto"/>
        </w:rPr>
        <w:t>GM Financial's primary sources of cash are finance charge income, leasing income and proceeds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sale of terminated leased vehicles, net distributions from credit facilities, securitizations, secured and unsecured borrowings and collections and recoveries on finance receivables. GM Financial's primary uses of cash are purchases of retail finance receivables and leased vehicles, the funding of commercial finance receivables, repayment of secured and unsecured debt, funding credit enhancement requirements in connection with securitizations and secured credit facilities, interest costs, and operating expenses. GM Financial continues to monitor and evaluate opportunities to optimize its liquidity position and the mix of its debt between secured and unsecured debt. The following table summarizes GM Financial's available liquidity (dollars in billions):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2020</w:t>
            </w:r>
          </w:p>
        </w:tc>
        <w:tc>
          <w:tcPr>
            <w:tcW w:w="160" w:type="dxa"/>
            <w:vAlign w:val="bottom"/>
          </w:tcPr>
          <w:p>
            <w:pPr>
              <w:spacing w:after="0"/>
              <w:rPr>
                <w:sz w:val="16"/>
                <w:szCs w:val="16"/>
                <w:color w:val="auto"/>
              </w:rPr>
            </w:pPr>
          </w:p>
        </w:tc>
        <w:tc>
          <w:tcPr>
            <w:tcW w:w="1480" w:type="dxa"/>
            <w:vAlign w:val="bottom"/>
          </w:tcPr>
          <w:p>
            <w:pPr>
              <w:jc w:val="right"/>
              <w:ind w:right="153"/>
              <w:spacing w:after="0"/>
              <w:rPr>
                <w:sz w:val="20"/>
                <w:szCs w:val="20"/>
                <w:color w:val="auto"/>
              </w:rPr>
            </w:pPr>
            <w:r>
              <w:rPr>
                <w:rFonts w:ascii="Arial" w:cs="Arial" w:eastAsia="Arial" w:hAnsi="Arial"/>
                <w:sz w:val="14"/>
                <w:szCs w:val="14"/>
                <w:b w:val="1"/>
                <w:bCs w:val="1"/>
                <w:color w:val="auto"/>
                <w:w w:val="96"/>
              </w:rPr>
              <w:t>December 31, 2019</w:t>
            </w:r>
          </w:p>
        </w:tc>
        <w:tc>
          <w:tcPr>
            <w:tcW w:w="0" w:type="dxa"/>
            <w:vAlign w:val="bottom"/>
          </w:tcPr>
          <w:p>
            <w:pPr>
              <w:spacing w:after="0"/>
              <w:rPr>
                <w:sz w:val="1"/>
                <w:szCs w:val="1"/>
                <w:color w:val="auto"/>
              </w:rPr>
            </w:pPr>
          </w:p>
        </w:tc>
      </w:tr>
      <w:tr>
        <w:trPr>
          <w:trHeight w:val="250"/>
        </w:trPr>
        <w:tc>
          <w:tcPr>
            <w:tcW w:w="7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6.5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Borrowing capacity on unpledged eligible assets</w:t>
            </w:r>
          </w:p>
        </w:tc>
        <w:tc>
          <w:tcPr>
            <w:tcW w:w="240" w:type="dxa"/>
            <w:vAlign w:val="bottom"/>
          </w:tcPr>
          <w:p>
            <w:pPr>
              <w:spacing w:after="0"/>
              <w:rPr>
                <w:sz w:val="21"/>
                <w:szCs w:val="21"/>
                <w:color w:val="auto"/>
              </w:rPr>
            </w:pPr>
          </w:p>
        </w:tc>
        <w:tc>
          <w:tcPr>
            <w:tcW w:w="1380" w:type="dxa"/>
            <w:vAlign w:val="bottom"/>
          </w:tcPr>
          <w:p>
            <w:pPr>
              <w:jc w:val="right"/>
              <w:ind w:right="53"/>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ind w:right="73"/>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Borrowing capacity on committed unsecured lines of credit</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Borrowing capacity on revolving credit facility, exclusive to GM Financial</w:t>
            </w:r>
          </w:p>
        </w:tc>
        <w:tc>
          <w:tcPr>
            <w:tcW w:w="240" w:type="dxa"/>
            <w:vAlign w:val="bottom"/>
          </w:tcPr>
          <w:p>
            <w:pPr>
              <w:spacing w:after="0"/>
              <w:rPr>
                <w:sz w:val="21"/>
                <w:szCs w:val="21"/>
                <w:color w:val="auto"/>
              </w:rPr>
            </w:pPr>
          </w:p>
        </w:tc>
        <w:tc>
          <w:tcPr>
            <w:tcW w:w="1380" w:type="dxa"/>
            <w:vAlign w:val="bottom"/>
          </w:tcPr>
          <w:p>
            <w:pPr>
              <w:jc w:val="right"/>
              <w:ind w:right="53"/>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ind w:right="73"/>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7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GM Financial available liquidity(a)</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24.0</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78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tabs>
          <w:tab w:leader="none" w:pos="30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Amounts may not sum due to rounding.</w:t>
      </w:r>
    </w:p>
    <w:p>
      <w:pPr>
        <w:spacing w:after="0" w:line="234" w:lineRule="exact"/>
        <w:rPr>
          <w:sz w:val="20"/>
          <w:szCs w:val="20"/>
          <w:color w:val="auto"/>
        </w:rPr>
      </w:pPr>
    </w:p>
    <w:p>
      <w:pPr>
        <w:jc w:val="both"/>
        <w:ind w:firstLine="162"/>
        <w:spacing w:after="0" w:line="241" w:lineRule="auto"/>
        <w:rPr>
          <w:sz w:val="20"/>
          <w:szCs w:val="20"/>
          <w:color w:val="auto"/>
        </w:rPr>
      </w:pPr>
      <w:r>
        <w:rPr>
          <w:rFonts w:ascii="Arial" w:cs="Arial" w:eastAsia="Arial" w:hAnsi="Arial"/>
          <w:sz w:val="18"/>
          <w:szCs w:val="18"/>
          <w:color w:val="auto"/>
        </w:rPr>
        <w:t>At June 30, 2020, GM Financial's available liquidity increased from December 31, 2019 due to an increase in cash and cash equivalents and a decrease in borrowing capacity. GM Financial increased utilization of credit facilities in the three months ended March 31, 2020 to preserve financial flexibility in response to uncertainty in global capital markets and weak economic environment resulting from the COVID-19 pandemic. The composition of liquidity has shifted back towards borrowing capacity during the three months ended June 30, 2020, and GM Financial expects the composition of liquidity to revert to</w:t>
      </w:r>
    </w:p>
    <w:p>
      <w:pPr>
        <w:sectPr>
          <w:pgSz w:w="11900" w:h="16838" w:orient="portrait"/>
          <w:cols w:equalWidth="0" w:num="1">
            <w:col w:w="11240"/>
          </w:cols>
          <w:pgMar w:left="320" w:top="125" w:right="339" w:bottom="1440" w:gutter="0" w:footer="0" w:header="0"/>
        </w:sect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81"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historical levels of cash and cash equivalents and borrowing capacity over time. GM Financial structures liquidity to support at least six months of GM Financial's expected net cash flows, including new originations, without access to new debt financing transactions or other capital markets activity.</w:t>
      </w:r>
    </w:p>
    <w:p>
      <w:pPr>
        <w:spacing w:after="0" w:line="174"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GM Financial did not have any borrowings outstanding against our credit facility designated for their exclusive use or the remainder of our revolving credit facilities at June 30, 2020 and December 31, 2019. Refer to the Automotive Liquidity section of this MD&amp;A for additional details.</w:t>
      </w:r>
    </w:p>
    <w:p>
      <w:pPr>
        <w:spacing w:after="0" w:line="173"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i w:val="1"/>
          <w:iCs w:val="1"/>
          <w:color w:val="auto"/>
        </w:rPr>
        <w:t xml:space="preserve">Credit Facilities </w:t>
      </w:r>
      <w:r>
        <w:rPr>
          <w:rFonts w:ascii="Arial" w:cs="Arial" w:eastAsia="Arial" w:hAnsi="Arial"/>
          <w:sz w:val="18"/>
          <w:szCs w:val="18"/>
          <w:color w:val="auto"/>
        </w:rPr>
        <w:t>In the normal course of business, in addition to using its available cash, GM Financial utilizes borrowings under its credit facilities,</w:t>
      </w:r>
      <w:r>
        <w:rPr>
          <w:rFonts w:ascii="Arial" w:cs="Arial" w:eastAsia="Arial" w:hAnsi="Arial"/>
          <w:sz w:val="18"/>
          <w:szCs w:val="18"/>
          <w:i w:val="1"/>
          <w:iCs w:val="1"/>
          <w:color w:val="auto"/>
        </w:rPr>
        <w:t xml:space="preserve"> </w:t>
      </w:r>
      <w:r>
        <w:rPr>
          <w:rFonts w:ascii="Arial" w:cs="Arial" w:eastAsia="Arial" w:hAnsi="Arial"/>
          <w:sz w:val="18"/>
          <w:szCs w:val="18"/>
          <w:color w:val="auto"/>
        </w:rPr>
        <w:t>which may be secured or unsecured, and GM Financial repays these borrowings as appropriate under its cash management strategy. At June 30, 2020 secured, committed unsecured and uncommitted unsecured credit facilities totaled $25.5 billion, $0.4 billion and $1.8 billion with advances outstanding of $7.6 billion, $0.1 billion and $1.8 billion.</w:t>
      </w:r>
    </w:p>
    <w:p>
      <w:pPr>
        <w:spacing w:after="0" w:line="21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GM Financial Cash Flow (dollars in billions)</w:t>
      </w:r>
    </w:p>
    <w:p>
      <w:pPr>
        <w:spacing w:after="0" w:line="149"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7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ind w:left="860"/>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6"/>
        </w:trPr>
        <w:tc>
          <w:tcPr>
            <w:tcW w:w="67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June 30, 2020</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June 30, 2019</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Change</w:t>
            </w: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center"/>
              <w:ind w:left="757"/>
              <w:spacing w:after="0"/>
              <w:rPr>
                <w:sz w:val="20"/>
                <w:szCs w:val="20"/>
                <w:color w:val="auto"/>
              </w:rPr>
            </w:pPr>
            <w:r>
              <w:rPr>
                <w:rFonts w:ascii="Arial" w:cs="Arial" w:eastAsia="Arial" w:hAnsi="Arial"/>
                <w:sz w:val="18"/>
                <w:szCs w:val="18"/>
                <w:color w:val="auto"/>
                <w:w w:val="87"/>
              </w:rPr>
              <w:t>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center"/>
              <w:ind w:left="755"/>
              <w:spacing w:after="0"/>
              <w:rPr>
                <w:sz w:val="20"/>
                <w:szCs w:val="20"/>
                <w:color w:val="auto"/>
              </w:rPr>
            </w:pPr>
            <w:r>
              <w:rPr>
                <w:rFonts w:ascii="Arial" w:cs="Arial" w:eastAsia="Arial" w:hAnsi="Arial"/>
                <w:sz w:val="18"/>
                <w:szCs w:val="18"/>
                <w:color w:val="auto"/>
                <w:w w:val="87"/>
              </w:rPr>
              <w:t>4.3</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center"/>
              <w:ind w:left="175"/>
              <w:spacing w:after="0"/>
              <w:rPr>
                <w:sz w:val="20"/>
                <w:szCs w:val="20"/>
                <w:color w:val="auto"/>
              </w:rPr>
            </w:pPr>
            <w:r>
              <w:rPr>
                <w:rFonts w:ascii="Arial" w:cs="Arial" w:eastAsia="Arial" w:hAnsi="Arial"/>
                <w:sz w:val="18"/>
                <w:szCs w:val="18"/>
                <w:color w:val="auto"/>
                <w:w w:val="91"/>
              </w:rPr>
              <w:t>(0.2)</w:t>
            </w: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center"/>
              <w:ind w:left="737"/>
              <w:spacing w:after="0"/>
              <w:rPr>
                <w:sz w:val="20"/>
                <w:szCs w:val="20"/>
                <w:color w:val="auto"/>
              </w:rPr>
            </w:pPr>
            <w:r>
              <w:rPr>
                <w:rFonts w:ascii="Arial" w:cs="Arial" w:eastAsia="Arial" w:hAnsi="Arial"/>
                <w:sz w:val="18"/>
                <w:szCs w:val="18"/>
                <w:color w:val="auto"/>
                <w:w w:val="97"/>
              </w:rPr>
              <w:t>(3.2)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center"/>
              <w:ind w:left="735"/>
              <w:spacing w:after="0"/>
              <w:rPr>
                <w:sz w:val="20"/>
                <w:szCs w:val="20"/>
                <w:color w:val="auto"/>
              </w:rPr>
            </w:pPr>
            <w:r>
              <w:rPr>
                <w:rFonts w:ascii="Arial" w:cs="Arial" w:eastAsia="Arial" w:hAnsi="Arial"/>
                <w:sz w:val="18"/>
                <w:szCs w:val="18"/>
                <w:color w:val="auto"/>
                <w:w w:val="97"/>
              </w:rPr>
              <w:t>(4.3)</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tcPr>
          <w:p>
            <w:pPr>
              <w:jc w:val="center"/>
              <w:ind w:left="195"/>
              <w:spacing w:after="0"/>
              <w:rPr>
                <w:sz w:val="20"/>
                <w:szCs w:val="20"/>
                <w:color w:val="auto"/>
              </w:rPr>
            </w:pPr>
            <w:r>
              <w:rPr>
                <w:rFonts w:ascii="Arial" w:cs="Arial" w:eastAsia="Arial" w:hAnsi="Arial"/>
                <w:sz w:val="18"/>
                <w:szCs w:val="18"/>
                <w:color w:val="auto"/>
                <w:w w:val="95"/>
              </w:rPr>
              <w:t>1.1</w:t>
            </w:r>
          </w:p>
        </w:tc>
      </w:tr>
      <w:tr>
        <w:trPr>
          <w:trHeight w:val="27"/>
        </w:trPr>
        <w:tc>
          <w:tcPr>
            <w:tcW w:w="6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43"/>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center"/>
              <w:ind w:left="757"/>
              <w:spacing w:after="0"/>
              <w:rPr>
                <w:sz w:val="20"/>
                <w:szCs w:val="20"/>
                <w:color w:val="auto"/>
              </w:rPr>
            </w:pPr>
            <w:r>
              <w:rPr>
                <w:rFonts w:ascii="Arial" w:cs="Arial" w:eastAsia="Arial" w:hAnsi="Arial"/>
                <w:sz w:val="18"/>
                <w:szCs w:val="18"/>
                <w:color w:val="auto"/>
                <w:w w:val="87"/>
              </w:rPr>
              <w:t>3.0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center"/>
              <w:ind w:left="735"/>
              <w:spacing w:after="0"/>
              <w:rPr>
                <w:sz w:val="20"/>
                <w:szCs w:val="20"/>
                <w:color w:val="auto"/>
              </w:rPr>
            </w:pPr>
            <w:r>
              <w:rPr>
                <w:rFonts w:ascii="Arial" w:cs="Arial" w:eastAsia="Arial" w:hAnsi="Arial"/>
                <w:sz w:val="18"/>
                <w:szCs w:val="18"/>
                <w:color w:val="auto"/>
                <w:w w:val="97"/>
              </w:rPr>
              <w:t>(0.8)</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center"/>
              <w:ind w:left="195"/>
              <w:spacing w:after="0"/>
              <w:rPr>
                <w:sz w:val="20"/>
                <w:szCs w:val="20"/>
                <w:color w:val="auto"/>
              </w:rPr>
            </w:pPr>
            <w:r>
              <w:rPr>
                <w:rFonts w:ascii="Arial" w:cs="Arial" w:eastAsia="Arial" w:hAnsi="Arial"/>
                <w:sz w:val="18"/>
                <w:szCs w:val="18"/>
                <w:color w:val="auto"/>
                <w:w w:val="95"/>
              </w:rPr>
              <w:t>3.8</w:t>
            </w:r>
          </w:p>
        </w:tc>
      </w:tr>
      <w:tr>
        <w:trPr>
          <w:trHeight w:val="27"/>
        </w:trPr>
        <w:tc>
          <w:tcPr>
            <w:tcW w:w="67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r>
    </w:tbl>
    <w:p>
      <w:pPr>
        <w:spacing w:after="0" w:line="296" w:lineRule="exact"/>
        <w:rPr>
          <w:sz w:val="20"/>
          <w:szCs w:val="20"/>
          <w:color w:val="auto"/>
        </w:rPr>
      </w:pPr>
    </w:p>
    <w:p>
      <w:pPr>
        <w:jc w:val="both"/>
        <w:ind w:firstLine="162"/>
        <w:spacing w:after="0" w:line="235" w:lineRule="auto"/>
        <w:rPr>
          <w:sz w:val="20"/>
          <w:szCs w:val="20"/>
          <w:color w:val="auto"/>
        </w:rPr>
      </w:pPr>
      <w:r>
        <w:rPr>
          <w:rFonts w:ascii="Arial" w:cs="Arial" w:eastAsia="Arial" w:hAnsi="Arial"/>
          <w:sz w:val="18"/>
          <w:szCs w:val="18"/>
          <w:color w:val="auto"/>
        </w:rPr>
        <w:t>In the six months ended June 30, 2020, Net cash provided by operating activities decreased primarily due to a decrease in revenue and collateral posting activities, partially offset by a decrease in interest paid.</w:t>
      </w:r>
    </w:p>
    <w:p>
      <w:pPr>
        <w:spacing w:after="0" w:line="189" w:lineRule="exact"/>
        <w:rPr>
          <w:sz w:val="20"/>
          <w:szCs w:val="20"/>
          <w:color w:val="auto"/>
        </w:rPr>
      </w:pPr>
    </w:p>
    <w:p>
      <w:pPr>
        <w:jc w:val="both"/>
        <w:ind w:firstLine="162"/>
        <w:spacing w:after="0" w:line="219" w:lineRule="auto"/>
        <w:rPr>
          <w:sz w:val="20"/>
          <w:szCs w:val="20"/>
          <w:color w:val="auto"/>
        </w:rPr>
      </w:pPr>
      <w:r>
        <w:rPr>
          <w:rFonts w:ascii="Arial" w:cs="Arial" w:eastAsia="Arial" w:hAnsi="Arial"/>
          <w:sz w:val="18"/>
          <w:szCs w:val="18"/>
          <w:color w:val="auto"/>
        </w:rPr>
        <w:t>In the six months ended June 30, 2020, Net cash used in investing activities decreased primarily due to: (1) a decrease in purchases of leased vehicles of $2.1 billion; and (2) increased collections, and recoveries on finance receivables of $1.2 billion; partially offset by (3) increased purchases of finance receivables of $1.3 billion, inclusive of a net change in funding to Automotive for subvention of $0.9 billion; and (4) a decrease in proceeds from the termination of leased vehicles of $0.9 billion.</w:t>
      </w:r>
    </w:p>
    <w:p>
      <w:pPr>
        <w:spacing w:after="0" w:line="203"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six months ended June 30, 2020, Net cash provided by financing activities increased primarily due to an increase in borrowings of $13.4 billion partially offset by an increase in debt repayments of $8.8 billion and dividend payments of $0.8 billion.</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Contractual Obligations and Other Long-Term Liabilities </w:t>
      </w:r>
      <w:r>
        <w:rPr>
          <w:rFonts w:ascii="Arial" w:cs="Arial" w:eastAsia="Arial" w:hAnsi="Arial"/>
          <w:sz w:val="18"/>
          <w:szCs w:val="18"/>
          <w:color w:val="auto"/>
        </w:rPr>
        <w:t>We have minimum commitments under contractual obligations, including purchase</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A purchase obligation is defined as an agreement to purchase goods or services that is enforceable and legally binding on us and that specifies all significant terms, including fixed or minimum quantities to be purchased or fixed minimum price provisions and the approximate timing of the transaction. Based on these definitions, the following table includes only those contracts that include fixed or minimum obligations. The majority of our purchases are not included in the table as they are made under purchase orders that are requirements-based and accordingly do not specify minimum quantities. The following table summarizes aggregated information about our outstanding contractual obligations and other long-term liabilities at June 30, 2020:</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Payments Due by Period</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3"/>
              </w:rPr>
              <w:t>July 1, 2020 to</w:t>
            </w:r>
          </w:p>
        </w:tc>
        <w:tc>
          <w:tcPr>
            <w:tcW w:w="220" w:type="dxa"/>
            <w:vAlign w:val="bottom"/>
          </w:tcPr>
          <w:p>
            <w:pPr>
              <w:spacing w:after="0"/>
              <w:rPr>
                <w:sz w:val="13"/>
                <w:szCs w:val="13"/>
                <w:color w:val="auto"/>
              </w:rPr>
            </w:pPr>
          </w:p>
        </w:tc>
        <w:tc>
          <w:tcPr>
            <w:tcW w:w="760" w:type="dxa"/>
            <w:vAlign w:val="bottom"/>
            <w:vMerge w:val="restart"/>
          </w:tcPr>
          <w:p>
            <w:pPr>
              <w:jc w:val="right"/>
              <w:ind w:right="251"/>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w w:val="98"/>
              </w:rPr>
              <w:t>2022-2023</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5"/>
              </w:rPr>
              <w:t>2024-2025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2026 and after</w:t>
            </w:r>
          </w:p>
        </w:tc>
        <w:tc>
          <w:tcPr>
            <w:tcW w:w="180" w:type="dxa"/>
            <w:vAlign w:val="bottom"/>
          </w:tcPr>
          <w:p>
            <w:pPr>
              <w:spacing w:after="0"/>
              <w:rPr>
                <w:sz w:val="13"/>
                <w:szCs w:val="13"/>
                <w:color w:val="auto"/>
              </w:rPr>
            </w:pPr>
          </w:p>
        </w:tc>
        <w:tc>
          <w:tcPr>
            <w:tcW w:w="800" w:type="dxa"/>
            <w:vAlign w:val="bottom"/>
            <w:vMerge w:val="restart"/>
          </w:tcPr>
          <w:p>
            <w:pPr>
              <w:jc w:val="right"/>
              <w:ind w:right="2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December 31, 2020</w:t>
            </w:r>
          </w:p>
        </w:tc>
        <w:tc>
          <w:tcPr>
            <w:tcW w:w="2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Automotive debt</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1,424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1,825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18,096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2,579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11,107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35,031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60" w:type="dxa"/>
            <w:vAlign w:val="bottom"/>
          </w:tcPr>
          <w:p>
            <w:pPr>
              <w:ind w:left="20"/>
              <w:spacing w:after="0"/>
              <w:rPr>
                <w:sz w:val="20"/>
                <w:szCs w:val="20"/>
                <w:color w:val="auto"/>
              </w:rPr>
            </w:pPr>
            <w:r>
              <w:rPr>
                <w:rFonts w:ascii="Arial" w:cs="Arial" w:eastAsia="Arial" w:hAnsi="Arial"/>
                <w:sz w:val="18"/>
                <w:szCs w:val="18"/>
                <w:color w:val="auto"/>
              </w:rPr>
              <w:t>Automotive Financing debt</w:t>
            </w:r>
          </w:p>
        </w:tc>
        <w:tc>
          <w:tcPr>
            <w:tcW w:w="140" w:type="dxa"/>
            <w:vAlign w:val="bottom"/>
          </w:tcPr>
          <w:p>
            <w:pPr>
              <w:spacing w:after="0"/>
              <w:rPr>
                <w:sz w:val="21"/>
                <w:szCs w:val="21"/>
                <w:color w:val="auto"/>
              </w:rPr>
            </w:pPr>
          </w:p>
        </w:tc>
        <w:tc>
          <w:tcPr>
            <w:tcW w:w="1400" w:type="dxa"/>
            <w:vAlign w:val="bottom"/>
          </w:tcPr>
          <w:p>
            <w:pPr>
              <w:jc w:val="right"/>
              <w:ind w:right="73"/>
              <w:spacing w:after="0"/>
              <w:rPr>
                <w:sz w:val="20"/>
                <w:szCs w:val="20"/>
                <w:color w:val="auto"/>
              </w:rPr>
            </w:pPr>
            <w:r>
              <w:rPr>
                <w:rFonts w:ascii="Arial" w:cs="Arial" w:eastAsia="Arial" w:hAnsi="Arial"/>
                <w:sz w:val="18"/>
                <w:szCs w:val="18"/>
                <w:color w:val="auto"/>
              </w:rPr>
              <w:t>21,693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ind w:right="51"/>
              <w:spacing w:after="0"/>
              <w:rPr>
                <w:sz w:val="20"/>
                <w:szCs w:val="20"/>
                <w:color w:val="auto"/>
              </w:rPr>
            </w:pPr>
            <w:r>
              <w:rPr>
                <w:rFonts w:ascii="Arial" w:cs="Arial" w:eastAsia="Arial" w:hAnsi="Arial"/>
                <w:sz w:val="18"/>
                <w:szCs w:val="18"/>
                <w:color w:val="auto"/>
              </w:rPr>
              <w:t>27,507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24,207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12,435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5,941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ind w:right="51"/>
              <w:spacing w:after="0"/>
              <w:rPr>
                <w:sz w:val="20"/>
                <w:szCs w:val="20"/>
                <w:color w:val="auto"/>
              </w:rPr>
            </w:pPr>
            <w:r>
              <w:rPr>
                <w:rFonts w:ascii="Arial" w:cs="Arial" w:eastAsia="Arial" w:hAnsi="Arial"/>
                <w:sz w:val="18"/>
                <w:szCs w:val="18"/>
                <w:color w:val="auto"/>
              </w:rPr>
              <w:t>91,783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Finance lease obligations</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60" w:type="dxa"/>
            <w:vAlign w:val="bottom"/>
          </w:tcPr>
          <w:p>
            <w:pPr>
              <w:ind w:left="20"/>
              <w:spacing w:after="0"/>
              <w:rPr>
                <w:sz w:val="20"/>
                <w:szCs w:val="20"/>
                <w:color w:val="auto"/>
              </w:rPr>
            </w:pPr>
            <w:r>
              <w:rPr>
                <w:rFonts w:ascii="Arial" w:cs="Arial" w:eastAsia="Arial" w:hAnsi="Arial"/>
                <w:sz w:val="18"/>
                <w:szCs w:val="18"/>
                <w:color w:val="auto"/>
              </w:rPr>
              <w:t>Automotive interest payments(a)</w:t>
            </w:r>
          </w:p>
        </w:tc>
        <w:tc>
          <w:tcPr>
            <w:tcW w:w="140" w:type="dxa"/>
            <w:vAlign w:val="bottom"/>
          </w:tcPr>
          <w:p>
            <w:pPr>
              <w:spacing w:after="0"/>
              <w:rPr>
                <w:sz w:val="21"/>
                <w:szCs w:val="21"/>
                <w:color w:val="auto"/>
              </w:rPr>
            </w:pPr>
          </w:p>
        </w:tc>
        <w:tc>
          <w:tcPr>
            <w:tcW w:w="1400" w:type="dxa"/>
            <w:vAlign w:val="bottom"/>
          </w:tcPr>
          <w:p>
            <w:pPr>
              <w:jc w:val="right"/>
              <w:ind w:right="73"/>
              <w:spacing w:after="0"/>
              <w:rPr>
                <w:sz w:val="20"/>
                <w:szCs w:val="20"/>
                <w:color w:val="auto"/>
              </w:rPr>
            </w:pPr>
            <w:r>
              <w:rPr>
                <w:rFonts w:ascii="Arial" w:cs="Arial" w:eastAsia="Arial" w:hAnsi="Arial"/>
                <w:sz w:val="18"/>
                <w:szCs w:val="18"/>
                <w:color w:val="auto"/>
              </w:rPr>
              <w:t>590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ind w:right="51"/>
              <w:spacing w:after="0"/>
              <w:rPr>
                <w:sz w:val="20"/>
                <w:szCs w:val="20"/>
                <w:color w:val="auto"/>
              </w:rPr>
            </w:pPr>
            <w:r>
              <w:rPr>
                <w:rFonts w:ascii="Arial" w:cs="Arial" w:eastAsia="Arial" w:hAnsi="Arial"/>
                <w:sz w:val="18"/>
                <w:szCs w:val="18"/>
                <w:color w:val="auto"/>
              </w:rPr>
              <w:t>1,212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2,032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1,525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8,581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ind w:right="51"/>
              <w:spacing w:after="0"/>
              <w:rPr>
                <w:sz w:val="20"/>
                <w:szCs w:val="20"/>
                <w:color w:val="auto"/>
              </w:rPr>
            </w:pPr>
            <w:r>
              <w:rPr>
                <w:rFonts w:ascii="Arial" w:cs="Arial" w:eastAsia="Arial" w:hAnsi="Arial"/>
                <w:sz w:val="18"/>
                <w:szCs w:val="18"/>
                <w:color w:val="auto"/>
              </w:rPr>
              <w:t>13,940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Automotive Financing interest payments(b)</w:t>
            </w:r>
          </w:p>
        </w:tc>
        <w:tc>
          <w:tcPr>
            <w:tcW w:w="14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2,082</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1,848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2,081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866</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348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7,225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60" w:type="dxa"/>
            <w:vAlign w:val="bottom"/>
          </w:tcPr>
          <w:p>
            <w:pPr>
              <w:ind w:left="20"/>
              <w:spacing w:after="0"/>
              <w:rPr>
                <w:sz w:val="20"/>
                <w:szCs w:val="20"/>
                <w:color w:val="auto"/>
              </w:rPr>
            </w:pPr>
            <w:r>
              <w:rPr>
                <w:rFonts w:ascii="Arial" w:cs="Arial" w:eastAsia="Arial" w:hAnsi="Arial"/>
                <w:sz w:val="18"/>
                <w:szCs w:val="18"/>
                <w:color w:val="auto"/>
              </w:rPr>
              <w:t>Postretirement benefits(c)</w:t>
            </w:r>
          </w:p>
        </w:tc>
        <w:tc>
          <w:tcPr>
            <w:tcW w:w="140" w:type="dxa"/>
            <w:vAlign w:val="bottom"/>
          </w:tcPr>
          <w:p>
            <w:pPr>
              <w:spacing w:after="0"/>
              <w:rPr>
                <w:sz w:val="21"/>
                <w:szCs w:val="21"/>
                <w:color w:val="auto"/>
              </w:rPr>
            </w:pPr>
          </w:p>
        </w:tc>
        <w:tc>
          <w:tcPr>
            <w:tcW w:w="1400" w:type="dxa"/>
            <w:vAlign w:val="bottom"/>
          </w:tcPr>
          <w:p>
            <w:pPr>
              <w:jc w:val="right"/>
              <w:ind w:right="73"/>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ind w:right="51"/>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462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00" w:type="dxa"/>
            <w:vAlign w:val="bottom"/>
          </w:tcPr>
          <w:p>
            <w:pPr>
              <w:jc w:val="right"/>
              <w:ind w:right="51"/>
              <w:spacing w:after="0"/>
              <w:rPr>
                <w:sz w:val="20"/>
                <w:szCs w:val="20"/>
                <w:color w:val="auto"/>
              </w:rPr>
            </w:pPr>
            <w:r>
              <w:rPr>
                <w:rFonts w:ascii="Arial" w:cs="Arial" w:eastAsia="Arial" w:hAnsi="Arial"/>
                <w:sz w:val="18"/>
                <w:szCs w:val="18"/>
                <w:color w:val="auto"/>
              </w:rPr>
              <w:t>877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obligations</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240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383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1,402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60" w:type="dxa"/>
            <w:vAlign w:val="bottom"/>
          </w:tcPr>
          <w:p>
            <w:pPr>
              <w:ind w:left="20"/>
              <w:spacing w:after="0"/>
              <w:rPr>
                <w:sz w:val="20"/>
                <w:szCs w:val="20"/>
                <w:color w:val="auto"/>
              </w:rPr>
            </w:pPr>
            <w:r>
              <w:rPr>
                <w:rFonts w:ascii="Arial" w:cs="Arial" w:eastAsia="Arial" w:hAnsi="Arial"/>
                <w:sz w:val="18"/>
                <w:szCs w:val="18"/>
                <w:color w:val="auto"/>
              </w:rPr>
              <w:t>Other contractual commitments:</w:t>
            </w:r>
          </w:p>
        </w:tc>
        <w:tc>
          <w:tcPr>
            <w:tcW w:w="1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3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Material</w:t>
            </w:r>
          </w:p>
        </w:tc>
        <w:tc>
          <w:tcPr>
            <w:tcW w:w="14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969</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465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135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1,662</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960" w:type="dxa"/>
            <w:vAlign w:val="bottom"/>
          </w:tcPr>
          <w:p>
            <w:pPr>
              <w:ind w:left="180"/>
              <w:spacing w:after="0"/>
              <w:rPr>
                <w:sz w:val="20"/>
                <w:szCs w:val="20"/>
                <w:color w:val="auto"/>
              </w:rPr>
            </w:pPr>
            <w:r>
              <w:rPr>
                <w:rFonts w:ascii="Arial" w:cs="Arial" w:eastAsia="Arial" w:hAnsi="Arial"/>
                <w:sz w:val="18"/>
                <w:szCs w:val="18"/>
                <w:color w:val="auto"/>
              </w:rPr>
              <w:t>Marketing</w:t>
            </w:r>
          </w:p>
        </w:tc>
        <w:tc>
          <w:tcPr>
            <w:tcW w:w="140" w:type="dxa"/>
            <w:vAlign w:val="bottom"/>
          </w:tcPr>
          <w:p>
            <w:pPr>
              <w:spacing w:after="0"/>
              <w:rPr>
                <w:sz w:val="23"/>
                <w:szCs w:val="23"/>
                <w:color w:val="auto"/>
              </w:rPr>
            </w:pPr>
          </w:p>
        </w:tc>
        <w:tc>
          <w:tcPr>
            <w:tcW w:w="1400" w:type="dxa"/>
            <w:vAlign w:val="bottom"/>
          </w:tcPr>
          <w:p>
            <w:pPr>
              <w:jc w:val="right"/>
              <w:ind w:right="73"/>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jc w:val="right"/>
              <w:ind w:right="51"/>
              <w:spacing w:after="0"/>
              <w:rPr>
                <w:sz w:val="20"/>
                <w:szCs w:val="20"/>
                <w:color w:val="auto"/>
              </w:rPr>
            </w:pPr>
            <w:r>
              <w:rPr>
                <w:rFonts w:ascii="Arial" w:cs="Arial" w:eastAsia="Arial" w:hAnsi="Arial"/>
                <w:sz w:val="18"/>
                <w:szCs w:val="18"/>
                <w:color w:val="auto"/>
              </w:rPr>
              <w:t>253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800" w:type="dxa"/>
            <w:vAlign w:val="bottom"/>
          </w:tcPr>
          <w:p>
            <w:pPr>
              <w:jc w:val="right"/>
              <w:ind w:right="51"/>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(d)</w:t>
            </w:r>
          </w:p>
        </w:tc>
        <w:tc>
          <w:tcPr>
            <w:tcW w:w="14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578</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783</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1,475</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3,218</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960" w:type="dxa"/>
            <w:vAlign w:val="bottom"/>
          </w:tcPr>
          <w:p>
            <w:pPr>
              <w:ind w:left="20"/>
              <w:spacing w:after="0"/>
              <w:rPr>
                <w:sz w:val="20"/>
                <w:szCs w:val="20"/>
                <w:color w:val="auto"/>
              </w:rPr>
            </w:pPr>
            <w:r>
              <w:rPr>
                <w:rFonts w:ascii="Arial" w:cs="Arial" w:eastAsia="Arial" w:hAnsi="Arial"/>
                <w:sz w:val="18"/>
                <w:szCs w:val="18"/>
                <w:color w:val="auto"/>
              </w:rPr>
              <w:t>Total contractual commitments(e)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28,020</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34,448</w:t>
            </w:r>
          </w:p>
        </w:tc>
        <w:tc>
          <w:tcPr>
            <w:tcW w:w="12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49,033</w:t>
            </w: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17,975</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26,668</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98"/>
              </w:rPr>
              <w:t>156,144</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396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96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Non-contractual benefits(f)</w:t>
            </w:r>
          </w:p>
        </w:tc>
        <w:tc>
          <w:tcPr>
            <w:tcW w:w="1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CCEEFF"/>
            </w:tcBorders>
          </w:tcPr>
          <w:p>
            <w:pPr>
              <w:jc w:val="right"/>
              <w:ind w:right="73"/>
              <w:spacing w:after="0"/>
              <w:rPr>
                <w:sz w:val="20"/>
                <w:szCs w:val="20"/>
                <w:color w:val="auto"/>
              </w:rPr>
            </w:pPr>
            <w:r>
              <w:rPr>
                <w:rFonts w:ascii="Arial" w:cs="Arial" w:eastAsia="Arial" w:hAnsi="Arial"/>
                <w:sz w:val="18"/>
                <w:szCs w:val="18"/>
                <w:color w:val="auto"/>
              </w:rPr>
              <w:t>153</w:t>
            </w:r>
          </w:p>
        </w:tc>
        <w:tc>
          <w:tcPr>
            <w:tcW w:w="10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CCEEFF"/>
            </w:tcBorders>
          </w:tcPr>
          <w:p>
            <w:pPr>
              <w:jc w:val="right"/>
              <w:ind w:right="51"/>
              <w:spacing w:after="0"/>
              <w:rPr>
                <w:sz w:val="20"/>
                <w:szCs w:val="20"/>
                <w:color w:val="auto"/>
              </w:rPr>
            </w:pPr>
            <w:r>
              <w:rPr>
                <w:rFonts w:ascii="Arial" w:cs="Arial" w:eastAsia="Arial" w:hAnsi="Arial"/>
                <w:sz w:val="18"/>
                <w:szCs w:val="18"/>
                <w:color w:val="auto"/>
              </w:rPr>
              <w:t>272</w:t>
            </w:r>
          </w:p>
        </w:tc>
        <w:tc>
          <w:tcPr>
            <w:tcW w:w="1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CCEEFF"/>
            </w:tcBorders>
          </w:tcPr>
          <w:p>
            <w:pPr>
              <w:jc w:val="right"/>
              <w:ind w:right="53"/>
              <w:spacing w:after="0"/>
              <w:rPr>
                <w:sz w:val="20"/>
                <w:szCs w:val="20"/>
                <w:color w:val="auto"/>
              </w:rPr>
            </w:pPr>
            <w:r>
              <w:rPr>
                <w:rFonts w:ascii="Arial" w:cs="Arial" w:eastAsia="Arial" w:hAnsi="Arial"/>
                <w:sz w:val="18"/>
                <w:szCs w:val="18"/>
                <w:color w:val="auto"/>
              </w:rPr>
              <w:t>489</w:t>
            </w:r>
          </w:p>
        </w:tc>
        <w:tc>
          <w:tcPr>
            <w:tcW w:w="12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CCEEFF"/>
            </w:tcBorders>
          </w:tcPr>
          <w:p>
            <w:pPr>
              <w:jc w:val="right"/>
              <w:ind w:right="71"/>
              <w:spacing w:after="0"/>
              <w:rPr>
                <w:sz w:val="20"/>
                <w:szCs w:val="20"/>
                <w:color w:val="auto"/>
              </w:rPr>
            </w:pPr>
            <w:r>
              <w:rPr>
                <w:rFonts w:ascii="Arial" w:cs="Arial" w:eastAsia="Arial" w:hAnsi="Arial"/>
                <w:sz w:val="18"/>
                <w:szCs w:val="18"/>
                <w:color w:val="auto"/>
              </w:rPr>
              <w:t>915</w:t>
            </w:r>
          </w:p>
        </w:tc>
        <w:tc>
          <w:tcPr>
            <w:tcW w:w="1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CCEEFF"/>
            </w:tcBorders>
          </w:tcPr>
          <w:p>
            <w:pPr>
              <w:jc w:val="right"/>
              <w:ind w:right="71"/>
              <w:spacing w:after="0"/>
              <w:rPr>
                <w:sz w:val="20"/>
                <w:szCs w:val="20"/>
                <w:color w:val="auto"/>
              </w:rPr>
            </w:pPr>
            <w:r>
              <w:rPr>
                <w:rFonts w:ascii="Arial" w:cs="Arial" w:eastAsia="Arial" w:hAnsi="Arial"/>
                <w:sz w:val="18"/>
                <w:szCs w:val="18"/>
                <w:color w:val="auto"/>
              </w:rPr>
              <w:t>9,382</w:t>
            </w:r>
          </w:p>
        </w:tc>
        <w:tc>
          <w:tcPr>
            <w:tcW w:w="10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CCEEFF"/>
            </w:tcBorders>
          </w:tcPr>
          <w:p>
            <w:pPr>
              <w:jc w:val="right"/>
              <w:ind w:right="51"/>
              <w:spacing w:after="0"/>
              <w:rPr>
                <w:sz w:val="20"/>
                <w:szCs w:val="20"/>
                <w:color w:val="auto"/>
              </w:rPr>
            </w:pPr>
            <w:r>
              <w:rPr>
                <w:rFonts w:ascii="Arial" w:cs="Arial" w:eastAsia="Arial" w:hAnsi="Arial"/>
                <w:sz w:val="18"/>
                <w:szCs w:val="18"/>
                <w:color w:val="auto"/>
              </w:rPr>
              <w:t>11,211</w:t>
            </w:r>
          </w:p>
        </w:tc>
        <w:tc>
          <w:tcPr>
            <w:tcW w:w="0" w:type="dxa"/>
            <w:vAlign w:val="bottom"/>
          </w:tcPr>
          <w:p>
            <w:pPr>
              <w:spacing w:after="0"/>
              <w:rPr>
                <w:sz w:val="1"/>
                <w:szCs w:val="1"/>
                <w:color w:val="auto"/>
              </w:rPr>
            </w:pPr>
          </w:p>
        </w:tc>
      </w:tr>
      <w:tr>
        <w:trPr>
          <w:trHeight w:val="297"/>
        </w:trPr>
        <w:tc>
          <w:tcPr>
            <w:tcW w:w="3980" w:type="dxa"/>
            <w:vAlign w:val="bottom"/>
            <w:gridSpan w:val="2"/>
          </w:tcPr>
          <w:p>
            <w:pPr>
              <w:jc w:val="right"/>
              <w:ind w:right="2990"/>
              <w:spacing w:after="0"/>
              <w:rPr>
                <w:sz w:val="20"/>
                <w:szCs w:val="20"/>
                <w:color w:val="auto"/>
              </w:rPr>
            </w:pPr>
            <w:r>
              <w:rPr>
                <w:rFonts w:ascii="Arial" w:cs="Arial" w:eastAsia="Arial" w:hAnsi="Arial"/>
                <w:sz w:val="18"/>
                <w:szCs w:val="18"/>
                <w:color w:val="auto"/>
                <w:w w:val="87"/>
              </w:rPr>
              <w:t>__________</w:t>
            </w: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340" w:hanging="332"/>
        <w:spacing w:after="0" w:line="249" w:lineRule="auto"/>
        <w:tabs>
          <w:tab w:leader="none" w:pos="331" w:val="left"/>
        </w:tabs>
        <w:numPr>
          <w:ilvl w:val="0"/>
          <w:numId w:val="29"/>
        </w:numPr>
        <w:rPr>
          <w:rFonts w:ascii="Arial" w:cs="Arial" w:eastAsia="Arial" w:hAnsi="Arial"/>
          <w:sz w:val="16"/>
          <w:szCs w:val="16"/>
          <w:color w:val="auto"/>
        </w:rPr>
      </w:pPr>
      <w:r>
        <w:rPr>
          <w:rFonts w:ascii="Arial" w:cs="Arial" w:eastAsia="Arial" w:hAnsi="Arial"/>
          <w:sz w:val="16"/>
          <w:szCs w:val="16"/>
          <w:color w:val="auto"/>
        </w:rPr>
        <w:t>Amounts include automotive interest payments based on contractual terms and current interest rates on our debt and finance lease obligations. Automotive interest payments based on variable interest rates were determined using the interest rate in effect at June 30, 2020.</w:t>
      </w:r>
    </w:p>
    <w:p>
      <w:pPr>
        <w:jc w:val="both"/>
        <w:ind w:left="340" w:hanging="332"/>
        <w:spacing w:after="0" w:line="246" w:lineRule="auto"/>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GM Financial interest payments were determined using the interest rate in effect at June 30, 2020 for floating rate debt and the contractual rates for fixed rate debt. GM Financial interest payments on floating rate tranches of the securitization notes payable were converted to a fixed rate based on the floating rate plus any expected hedge payments.</w:t>
      </w:r>
    </w:p>
    <w:p>
      <w:pPr>
        <w:spacing w:after="0" w:line="1" w:lineRule="exact"/>
        <w:rPr>
          <w:rFonts w:ascii="Arial" w:cs="Arial" w:eastAsia="Arial" w:hAnsi="Arial"/>
          <w:sz w:val="16"/>
          <w:szCs w:val="16"/>
          <w:color w:val="auto"/>
        </w:rPr>
      </w:pPr>
    </w:p>
    <w:p>
      <w:pPr>
        <w:ind w:left="320" w:hanging="312"/>
        <w:spacing w:after="0"/>
        <w:tabs>
          <w:tab w:leader="none" w:pos="320" w:val="left"/>
        </w:tabs>
        <w:numPr>
          <w:ilvl w:val="0"/>
          <w:numId w:val="29"/>
        </w:numPr>
        <w:rPr>
          <w:rFonts w:ascii="Arial" w:cs="Arial" w:eastAsia="Arial" w:hAnsi="Arial"/>
          <w:sz w:val="15"/>
          <w:szCs w:val="15"/>
          <w:color w:val="auto"/>
        </w:rPr>
      </w:pPr>
      <w:r>
        <w:rPr>
          <w:rFonts w:ascii="Arial" w:cs="Arial" w:eastAsia="Arial" w:hAnsi="Arial"/>
          <w:sz w:val="15"/>
          <w:szCs w:val="15"/>
          <w:color w:val="auto"/>
        </w:rPr>
        <w:t>Amounts include OPEB payments under the contract term of the current labor agreements in North America and do not include pension funding obligations.</w:t>
      </w:r>
    </w:p>
    <w:p>
      <w:pPr>
        <w:spacing w:after="0" w:line="16" w:lineRule="exact"/>
        <w:rPr>
          <w:rFonts w:ascii="Arial" w:cs="Arial" w:eastAsia="Arial" w:hAnsi="Arial"/>
          <w:sz w:val="15"/>
          <w:szCs w:val="15"/>
          <w:color w:val="auto"/>
        </w:rPr>
      </w:pPr>
    </w:p>
    <w:p>
      <w:pPr>
        <w:ind w:left="340" w:hanging="332"/>
        <w:spacing w:after="0"/>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Amounts include $0.9 billion related to committed capital contributions to a non-consolidated VIE.</w:t>
      </w:r>
    </w:p>
    <w:p>
      <w:pPr>
        <w:spacing w:after="0" w:line="5" w:lineRule="exact"/>
        <w:rPr>
          <w:rFonts w:ascii="Arial" w:cs="Arial" w:eastAsia="Arial" w:hAnsi="Arial"/>
          <w:sz w:val="16"/>
          <w:szCs w:val="16"/>
          <w:color w:val="auto"/>
        </w:rPr>
      </w:pPr>
    </w:p>
    <w:p>
      <w:pPr>
        <w:ind w:left="340" w:hanging="332"/>
        <w:spacing w:after="0" w:line="246" w:lineRule="auto"/>
        <w:tabs>
          <w:tab w:leader="none" w:pos="331" w:val="left"/>
        </w:tabs>
        <w:numPr>
          <w:ilvl w:val="0"/>
          <w:numId w:val="29"/>
        </w:numPr>
        <w:rPr>
          <w:rFonts w:ascii="Arial" w:cs="Arial" w:eastAsia="Arial" w:hAnsi="Arial"/>
          <w:sz w:val="16"/>
          <w:szCs w:val="16"/>
          <w:color w:val="auto"/>
        </w:rPr>
      </w:pPr>
      <w:r>
        <w:rPr>
          <w:rFonts w:ascii="Arial" w:cs="Arial" w:eastAsia="Arial" w:hAnsi="Arial"/>
          <w:sz w:val="16"/>
          <w:szCs w:val="16"/>
          <w:color w:val="auto"/>
        </w:rPr>
        <w:t>Amounts do not include future cash payments for purchase obligations and certain other accrued expenditures (unless listed in the table above) that were recorded in Accounts payable, Accrued liabilities and Other liabilities in our condensed consolidated financial statements at June 30, 2020.</w:t>
      </w:r>
    </w:p>
    <w:p>
      <w:pPr>
        <w:jc w:val="both"/>
        <w:ind w:left="340" w:hanging="332"/>
        <w:spacing w:after="0" w:line="251" w:lineRule="auto"/>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Amounts include all expected future payments for both current and expected future service at June 30, 2020 for OPEB obligations for salaried and hourly employees extending beyond the current North American union contract agreements, workers' compensation and extended disability benefits. Amounts do not include pension funding obligations.</w:t>
      </w:r>
    </w:p>
    <w:p>
      <w:pPr>
        <w:spacing w:after="0" w:line="214"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The table above does not reflect product warranty and related liabilities, certified pre-owned, extended warranty and free maintenance of $7.8 billion and unrecognized tax benefits of $0.7 billion due to the uncertainty regarding the future cash outflows potentially associated with these amounts. In addition, future cash outflows related to previously announced restructuring actions are not included in the table above. Refer to Note 17 of our condensed consolidated financial statements for additional information.</w:t>
      </w:r>
    </w:p>
    <w:p>
      <w:pPr>
        <w:spacing w:after="0" w:line="210" w:lineRule="exact"/>
        <w:rPr>
          <w:sz w:val="20"/>
          <w:szCs w:val="20"/>
          <w:color w:val="auto"/>
        </w:rPr>
      </w:pPr>
    </w:p>
    <w:p>
      <w:pPr>
        <w:jc w:val="both"/>
        <w:spacing w:after="0" w:line="292" w:lineRule="auto"/>
        <w:rPr>
          <w:sz w:val="20"/>
          <w:szCs w:val="20"/>
          <w:color w:val="auto"/>
        </w:rPr>
      </w:pPr>
      <w:r>
        <w:rPr>
          <w:rFonts w:ascii="Arial" w:cs="Arial" w:eastAsia="Arial" w:hAnsi="Arial"/>
          <w:sz w:val="16"/>
          <w:szCs w:val="16"/>
          <w:b w:val="1"/>
          <w:bCs w:val="1"/>
          <w:color w:val="auto"/>
        </w:rPr>
        <w:t xml:space="preserve">Critical Accounting Estimates </w:t>
      </w:r>
      <w:r>
        <w:rPr>
          <w:rFonts w:ascii="Arial" w:cs="Arial" w:eastAsia="Arial" w:hAnsi="Arial"/>
          <w:sz w:val="16"/>
          <w:szCs w:val="16"/>
          <w:color w:val="auto"/>
        </w:rPr>
        <w:t>The condensed consolidated financial statements are prepared in conformity with U.S. GAAP, which requires the use of</w:t>
      </w:r>
      <w:r>
        <w:rPr>
          <w:rFonts w:ascii="Arial" w:cs="Arial" w:eastAsia="Arial" w:hAnsi="Arial"/>
          <w:sz w:val="16"/>
          <w:szCs w:val="16"/>
          <w:b w:val="1"/>
          <w:bCs w:val="1"/>
          <w:color w:val="auto"/>
        </w:rPr>
        <w:t xml:space="preserve"> </w:t>
      </w:r>
      <w:r>
        <w:rPr>
          <w:rFonts w:ascii="Arial" w:cs="Arial" w:eastAsia="Arial" w:hAnsi="Arial"/>
          <w:sz w:val="16"/>
          <w:szCs w:val="16"/>
          <w:color w:val="auto"/>
        </w:rPr>
        <w:t>estimates, judgments and assumptions that affect the reported amounts of assets and liabilities, the disclosure of contingent assets and liabilities at the date of the financial statements and the reported amounts of revenues and expenses in the periods presented. We believe the accounting estimates employed are appropriate and the resulting balances are reasonable; however, due to the inherent uncertainties in developing estimates, actual results could differ from the original estimates, requiring adjustments to these balances in future periods. The critical accounting estimates that affect the condensed consolidated financial statements and the judgments and assumptions used are consistent with those described in the MD&amp;A in our 2019 Form 10-K, as supplemented by the subsequent discussions of the allowance for loan losses on GM Financial receivables and the residual value of GM Financial leased vehicles.</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b w:val="1"/>
          <w:bCs w:val="1"/>
          <w:i w:val="1"/>
          <w:iCs w:val="1"/>
          <w:color w:val="auto"/>
        </w:rPr>
        <w:t xml:space="preserve">GM Financial Allowance for Loan Losses </w:t>
      </w:r>
      <w:r>
        <w:rPr>
          <w:rFonts w:ascii="Arial" w:cs="Arial" w:eastAsia="Arial" w:hAnsi="Arial"/>
          <w:sz w:val="16"/>
          <w:szCs w:val="16"/>
          <w:color w:val="auto"/>
        </w:rPr>
        <w:t>Refer to Note 2 to our condensed consolidated financial statements for additional information regarding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allowance for loan losses on retail and commercial finance receivables. The GM Financial retail finance receivables portfolio consists of smaller-balance, homogeneous loans that are carried at amortized cost, net of allowance for loan losses. The allowance for loan losses on retail finance receivables reflects net credit losses expected to be incurred over the remaining life of the retail finance receivables. We believe that the allowance is adequate to cover expected credit losses on the retail finance receivables; however, because the allowance for loan losses is based on estimates, there can be no assurance that the ultimate charge-off amount will not exceed such estimates or that our credit loss assumptions will not increase.</w:t>
      </w:r>
    </w:p>
    <w:p>
      <w:pPr>
        <w:spacing w:after="0" w:line="110" w:lineRule="exact"/>
        <w:rPr>
          <w:sz w:val="20"/>
          <w:szCs w:val="20"/>
          <w:color w:val="auto"/>
        </w:rPr>
      </w:pPr>
    </w:p>
    <w:p>
      <w:pPr>
        <w:jc w:val="both"/>
        <w:ind w:firstLine="162"/>
        <w:spacing w:after="0" w:line="301" w:lineRule="auto"/>
        <w:rPr>
          <w:sz w:val="20"/>
          <w:szCs w:val="20"/>
          <w:color w:val="auto"/>
        </w:rPr>
      </w:pPr>
      <w:r>
        <w:rPr>
          <w:rFonts w:ascii="Arial" w:cs="Arial" w:eastAsia="Arial" w:hAnsi="Arial"/>
          <w:sz w:val="16"/>
          <w:szCs w:val="16"/>
          <w:color w:val="auto"/>
        </w:rPr>
        <w:t>During the six months ended June 30, 2020, GM Financial updated the forecast of economic factors for potential impacts from the COVID-19 pandemic. In addition, GM Financial lowered the forecast of expected recovery rates on repossessions. In aggregate, these updates resulted in an increase in the allowance for loan losses on the GM Financial retail finance receivables portfolio of $0.1 billion and $0.3 billion for the three and six months ended June 30, 2020. Actual economic data and recovery rates that are lower than those we forecast would result in an increase to the allowance for loan losses.</w:t>
      </w:r>
    </w:p>
    <w:p>
      <w:pPr>
        <w:spacing w:after="0" w:line="103"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The GM Financial commercial finance receivables portfolio consists of floorplan financing as well as dealer loans, which are loans to finance improvements to dealership facilities, to provide working capital, and to purchase and/or finance dealership real estate. The allowance for loan losses on commercial finance receivables is also based on estimates that, effective January 1, 2020, include historical loss experience for the consolidated portfolio, as well as the forecast for industry vehicle sales. There can be no assurance that the ultimate charge-off amount will not exceed such estimates or that our credit loss assumptions will not increase.</w:t>
      </w:r>
    </w:p>
    <w:p>
      <w:pPr>
        <w:spacing w:after="0" w:line="215" w:lineRule="exact"/>
        <w:rPr>
          <w:sz w:val="20"/>
          <w:szCs w:val="20"/>
          <w:color w:val="auto"/>
        </w:rPr>
      </w:pPr>
    </w:p>
    <w:p>
      <w:pPr>
        <w:jc w:val="both"/>
        <w:ind w:firstLine="162"/>
        <w:spacing w:after="0" w:line="284" w:lineRule="auto"/>
        <w:rPr>
          <w:sz w:val="20"/>
          <w:szCs w:val="20"/>
          <w:color w:val="auto"/>
        </w:rPr>
      </w:pPr>
      <w:r>
        <w:rPr>
          <w:rFonts w:ascii="Arial" w:cs="Arial" w:eastAsia="Arial" w:hAnsi="Arial"/>
          <w:sz w:val="16"/>
          <w:szCs w:val="16"/>
          <w:b w:val="1"/>
          <w:bCs w:val="1"/>
          <w:i w:val="1"/>
          <w:iCs w:val="1"/>
          <w:color w:val="auto"/>
        </w:rPr>
        <w:t xml:space="preserve">Residual Value of GM Financial Leased Vehicles </w:t>
      </w:r>
      <w:r>
        <w:rPr>
          <w:rFonts w:ascii="Arial" w:cs="Arial" w:eastAsia="Arial" w:hAnsi="Arial"/>
          <w:sz w:val="16"/>
          <w:szCs w:val="16"/>
          <w:color w:val="auto"/>
        </w:rPr>
        <w:t>At June 30, 2020, the estimated residual value of GM Financial’s leased vehicles at the end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lease term was $28.7 billion. Depreciation reduces the carrying value of each leased asset in GM Financial’s operating lease portfolio over time from its original acquisition value to its expected residual value at the end of the lease term. GM Financial reviewed the lease portfolio for indicators of impairment and determined that no impairment indicators were present at June 30, 2020. GM Financial updated residual value estimates on the lease portfolio to reflect the decrease in forecasted used vehicle prices due to economic impacts from the COVID-19 pandemic and will record increased depreciation expense over the remaining term of the portfolio. If used vehicle prices decrease further, GM Financial would further increase depreciation expense and/or record an impairment charge on the lease portfolio. If an impairment exists, GM Financial would determine any shortfall in recoverability of the leased vehicle asset groups by year, make and model. Recoverability is calculated as the excess of: (1) the sum of remaining lease payments plus estimated residual value; over</w:t>
      </w:r>
    </w:p>
    <w:p>
      <w:pPr>
        <w:spacing w:after="0" w:line="1" w:lineRule="exact"/>
        <w:rPr>
          <w:sz w:val="20"/>
          <w:szCs w:val="20"/>
          <w:color w:val="auto"/>
        </w:rPr>
      </w:pPr>
    </w:p>
    <w:p>
      <w:pPr>
        <w:ind w:firstLine="8"/>
        <w:spacing w:after="0" w:line="260" w:lineRule="auto"/>
        <w:tabs>
          <w:tab w:leader="none" w:pos="257" w:val="left"/>
        </w:tabs>
        <w:numPr>
          <w:ilvl w:val="0"/>
          <w:numId w:val="30"/>
        </w:numPr>
        <w:rPr>
          <w:rFonts w:ascii="Arial" w:cs="Arial" w:eastAsia="Arial" w:hAnsi="Arial"/>
          <w:sz w:val="18"/>
          <w:szCs w:val="18"/>
          <w:color w:val="auto"/>
        </w:rPr>
      </w:pPr>
      <w:r>
        <w:rPr>
          <w:rFonts w:ascii="Arial" w:cs="Arial" w:eastAsia="Arial" w:hAnsi="Arial"/>
          <w:sz w:val="18"/>
          <w:szCs w:val="18"/>
          <w:color w:val="auto"/>
        </w:rPr>
        <w:t>leased vehicles, net less deferred revenue. Alternatively, if used vehicle prices outperform our estimates, GM Financial would record increased gains on sales of off-leased vehicles and/or decreased depreciation expense.</w:t>
      </w:r>
    </w:p>
    <w:p>
      <w:pPr>
        <w:spacing w:after="0" w:line="208" w:lineRule="exact"/>
        <w:rPr>
          <w:sz w:val="20"/>
          <w:szCs w:val="20"/>
          <w:color w:val="auto"/>
        </w:rPr>
      </w:pPr>
    </w:p>
    <w:p>
      <w:pPr>
        <w:jc w:val="both"/>
        <w:spacing w:after="0" w:line="285" w:lineRule="auto"/>
        <w:rPr>
          <w:sz w:val="20"/>
          <w:szCs w:val="20"/>
          <w:color w:val="auto"/>
        </w:rPr>
      </w:pPr>
      <w:r>
        <w:rPr>
          <w:rFonts w:ascii="Arial" w:cs="Arial" w:eastAsia="Arial" w:hAnsi="Arial"/>
          <w:sz w:val="16"/>
          <w:szCs w:val="16"/>
          <w:b w:val="1"/>
          <w:bCs w:val="1"/>
          <w:color w:val="auto"/>
        </w:rPr>
        <w:t xml:space="preserve">Forward-Looking Statements </w:t>
      </w:r>
      <w:r>
        <w:rPr>
          <w:rFonts w:ascii="Arial" w:cs="Arial" w:eastAsia="Arial" w:hAnsi="Arial"/>
          <w:sz w:val="16"/>
          <w:szCs w:val="16"/>
          <w:color w:val="auto"/>
        </w:rPr>
        <w:t>This report and the other reports filed by us with the SEC from time to time, as well as statements incorporated by</w:t>
      </w:r>
      <w:r>
        <w:rPr>
          <w:rFonts w:ascii="Arial" w:cs="Arial" w:eastAsia="Arial" w:hAnsi="Arial"/>
          <w:sz w:val="16"/>
          <w:szCs w:val="16"/>
          <w:b w:val="1"/>
          <w:bCs w:val="1"/>
          <w:color w:val="auto"/>
        </w:rPr>
        <w:t xml:space="preserve"> </w:t>
      </w:r>
      <w:r>
        <w:rPr>
          <w:rFonts w:ascii="Arial" w:cs="Arial" w:eastAsia="Arial" w:hAnsi="Arial"/>
          <w:sz w:val="16"/>
          <w:szCs w:val="16"/>
          <w:color w:val="auto"/>
        </w:rPr>
        <w:t>reference herein and related comments by our management, may include "forward-looking statements" within the meaning of the U.S. federal securities laws. Forward-looking statements are any statements other than statements of historical fact. Forward-looking statements represent our current judgment about possible future events and are often identified by words like "aim," “anticipate,” “appears,” “approximately,” “believe,” “continue,” “could,” “designed,” “effect,” “estimate,” “evaluate,” “expect,” “forecast,” “goal,” “initiative,” “intend,” “may,” “objective,” “outlook,” “plan,” “potential,” “priorities,” “project,” “pursue,” “seek,” “should,” “target,” “when,” “will,” “would,” or the negative of any of those words or similar expressions. In making these statements, we rely on assumptions and analysis based on our experience and perception of historical trends, current conditions and expected future developments as well as other factors we consider appropriate under the circumstances. We believe these judgments are reasonable, but these statements are not guarantees of any events or financial results, and our actual results may differ materially due to a variety of important factors, both positive and negative. These factors, which may be revised or supplemented in subsequent reports we file with the SEC, include, among others, the following: (1) our ability to deliver new products, services and customer experiences in response to increased competition in the automotive industry; (2) our ability to timely fund and introduce new and improved vehicle models that are able to attract a sufficient number of consumers; (3) the success of our crossovers, SUVs and full-size pickup trucks; (4) our ability to successfully and cost-effectively restructure our operations in the U.S. and various other countries and initiate additional cost reduction actions with minimal disruption; (5) our ability to reduce the cost of manufacturing electric vehicles and drive increased consumer adoption; (6) the unique technological, operational, regulatory and competitive risks related to the timing and commercialization of autonomous vehicles; (7) global automobile market sales volume, which can be volatile; (8) our significant business in China, which is subject to unique operational, competitive, regulatory and economic risks; (9) our joint ventures, which we cannot operate solely for our benefit and over which we may have limited control; (10) the international scale and footprint of our operations, which exposes us to a variety of unique political, economic, competitive and regulatory risks, including the risk of changes in government leadership and laws (including labor, tax and other laws), political instability and economic tensions between governments and changes in international trade policies, new barriers to entry and</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8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changes to or withdrawals from free trade agreements, public health crises, including the occurrence of a contagious disease or illness, such as the COVID-19 pandemic, changes in foreign exchange rates and interest rates, economic downturns in foreign countries, differing local product preferences and product requirements, compliance with U.S. and foreign countries' export controls and economic sanctions, differing labor regulations, requirements and union relationships, differing dealer and franchise regulations and relationships, and difficulties in obtaining financing in foreign countries; (11) any significant disruption, including any work stoppages, at any of our manufacturing facilities; (12) the ability of our suppliers to deliver parts, systems and components without disruption and at such times to allow us to meet production schedules; (13) prices of raw materials used by us and our suppliers; (14) our highly competitive industry, which is characterized by excess manufacturing capacity and the use of incentives and the introduction of new and improved vehicle models by our competitors; (15) the possibility that competitors may independently develop products and services similar to ours or that our intellectual property rights are not sufficient to prevent competitors from developing or selling those products or services; (16) our ability to manage risks related to security breaches and other disruptions to our information technology systems and networked products, including connected vehicles and in-vehicle systems; (17) our ability to comply with increasingly complex, restrictive and punitive regulations relating to our enterprise data practices, including the collection, use, sharing and security of the Personal Identifiable Information of our customers, employees, or suppliers; (18) our ability to comply with extensive laws, regulations and policies applicable to our operations and products, including those relating to fuel economy and emissions and autonomous vehicles; (19) costs and risks associated with litigation and government investigations; (20) the costs and effect on our reputation of product safety recalls and alleged defects in products and services; (21) any additional tax expense or exposure; (22) our continued ability to develop captive financing capability through GM Financial; (23) any significant increase in our pension funding requirements; and (24) the ongoing COVID-19 pandemic. A further list and description of these risks, uncertainties and other factors can be found in our 2019 Form 10-K and our subsequent filings with the SEC.</w:t>
      </w:r>
    </w:p>
    <w:p>
      <w:pPr>
        <w:spacing w:after="0" w:line="201"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color w:val="auto"/>
        </w:rPr>
        <w:t>We caution readers not to place undue reliance on forward-looking statements. Forward-looking statements speak only as of the date they are made, and we undertake no obligation to update publicly or otherwise revise any forward-looking statements, whether as a result of new information, future events or other factors, except where we are expressly required to do so by law.</w:t>
      </w:r>
    </w:p>
    <w:p>
      <w:pPr>
        <w:spacing w:after="0" w:line="211"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There have been no significant changes in our exposure to market risk since December 31, 2019. For further discussion on market risk, refer to Item 7A of our 2019 Form 10-K.</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34" w:lineRule="exact"/>
        <w:rPr>
          <w:sz w:val="20"/>
          <w:szCs w:val="20"/>
          <w:color w:val="auto"/>
        </w:rPr>
      </w:pPr>
    </w:p>
    <w:p>
      <w:pPr>
        <w:jc w:val="both"/>
        <w:ind w:firstLine="162"/>
        <w:spacing w:after="0" w:line="261" w:lineRule="auto"/>
        <w:rPr>
          <w:sz w:val="20"/>
          <w:szCs w:val="20"/>
          <w:color w:val="auto"/>
        </w:rPr>
      </w:pPr>
      <w:r>
        <w:rPr>
          <w:rFonts w:ascii="Arial" w:cs="Arial" w:eastAsia="Arial" w:hAnsi="Arial"/>
          <w:sz w:val="18"/>
          <w:szCs w:val="18"/>
          <w:b w:val="1"/>
          <w:bCs w:val="1"/>
          <w:color w:val="auto"/>
        </w:rPr>
        <w:t xml:space="preserve">Disclosure Controls and Procedures </w:t>
      </w:r>
      <w:r>
        <w:rPr>
          <w:rFonts w:ascii="Arial" w:cs="Arial" w:eastAsia="Arial" w:hAnsi="Arial"/>
          <w:sz w:val="18"/>
          <w:szCs w:val="18"/>
          <w:color w:val="auto"/>
        </w:rPr>
        <w:t>We maintain disclosure controls and procedures designed to provide reasonable assurance that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to be disclosed in reports filed under the Securities Exchange Act of 1934, as amended (Exchange Act), is recorded, processed, summarized and reported within the specified time periods and accumulated and communicated to our management, including our principal executive officer and principal financial officer, as appropriate, to allow timely decisions regarding required disclosures.</w:t>
      </w:r>
    </w:p>
    <w:p>
      <w:pPr>
        <w:spacing w:after="0" w:line="211"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Our management, with the participation of our CEO and CFO, evaluated the effectiveness of our disclosure controls and procedures (as defined in Rules 13a-15(e) or 15d-15(e) promulgated under the Exchange Act) at June 30, 2020 as required by paragraph (b) of Rules 13a-15 or 15d-15. Based on this evaluation, our CEO and CFO concluded that our disclosure controls and procedures were effective at June 30, 2020.</w:t>
      </w:r>
    </w:p>
    <w:p>
      <w:pPr>
        <w:spacing w:after="0" w:line="188" w:lineRule="exact"/>
        <w:rPr>
          <w:sz w:val="20"/>
          <w:szCs w:val="20"/>
          <w:color w:val="auto"/>
        </w:rPr>
      </w:pPr>
    </w:p>
    <w:p>
      <w:pPr>
        <w:jc w:val="both"/>
        <w:ind w:firstLine="162"/>
        <w:spacing w:after="0" w:line="281" w:lineRule="auto"/>
        <w:rPr>
          <w:sz w:val="20"/>
          <w:szCs w:val="20"/>
          <w:color w:val="auto"/>
        </w:rPr>
      </w:pPr>
      <w:r>
        <w:rPr>
          <w:rFonts w:ascii="Arial" w:cs="Arial" w:eastAsia="Arial" w:hAnsi="Arial"/>
          <w:sz w:val="17"/>
          <w:szCs w:val="17"/>
          <w:b w:val="1"/>
          <w:bCs w:val="1"/>
          <w:color w:val="auto"/>
        </w:rPr>
        <w:t xml:space="preserve">Changes in Internal Control over Financial Reporting </w:t>
      </w:r>
      <w:r>
        <w:rPr>
          <w:rFonts w:ascii="Arial" w:cs="Arial" w:eastAsia="Arial" w:hAnsi="Arial"/>
          <w:sz w:val="17"/>
          <w:szCs w:val="17"/>
          <w:color w:val="auto"/>
        </w:rPr>
        <w:t>There have not been any changes in our internal control over financial reporting during the</w:t>
      </w:r>
      <w:r>
        <w:rPr>
          <w:rFonts w:ascii="Arial" w:cs="Arial" w:eastAsia="Arial" w:hAnsi="Arial"/>
          <w:sz w:val="17"/>
          <w:szCs w:val="17"/>
          <w:b w:val="1"/>
          <w:bCs w:val="1"/>
          <w:color w:val="auto"/>
        </w:rPr>
        <w:t xml:space="preserve"> </w:t>
      </w:r>
      <w:r>
        <w:rPr>
          <w:rFonts w:ascii="Arial" w:cs="Arial" w:eastAsia="Arial" w:hAnsi="Arial"/>
          <w:sz w:val="17"/>
          <w:szCs w:val="17"/>
          <w:color w:val="auto"/>
        </w:rPr>
        <w:t>three months ended June 30, 2020 that have materially affected, or are reasonably likely to materially affect, our internal control over financial reporting. However, due to the COVID-19 global pandemic, we are monitoring our control environment with increased vigilance to ensure changes as a result of physical distancing are addressed and all increased risks are mitigated. For additional information refer to Item 1A. Risk Factors.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38"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discussion under "Litigation-Related Liability and Tax Administrative Matters" in Note 15 to our condensed consolidated financial statements is incorporated by reference into this Part II – Item 1.</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jc w:val="both"/>
        <w:ind w:firstLine="162"/>
        <w:spacing w:after="0" w:line="291" w:lineRule="auto"/>
        <w:rPr>
          <w:sz w:val="20"/>
          <w:szCs w:val="20"/>
          <w:color w:val="auto"/>
        </w:rPr>
      </w:pPr>
      <w:r>
        <w:rPr>
          <w:rFonts w:ascii="Arial" w:cs="Arial" w:eastAsia="Arial" w:hAnsi="Arial"/>
          <w:sz w:val="16"/>
          <w:szCs w:val="16"/>
          <w:b w:val="1"/>
          <w:bCs w:val="1"/>
          <w:i w:val="1"/>
          <w:iCs w:val="1"/>
          <w:color w:val="auto"/>
        </w:rPr>
        <w:t xml:space="preserve">The COVID-19 pandemic may continue to disrupt our business and operations, which could materially adversely impact our business, financial condition, liquidity and results of operations. </w:t>
      </w:r>
      <w:r>
        <w:rPr>
          <w:rFonts w:ascii="Arial" w:cs="Arial" w:eastAsia="Arial" w:hAnsi="Arial"/>
          <w:sz w:val="16"/>
          <w:szCs w:val="16"/>
          <w:color w:val="auto"/>
        </w:rPr>
        <w:t>Pandemics, epidemics or disease outbreaks in the U.S. or globally may continue to disrupt our business,</w:t>
      </w:r>
    </w:p>
    <w:p>
      <w:pPr>
        <w:jc w:val="both"/>
        <w:spacing w:after="0" w:line="268" w:lineRule="auto"/>
        <w:rPr>
          <w:sz w:val="20"/>
          <w:szCs w:val="20"/>
          <w:color w:val="auto"/>
        </w:rPr>
      </w:pPr>
      <w:r>
        <w:rPr>
          <w:rFonts w:ascii="Arial" w:cs="Arial" w:eastAsia="Arial" w:hAnsi="Arial"/>
          <w:sz w:val="17"/>
          <w:szCs w:val="17"/>
          <w:color w:val="auto"/>
        </w:rPr>
        <w:t>which could materially affect our results of operations, financial condition, liquidity and future expectations. In January 2020, the World Health Organization declared the COVID-19 outbreak a public health emergency and in March 2020 declared it a global pandemic. The outbreak has since spread globally and has caused significant disruption to the global economy, including the automotive industry. We responded by implementing work-from-home protocols for employees who can work remotely and systematically suspending the majority of our global manufacturing operations. By April 2020, we fully resumed our Automotive China JVs’ manufacturing operations. Beginning in May 2020, we resumed our critical manufacturing operations in North America, and we continue to take actions to increase production and replenish dealer inventories. Our manufacturing operations resumed production under enhanced public health procedures, including temperature screening of employees before entry into facilities, shift adjustments to allow for physical distancing, deep cleaning of facilities after each shift, and the provision of personal protective equipment.</w:t>
      </w:r>
    </w:p>
    <w:p>
      <w:pPr>
        <w:spacing w:after="0" w:line="210" w:lineRule="exact"/>
        <w:rPr>
          <w:sz w:val="20"/>
          <w:szCs w:val="20"/>
          <w:color w:val="auto"/>
        </w:rPr>
      </w:pPr>
    </w:p>
    <w:p>
      <w:pPr>
        <w:jc w:val="both"/>
        <w:ind w:firstLine="162"/>
        <w:spacing w:after="0" w:line="268" w:lineRule="auto"/>
        <w:rPr>
          <w:sz w:val="20"/>
          <w:szCs w:val="20"/>
          <w:color w:val="auto"/>
        </w:rPr>
      </w:pPr>
      <w:r>
        <w:rPr>
          <w:rFonts w:ascii="Arial" w:cs="Arial" w:eastAsia="Arial" w:hAnsi="Arial"/>
          <w:sz w:val="16"/>
          <w:szCs w:val="16"/>
          <w:color w:val="auto"/>
        </w:rPr>
        <w:t>The COVID-19 pandemic has had a material impact on our business as discussed in detail in Item 2. Management's Discussion and Analysis of Financial Condition and Results of Operations. However, the full extent to which the COVID-19 pandemic will impact our operations will depend on future developments, which are highly uncertain and cannot be predicted with confidence, including the duration and severity of the outbreak or subsequent outbreaks, which may cause us to again suspend our global manufacturing operations. In particular, if COVID-19 continues to spread or re-emerges, particularly in North America where our profits are most concentrated, resulting in a prolonged period of travel, commercial, social and other similar restrictions, we could experience among other things: (1) global supply disruptions; (2) labor disruptions; (3) an inability to manufacture; (4) an inability to sell to our customers; (5) a decline in showroom traffic and customer demand during and following the pandemic; (6) customer defaults on automobile loans and leases; (7) lower than expected pricing on vehicles sold at auction; and (8) an impaired ability to access credit and the capital markets. We may also be subject to enhanced legal risks, including potential litigation related to the COVID-19 pandemic. Further, we expect the COVID-19 pandemic, and the related adverse economic impact, will result in a significant contraction of total industry volumes in 2020. We also have substantial cash requirements going forward, including: (1) ongoing cash costs including payments associated with previously announced vehicle recalls, the settlements of the multi-district litigation and any other recall-related contingencies, payments to service debt and other long-term obligations, including repayment of amounts drawn on our revolving credit facilities and mandatory contributions to our pension plans; and (2) capital expenditures and payments for engineering and product development activities. We cannot predict with confidence whether our current liquidity will be sufficient to fund our ongoing needs because the duration of the COVID-19 pandemic and the extent to which it will impact our operations is highly uncertain and will depend on future developments. Any resulting financial impact cannot be reasonably estimated at this time, but the COVID-19 pandemic could continue to have a material impact on our business, financial condition and results of operations. For a further discussion of the impact of COVID-19 on our liquidity, refer to the “Liquidity and Capital Resources” section in Item 2. Management’s Discussion and Analysis of Financial Condition and Results of Operations.</w:t>
      </w:r>
    </w:p>
    <w:p>
      <w:pPr>
        <w:spacing w:after="0" w:line="203"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As the COVID-19 pandemic continues to adversely affect our operating and financial results, it may also heighten many of the other risks described in Item 1A. Risk Factors in our 2019 Form 10-K. In particular, see the risk factors regarding global automobile sales volumes, scale and footprint of our operations, disruptions at our manufacturing facilities, disruptions in our suppliers’ operations, and reliance on GM Financial.</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Purchases of Equity Securities </w:t>
      </w:r>
      <w:r>
        <w:rPr>
          <w:rFonts w:ascii="Arial" w:cs="Arial" w:eastAsia="Arial" w:hAnsi="Arial"/>
          <w:sz w:val="18"/>
          <w:szCs w:val="18"/>
          <w:color w:val="auto"/>
        </w:rPr>
        <w:t>The following table summarizes our purchases of common stock in the three months ended June 30, 2020:</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Weighted</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2"/>
              </w:rPr>
              <w:t>Total Number of Shares</w:t>
            </w:r>
          </w:p>
        </w:tc>
        <w:tc>
          <w:tcPr>
            <w:tcW w:w="120" w:type="dxa"/>
            <w:vAlign w:val="bottom"/>
          </w:tcPr>
          <w:p>
            <w:pPr>
              <w:spacing w:after="0"/>
              <w:rPr>
                <w:sz w:val="14"/>
                <w:szCs w:val="14"/>
                <w:color w:val="auto"/>
              </w:rPr>
            </w:pP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94"/>
              </w:rPr>
              <w:t>Approximate Dollar Value of</w:t>
            </w:r>
          </w:p>
        </w:tc>
        <w:tc>
          <w:tcPr>
            <w:tcW w:w="0" w:type="dxa"/>
            <w:vAlign w:val="bottom"/>
          </w:tcPr>
          <w:p>
            <w:pPr>
              <w:spacing w:after="0"/>
              <w:rPr>
                <w:sz w:val="1"/>
                <w:szCs w:val="1"/>
                <w:color w:val="auto"/>
              </w:rPr>
            </w:pPr>
          </w:p>
        </w:tc>
      </w:tr>
      <w:tr>
        <w:trPr>
          <w:trHeight w:val="148"/>
        </w:trPr>
        <w:tc>
          <w:tcPr>
            <w:tcW w:w="514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Average Price</w:t>
            </w: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Purchased Under</w:t>
            </w:r>
          </w:p>
        </w:tc>
        <w:tc>
          <w:tcPr>
            <w:tcW w:w="120" w:type="dxa"/>
            <w:vAlign w:val="bottom"/>
          </w:tcPr>
          <w:p>
            <w:pPr>
              <w:spacing w:after="0"/>
              <w:rPr>
                <w:sz w:val="12"/>
                <w:szCs w:val="12"/>
                <w:color w:val="auto"/>
              </w:rPr>
            </w:pPr>
          </w:p>
        </w:tc>
        <w:tc>
          <w:tcPr>
            <w:tcW w:w="1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Shares That</w:t>
            </w:r>
          </w:p>
        </w:tc>
        <w:tc>
          <w:tcPr>
            <w:tcW w:w="0" w:type="dxa"/>
            <w:vAlign w:val="bottom"/>
          </w:tcPr>
          <w:p>
            <w:pPr>
              <w:spacing w:after="0"/>
              <w:rPr>
                <w:sz w:val="1"/>
                <w:szCs w:val="1"/>
                <w:color w:val="auto"/>
              </w:rPr>
            </w:pPr>
          </w:p>
        </w:tc>
      </w:tr>
      <w:tr>
        <w:trPr>
          <w:trHeight w:val="148"/>
        </w:trPr>
        <w:tc>
          <w:tcPr>
            <w:tcW w:w="514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Shares Purchased(a)</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Paid per</w:t>
            </w: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Announced</w:t>
            </w:r>
          </w:p>
        </w:tc>
        <w:tc>
          <w:tcPr>
            <w:tcW w:w="120" w:type="dxa"/>
            <w:vAlign w:val="bottom"/>
          </w:tcPr>
          <w:p>
            <w:pPr>
              <w:spacing w:after="0"/>
              <w:rPr>
                <w:sz w:val="12"/>
                <w:szCs w:val="12"/>
                <w:color w:val="auto"/>
              </w:rPr>
            </w:pPr>
          </w:p>
        </w:tc>
        <w:tc>
          <w:tcPr>
            <w:tcW w:w="1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May Yet be Purchased Under</w:t>
            </w:r>
          </w:p>
        </w:tc>
        <w:tc>
          <w:tcPr>
            <w:tcW w:w="0" w:type="dxa"/>
            <w:vAlign w:val="bottom"/>
          </w:tcPr>
          <w:p>
            <w:pPr>
              <w:spacing w:after="0"/>
              <w:rPr>
                <w:sz w:val="1"/>
                <w:szCs w:val="1"/>
                <w:color w:val="auto"/>
              </w:rPr>
            </w:pPr>
          </w:p>
        </w:tc>
      </w:tr>
      <w:tr>
        <w:trPr>
          <w:trHeight w:val="192"/>
        </w:trPr>
        <w:tc>
          <w:tcPr>
            <w:tcW w:w="514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2"/>
              </w:rPr>
              <w:t>Share</w:t>
            </w:r>
          </w:p>
        </w:tc>
        <w:tc>
          <w:tcPr>
            <w:tcW w:w="12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Programs(b)</w:t>
            </w:r>
          </w:p>
        </w:tc>
        <w:tc>
          <w:tcPr>
            <w:tcW w:w="120" w:type="dxa"/>
            <w:vAlign w:val="bottom"/>
            <w:tcBorders>
              <w:bottom w:val="single" w:sz="8" w:color="CCEEFF"/>
            </w:tcBorders>
          </w:tcPr>
          <w:p>
            <w:pPr>
              <w:spacing w:after="0"/>
              <w:rPr>
                <w:sz w:val="16"/>
                <w:szCs w:val="16"/>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Announced Programs</w:t>
            </w:r>
          </w:p>
        </w:tc>
        <w:tc>
          <w:tcPr>
            <w:tcW w:w="0" w:type="dxa"/>
            <w:vAlign w:val="bottom"/>
          </w:tcPr>
          <w:p>
            <w:pPr>
              <w:spacing w:after="0"/>
              <w:rPr>
                <w:sz w:val="1"/>
                <w:szCs w:val="1"/>
                <w:color w:val="auto"/>
              </w:rPr>
            </w:pPr>
          </w:p>
        </w:tc>
      </w:tr>
      <w:tr>
        <w:trPr>
          <w:trHeight w:val="250"/>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April 1, 2020 through April 30, 2020</w:t>
            </w:r>
          </w:p>
        </w:tc>
        <w:tc>
          <w:tcPr>
            <w:tcW w:w="142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8"/>
                <w:szCs w:val="18"/>
                <w:color w:val="auto"/>
              </w:rPr>
              <w:t>51,252</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8"/>
                <w:szCs w:val="18"/>
                <w:color w:val="auto"/>
              </w:rPr>
              <w:t>22.25</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$3.3 billion</w:t>
            </w:r>
          </w:p>
        </w:tc>
        <w:tc>
          <w:tcPr>
            <w:tcW w:w="0" w:type="dxa"/>
            <w:vAlign w:val="bottom"/>
          </w:tcPr>
          <w:p>
            <w:pPr>
              <w:spacing w:after="0"/>
              <w:rPr>
                <w:sz w:val="1"/>
                <w:szCs w:val="1"/>
                <w:color w:val="auto"/>
              </w:rPr>
            </w:pPr>
          </w:p>
        </w:tc>
      </w:tr>
      <w:tr>
        <w:trPr>
          <w:trHeight w:val="243"/>
        </w:trPr>
        <w:tc>
          <w:tcPr>
            <w:tcW w:w="5140" w:type="dxa"/>
            <w:vAlign w:val="bottom"/>
          </w:tcPr>
          <w:p>
            <w:pPr>
              <w:ind w:left="20"/>
              <w:spacing w:after="0"/>
              <w:rPr>
                <w:sz w:val="20"/>
                <w:szCs w:val="20"/>
                <w:color w:val="auto"/>
              </w:rPr>
            </w:pPr>
            <w:r>
              <w:rPr>
                <w:rFonts w:ascii="Arial" w:cs="Arial" w:eastAsia="Arial" w:hAnsi="Arial"/>
                <w:sz w:val="18"/>
                <w:szCs w:val="18"/>
                <w:color w:val="auto"/>
              </w:rPr>
              <w:t>May 1, 2020 through May 31, 2020</w:t>
            </w:r>
          </w:p>
        </w:tc>
        <w:tc>
          <w:tcPr>
            <w:tcW w:w="1420" w:type="dxa"/>
            <w:vAlign w:val="bottom"/>
          </w:tcPr>
          <w:p>
            <w:pPr>
              <w:jc w:val="right"/>
              <w:ind w:right="58"/>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500" w:type="dxa"/>
            <w:vAlign w:val="bottom"/>
          </w:tcPr>
          <w:p>
            <w:pPr>
              <w:ind w:left="1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95"/>
              </w:rPr>
              <w:t>$3.3 billion</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June 1, 2020 through June 30, 2020</w:t>
            </w:r>
          </w:p>
        </w:tc>
        <w:tc>
          <w:tcPr>
            <w:tcW w:w="142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$3.3 billion</w:t>
            </w:r>
          </w:p>
        </w:tc>
        <w:tc>
          <w:tcPr>
            <w:tcW w:w="0" w:type="dxa"/>
            <w:vAlign w:val="bottom"/>
          </w:tcPr>
          <w:p>
            <w:pPr>
              <w:spacing w:after="0"/>
              <w:rPr>
                <w:sz w:val="1"/>
                <w:szCs w:val="1"/>
                <w:color w:val="auto"/>
              </w:rPr>
            </w:pPr>
          </w:p>
        </w:tc>
      </w:tr>
      <w:tr>
        <w:trPr>
          <w:trHeight w:val="263"/>
        </w:trPr>
        <w:tc>
          <w:tcPr>
            <w:tcW w:w="5140" w:type="dxa"/>
            <w:vAlign w:val="bottom"/>
          </w:tcPr>
          <w:p>
            <w:pPr>
              <w:ind w:left="20"/>
              <w:spacing w:after="0"/>
              <w:rPr>
                <w:sz w:val="20"/>
                <w:szCs w:val="20"/>
                <w:color w:val="auto"/>
              </w:rPr>
            </w:pPr>
            <w:r>
              <w:rPr>
                <w:rFonts w:ascii="Arial" w:cs="Arial" w:eastAsia="Arial" w:hAnsi="Arial"/>
                <w:sz w:val="18"/>
                <w:szCs w:val="18"/>
                <w:color w:val="auto"/>
              </w:rPr>
              <w:t>Total</w:t>
            </w:r>
          </w:p>
        </w:tc>
        <w:tc>
          <w:tcPr>
            <w:tcW w:w="142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8"/>
                <w:szCs w:val="18"/>
                <w:color w:val="auto"/>
              </w:rPr>
              <w:t>51,252</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58"/>
              <w:spacing w:after="0"/>
              <w:rPr>
                <w:sz w:val="20"/>
                <w:szCs w:val="20"/>
                <w:color w:val="auto"/>
              </w:rPr>
            </w:pPr>
            <w:r>
              <w:rPr>
                <w:rFonts w:ascii="Arial" w:cs="Arial" w:eastAsia="Arial" w:hAnsi="Arial"/>
                <w:sz w:val="18"/>
                <w:szCs w:val="18"/>
                <w:color w:val="auto"/>
              </w:rPr>
              <w:t>22.25</w:t>
            </w:r>
          </w:p>
        </w:tc>
        <w:tc>
          <w:tcPr>
            <w:tcW w:w="120" w:type="dxa"/>
            <w:vAlign w:val="bottom"/>
          </w:tcPr>
          <w:p>
            <w:pPr>
              <w:spacing w:after="0"/>
              <w:rPr>
                <w:sz w:val="22"/>
                <w:szCs w:val="22"/>
                <w:color w:val="auto"/>
              </w:rPr>
            </w:pPr>
          </w:p>
        </w:tc>
        <w:tc>
          <w:tcPr>
            <w:tcW w:w="1500" w:type="dxa"/>
            <w:vAlign w:val="bottom"/>
            <w:tcBorders>
              <w:top w:val="single" w:sz="8" w:color="auto"/>
              <w:bottom w:val="single" w:sz="8" w:color="auto"/>
            </w:tcBorders>
          </w:tcPr>
          <w:p>
            <w:pPr>
              <w:ind w:left="1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51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9" w:lineRule="exact"/>
        <w:rPr>
          <w:sz w:val="20"/>
          <w:szCs w:val="20"/>
          <w:color w:val="auto"/>
        </w:rPr>
      </w:pPr>
    </w:p>
    <w:p>
      <w:pPr>
        <w:ind w:left="340" w:right="20" w:hanging="332"/>
        <w:spacing w:after="0" w:line="281" w:lineRule="auto"/>
        <w:tabs>
          <w:tab w:leader="none" w:pos="331" w:val="left"/>
        </w:tabs>
        <w:numPr>
          <w:ilvl w:val="0"/>
          <w:numId w:val="31"/>
        </w:numPr>
        <w:rPr>
          <w:rFonts w:ascii="Arial" w:cs="Arial" w:eastAsia="Arial" w:hAnsi="Arial"/>
          <w:sz w:val="14"/>
          <w:szCs w:val="14"/>
          <w:color w:val="auto"/>
        </w:rPr>
      </w:pPr>
      <w:r>
        <w:rPr>
          <w:rFonts w:ascii="Arial" w:cs="Arial" w:eastAsia="Arial" w:hAnsi="Arial"/>
          <w:sz w:val="14"/>
          <w:szCs w:val="14"/>
          <w:color w:val="auto"/>
        </w:rPr>
        <w:t>Shares purchased consist of shares delivered by employees or directors to us for the payment of taxes resulting from the issuance of common stock upon the vesting of RSUs, PSUs and Restricted Stock Awards relating to compensation plans. Refer to our 2019 Form 10-K for additional details on employee stock incentive plans.</w:t>
      </w:r>
    </w:p>
    <w:p>
      <w:pPr>
        <w:spacing w:after="0" w:line="1" w:lineRule="exact"/>
        <w:rPr>
          <w:rFonts w:ascii="Arial" w:cs="Arial" w:eastAsia="Arial" w:hAnsi="Arial"/>
          <w:sz w:val="14"/>
          <w:szCs w:val="14"/>
          <w:color w:val="auto"/>
        </w:rPr>
      </w:pPr>
    </w:p>
    <w:p>
      <w:pPr>
        <w:jc w:val="both"/>
        <w:ind w:left="340" w:hanging="332"/>
        <w:spacing w:after="0" w:line="251" w:lineRule="auto"/>
        <w:tabs>
          <w:tab w:leader="none" w:pos="3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 January 2017, we announced that our Board of Directors had authorized the purchase of up to $5.0 billion of our common stock with no expiration date. In April 2020 we agreed not to execute any share repurchases until we no longer have outstanding borrowings under the revolving credit facilities, except for the three-year, $2.0 billion transformation facility.</w:t>
      </w:r>
    </w:p>
    <w:p>
      <w:pPr>
        <w:spacing w:after="0" w:line="214" w:lineRule="exact"/>
        <w:rPr>
          <w:rFonts w:ascii="Arial" w:cs="Arial" w:eastAsia="Arial" w:hAnsi="Arial"/>
          <w:sz w:val="16"/>
          <w:szCs w:val="16"/>
          <w:color w:val="auto"/>
        </w:rPr>
      </w:pPr>
    </w:p>
    <w:p>
      <w:pPr>
        <w:ind w:left="5040"/>
        <w:spacing w:after="0"/>
        <w:rPr>
          <w:rFonts w:ascii="Arial" w:cs="Arial" w:eastAsia="Arial" w:hAnsi="Arial"/>
          <w:sz w:val="16"/>
          <w:szCs w:val="16"/>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0" w:type="dxa"/>
            <w:vAlign w:val="bottom"/>
            <w:gridSpan w:val="5"/>
          </w:tcPr>
          <w:p>
            <w:pPr>
              <w:ind w:left="1560"/>
              <w:spacing w:after="0"/>
              <w:rPr>
                <w:sz w:val="20"/>
                <w:szCs w:val="20"/>
                <w:color w:val="auto"/>
              </w:rPr>
            </w:pPr>
            <w:r>
              <w:rPr>
                <w:rFonts w:ascii="Arial" w:cs="Arial" w:eastAsia="Arial" w:hAnsi="Arial"/>
                <w:sz w:val="18"/>
                <w:szCs w:val="18"/>
                <w:b w:val="1"/>
                <w:bCs w:val="1"/>
                <w:color w:val="auto"/>
              </w:rPr>
              <w:t>GENERAL MOTORS COMPANY AND SUBSIDIARIES</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4"/>
        </w:trPr>
        <w:tc>
          <w:tcPr>
            <w:tcW w:w="1460" w:type="dxa"/>
            <w:vAlign w:val="bottom"/>
            <w:gridSpan w:val="2"/>
          </w:tcPr>
          <w:p>
            <w:pPr>
              <w:spacing w:after="0"/>
              <w:rPr>
                <w:sz w:val="20"/>
                <w:szCs w:val="20"/>
                <w:color w:val="auto"/>
              </w:rPr>
            </w:pPr>
            <w:r>
              <w:rPr>
                <w:rFonts w:ascii="Arial" w:cs="Arial" w:eastAsia="Arial" w:hAnsi="Arial"/>
                <w:sz w:val="18"/>
                <w:szCs w:val="18"/>
                <w:b w:val="1"/>
                <w:bCs w:val="1"/>
                <w:color w:val="auto"/>
              </w:rPr>
              <w:t>Item 6. Exhibits</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1460" w:type="dxa"/>
            <w:vAlign w:val="bottom"/>
            <w:gridSpan w:val="2"/>
          </w:tcPr>
          <w:p>
            <w:pPr>
              <w:ind w:left="40"/>
              <w:spacing w:after="0"/>
              <w:rPr>
                <w:sz w:val="20"/>
                <w:szCs w:val="20"/>
                <w:color w:val="auto"/>
              </w:rPr>
            </w:pPr>
            <w:r>
              <w:rPr>
                <w:rFonts w:ascii="Arial" w:cs="Arial" w:eastAsia="Arial" w:hAnsi="Arial"/>
                <w:sz w:val="18"/>
                <w:szCs w:val="18"/>
                <w:b w:val="1"/>
                <w:bCs w:val="1"/>
                <w:color w:val="auto"/>
              </w:rPr>
              <w:t>Exhibit Number</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0" w:type="dxa"/>
            <w:vAlign w:val="bottom"/>
            <w:gridSpan w:val="5"/>
          </w:tcPr>
          <w:p>
            <w:pPr>
              <w:ind w:left="3160"/>
              <w:spacing w:after="0"/>
              <w:rPr>
                <w:sz w:val="20"/>
                <w:szCs w:val="20"/>
                <w:color w:val="auto"/>
              </w:rPr>
            </w:pPr>
            <w:r>
              <w:rPr>
                <w:rFonts w:ascii="Arial" w:cs="Arial" w:eastAsia="Arial" w:hAnsi="Arial"/>
                <w:sz w:val="18"/>
                <w:szCs w:val="18"/>
                <w:b w:val="1"/>
                <w:bCs w:val="1"/>
                <w:color w:val="auto"/>
              </w:rPr>
              <w:t>Exhibit Name</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1340" w:type="dxa"/>
            <w:vAlign w:val="bottom"/>
            <w:tcBorders>
              <w:bottom w:val="single" w:sz="8" w:color="CCEEFF"/>
            </w:tcBorders>
            <w:shd w:val="clear" w:color="auto" w:fill="CCEEFF"/>
          </w:tcPr>
          <w:p>
            <w:pPr>
              <w:ind w:left="20"/>
              <w:spacing w:after="0" w:line="182" w:lineRule="exact"/>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120" w:type="dxa"/>
            <w:vAlign w:val="bottom"/>
            <w:tcBorders>
              <w:bottom w:val="single" w:sz="8" w:color="0000FF"/>
            </w:tcBorders>
            <w:gridSpan w:val="4"/>
            <w:shd w:val="clear" w:color="auto" w:fill="CCEEFF"/>
          </w:tcPr>
          <w:p>
            <w:pPr>
              <w:spacing w:after="0" w:line="169" w:lineRule="exact"/>
              <w:rPr>
                <w:rFonts w:ascii="Arial" w:cs="Arial" w:eastAsia="Arial" w:hAnsi="Arial"/>
                <w:sz w:val="18"/>
                <w:szCs w:val="18"/>
                <w:color w:val="0000FF"/>
                <w:w w:val="91"/>
              </w:rPr>
            </w:pPr>
            <w:hyperlink r:id="rId108">
              <w:r>
                <w:rPr>
                  <w:rFonts w:ascii="Arial" w:cs="Arial" w:eastAsia="Arial" w:hAnsi="Arial"/>
                  <w:sz w:val="18"/>
                  <w:szCs w:val="18"/>
                  <w:color w:val="0000FF"/>
                  <w:w w:val="91"/>
                </w:rPr>
                <w:t>Restated Certificate of Incorporation of General Motors Company dated December 7, 2010, incorporated herein</w:t>
              </w:r>
            </w:hyperlink>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580" w:type="dxa"/>
            <w:vAlign w:val="bottom"/>
            <w:tcBorders>
              <w:bottom w:val="single" w:sz="8" w:color="CCEEFF"/>
            </w:tcBorders>
            <w:shd w:val="clear" w:color="auto" w:fill="CCEEFF"/>
          </w:tcPr>
          <w:p>
            <w:pPr>
              <w:ind w:left="80"/>
              <w:spacing w:after="0" w:line="182" w:lineRule="exact"/>
              <w:rPr>
                <w:sz w:val="20"/>
                <w:szCs w:val="20"/>
                <w:color w:val="auto"/>
              </w:rPr>
            </w:pPr>
            <w:r>
              <w:rPr>
                <w:rFonts w:ascii="Arial" w:cs="Arial" w:eastAsia="Arial" w:hAnsi="Arial"/>
                <w:sz w:val="18"/>
                <w:szCs w:val="18"/>
                <w:color w:val="auto"/>
              </w:rPr>
              <w:t>Incorporated by</w:t>
            </w:r>
          </w:p>
        </w:tc>
        <w:tc>
          <w:tcPr>
            <w:tcW w:w="0" w:type="dxa"/>
            <w:vAlign w:val="bottom"/>
          </w:tcPr>
          <w:p>
            <w:pPr>
              <w:spacing w:after="0"/>
              <w:rPr>
                <w:sz w:val="1"/>
                <w:szCs w:val="1"/>
                <w:color w:val="auto"/>
              </w:rPr>
            </w:pPr>
          </w:p>
        </w:tc>
      </w:tr>
      <w:tr>
        <w:trPr>
          <w:trHeight w:val="156"/>
        </w:trPr>
        <w:tc>
          <w:tcPr>
            <w:tcW w:w="13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8120" w:type="dxa"/>
            <w:vAlign w:val="bottom"/>
            <w:tcBorders>
              <w:bottom w:val="single" w:sz="8" w:color="0000FF"/>
            </w:tcBorders>
            <w:gridSpan w:val="4"/>
            <w:shd w:val="clear" w:color="auto" w:fill="CCEEFF"/>
          </w:tcPr>
          <w:p>
            <w:pPr>
              <w:spacing w:after="0" w:line="142" w:lineRule="exact"/>
              <w:rPr>
                <w:rFonts w:ascii="Arial" w:cs="Arial" w:eastAsia="Arial" w:hAnsi="Arial"/>
                <w:sz w:val="16"/>
                <w:szCs w:val="16"/>
                <w:color w:val="0000FF"/>
              </w:rPr>
            </w:pPr>
            <w:hyperlink r:id="rId108">
              <w:r>
                <w:rPr>
                  <w:rFonts w:ascii="Arial" w:cs="Arial" w:eastAsia="Arial" w:hAnsi="Arial"/>
                  <w:sz w:val="16"/>
                  <w:szCs w:val="16"/>
                  <w:color w:val="0000FF"/>
                </w:rPr>
                <w:t>by reference to Exhibit 3.2 to the Current Report on Form 8-K of General Motors Company filed December 13,</w:t>
              </w:r>
            </w:hyperlink>
          </w:p>
        </w:tc>
        <w:tc>
          <w:tcPr>
            <w:tcW w:w="20" w:type="dxa"/>
            <w:vAlign w:val="bottom"/>
            <w:tcBorders>
              <w:bottom w:val="single" w:sz="8" w:color="0000FF"/>
            </w:tcBorders>
            <w:shd w:val="clear" w:color="auto" w:fill="CCEEFF"/>
          </w:tcPr>
          <w:p>
            <w:pPr>
              <w:spacing w:after="0"/>
              <w:rPr>
                <w:sz w:val="13"/>
                <w:szCs w:val="13"/>
                <w:color w:val="auto"/>
              </w:rPr>
            </w:pPr>
          </w:p>
        </w:tc>
        <w:tc>
          <w:tcPr>
            <w:tcW w:w="20" w:type="dxa"/>
            <w:vAlign w:val="bottom"/>
            <w:tcBorders>
              <w:bottom w:val="single" w:sz="8" w:color="0000FF"/>
            </w:tcBorders>
            <w:shd w:val="clear" w:color="auto" w:fill="CCEEFF"/>
          </w:tcPr>
          <w:p>
            <w:pPr>
              <w:spacing w:after="0"/>
              <w:rPr>
                <w:sz w:val="13"/>
                <w:szCs w:val="13"/>
                <w:color w:val="auto"/>
              </w:rPr>
            </w:pPr>
          </w:p>
        </w:tc>
        <w:tc>
          <w:tcPr>
            <w:tcW w:w="1580" w:type="dxa"/>
            <w:vAlign w:val="bottom"/>
            <w:tcBorders>
              <w:bottom w:val="single" w:sz="8" w:color="CCEEFF"/>
            </w:tcBorders>
            <w:vMerge w:val="restart"/>
            <w:shd w:val="clear" w:color="auto" w:fill="CCEEFF"/>
          </w:tcPr>
          <w:p>
            <w:pPr>
              <w:ind w:left="80"/>
              <w:spacing w:after="0"/>
              <w:rPr>
                <w:sz w:val="20"/>
                <w:szCs w:val="20"/>
                <w:color w:val="auto"/>
              </w:rPr>
            </w:pPr>
            <w:r>
              <w:rPr>
                <w:rFonts w:ascii="Arial" w:cs="Arial" w:eastAsia="Arial" w:hAnsi="Arial"/>
                <w:sz w:val="18"/>
                <w:szCs w:val="18"/>
                <w:color w:val="auto"/>
              </w:rPr>
              <w:t>Reference</w:t>
            </w:r>
          </w:p>
        </w:tc>
        <w:tc>
          <w:tcPr>
            <w:tcW w:w="0" w:type="dxa"/>
            <w:vAlign w:val="bottom"/>
          </w:tcPr>
          <w:p>
            <w:pPr>
              <w:spacing w:after="0"/>
              <w:rPr>
                <w:sz w:val="1"/>
                <w:szCs w:val="1"/>
                <w:color w:val="auto"/>
              </w:rPr>
            </w:pPr>
          </w:p>
        </w:tc>
      </w:tr>
      <w:tr>
        <w:trPr>
          <w:trHeight w:val="61"/>
        </w:trPr>
        <w:tc>
          <w:tcPr>
            <w:tcW w:w="13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100" w:type="dxa"/>
            <w:vAlign w:val="bottom"/>
            <w:gridSpan w:val="3"/>
            <w:vMerge w:val="restart"/>
            <w:shd w:val="clear" w:color="auto" w:fill="CCEEFF"/>
          </w:tcPr>
          <w:p>
            <w:pPr>
              <w:ind w:left="20"/>
              <w:spacing w:after="0" w:line="156" w:lineRule="exact"/>
              <w:rPr>
                <w:rFonts w:ascii="Arial" w:cs="Arial" w:eastAsia="Arial" w:hAnsi="Arial"/>
                <w:sz w:val="18"/>
                <w:szCs w:val="18"/>
                <w:color w:val="0000FF"/>
              </w:rPr>
            </w:pPr>
            <w:hyperlink r:id="rId108">
              <w:r>
                <w:rPr>
                  <w:rFonts w:ascii="Arial" w:cs="Arial" w:eastAsia="Arial" w:hAnsi="Arial"/>
                  <w:sz w:val="18"/>
                  <w:szCs w:val="18"/>
                  <w:color w:val="0000FF"/>
                </w:rPr>
                <w:t>2010</w:t>
              </w:r>
            </w:hyperlink>
          </w:p>
        </w:tc>
        <w:tc>
          <w:tcPr>
            <w:tcW w:w="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5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13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100" w:type="dxa"/>
            <w:vAlign w:val="bottom"/>
            <w:gridSpan w:val="3"/>
            <w:vMerge w:val="continue"/>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5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1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77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340" w:type="dxa"/>
            <w:vAlign w:val="bottom"/>
          </w:tcPr>
          <w:p>
            <w:pPr>
              <w:ind w:left="20"/>
              <w:spacing w:after="0" w:line="189" w:lineRule="exact"/>
              <w:rPr>
                <w:sz w:val="20"/>
                <w:szCs w:val="20"/>
                <w:color w:val="auto"/>
              </w:rPr>
            </w:pPr>
            <w:r>
              <w:rPr>
                <w:rFonts w:ascii="Arial" w:cs="Arial" w:eastAsia="Arial" w:hAnsi="Arial"/>
                <w:sz w:val="18"/>
                <w:szCs w:val="18"/>
                <w:color w:val="auto"/>
              </w:rPr>
              <w:t>3.2</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140" w:type="dxa"/>
            <w:vAlign w:val="bottom"/>
            <w:tcBorders>
              <w:bottom w:val="single" w:sz="8" w:color="0000FF"/>
            </w:tcBorders>
            <w:gridSpan w:val="5"/>
          </w:tcPr>
          <w:p>
            <w:pPr>
              <w:spacing w:after="0" w:line="169" w:lineRule="exact"/>
              <w:rPr>
                <w:rFonts w:ascii="Arial" w:cs="Arial" w:eastAsia="Arial" w:hAnsi="Arial"/>
                <w:sz w:val="18"/>
                <w:szCs w:val="18"/>
                <w:color w:val="0000FF"/>
                <w:w w:val="96"/>
              </w:rPr>
            </w:pPr>
            <w:hyperlink r:id="rId109">
              <w:r>
                <w:rPr>
                  <w:rFonts w:ascii="Arial" w:cs="Arial" w:eastAsia="Arial" w:hAnsi="Arial"/>
                  <w:sz w:val="18"/>
                  <w:szCs w:val="18"/>
                  <w:color w:val="0000FF"/>
                  <w:w w:val="96"/>
                </w:rPr>
                <w:t>General Motors Company Amended and Restated Bylaws, as amended August 14, 2018, incorporated by</w:t>
              </w:r>
            </w:hyperlink>
          </w:p>
        </w:tc>
        <w:tc>
          <w:tcPr>
            <w:tcW w:w="20" w:type="dxa"/>
            <w:vAlign w:val="bottom"/>
          </w:tcPr>
          <w:p>
            <w:pPr>
              <w:spacing w:after="0"/>
              <w:rPr>
                <w:sz w:val="16"/>
                <w:szCs w:val="16"/>
                <w:color w:val="auto"/>
              </w:rPr>
            </w:pPr>
          </w:p>
        </w:tc>
        <w:tc>
          <w:tcPr>
            <w:tcW w:w="1580" w:type="dxa"/>
            <w:vAlign w:val="bottom"/>
          </w:tcPr>
          <w:p>
            <w:pPr>
              <w:ind w:left="80"/>
              <w:spacing w:after="0" w:line="189" w:lineRule="exact"/>
              <w:rPr>
                <w:sz w:val="20"/>
                <w:szCs w:val="20"/>
                <w:color w:val="auto"/>
              </w:rPr>
            </w:pPr>
            <w:r>
              <w:rPr>
                <w:rFonts w:ascii="Arial" w:cs="Arial" w:eastAsia="Arial" w:hAnsi="Arial"/>
                <w:sz w:val="18"/>
                <w:szCs w:val="18"/>
                <w:color w:val="auto"/>
              </w:rPr>
              <w:t>Incorporated by</w:t>
            </w:r>
          </w:p>
        </w:tc>
        <w:tc>
          <w:tcPr>
            <w:tcW w:w="0" w:type="dxa"/>
            <w:vAlign w:val="bottom"/>
          </w:tcPr>
          <w:p>
            <w:pPr>
              <w:spacing w:after="0"/>
              <w:rPr>
                <w:sz w:val="1"/>
                <w:szCs w:val="1"/>
                <w:color w:val="auto"/>
              </w:rPr>
            </w:pPr>
          </w:p>
        </w:tc>
      </w:tr>
      <w:tr>
        <w:trPr>
          <w:trHeight w:val="156"/>
        </w:trPr>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100" w:type="dxa"/>
            <w:vAlign w:val="bottom"/>
            <w:tcBorders>
              <w:bottom w:val="single" w:sz="8" w:color="0000FF"/>
            </w:tcBorders>
            <w:gridSpan w:val="3"/>
          </w:tcPr>
          <w:p>
            <w:pPr>
              <w:spacing w:after="0" w:line="142" w:lineRule="exact"/>
              <w:rPr>
                <w:rFonts w:ascii="Arial" w:cs="Arial" w:eastAsia="Arial" w:hAnsi="Arial"/>
                <w:sz w:val="16"/>
                <w:szCs w:val="16"/>
                <w:color w:val="0000FF"/>
              </w:rPr>
            </w:pPr>
            <w:hyperlink r:id="rId109">
              <w:r>
                <w:rPr>
                  <w:rFonts w:ascii="Arial" w:cs="Arial" w:eastAsia="Arial" w:hAnsi="Arial"/>
                  <w:sz w:val="16"/>
                  <w:szCs w:val="16"/>
                  <w:color w:val="0000FF"/>
                </w:rPr>
                <w:t>reference to Exhibit 3.1 to the Current Report on Form 8-K of General Motors Company filed on August 20,</w:t>
              </w:r>
            </w:hyperlink>
          </w:p>
        </w:tc>
        <w:tc>
          <w:tcPr>
            <w:tcW w:w="40" w:type="dxa"/>
            <w:vAlign w:val="bottom"/>
            <w:gridSpan w:val="2"/>
            <w:vMerge w:val="restart"/>
          </w:tcPr>
          <w:p>
            <w:pPr>
              <w:spacing w:after="0"/>
              <w:rPr>
                <w:sz w:val="13"/>
                <w:szCs w:val="13"/>
                <w:color w:val="auto"/>
              </w:rPr>
            </w:pPr>
          </w:p>
        </w:tc>
        <w:tc>
          <w:tcPr>
            <w:tcW w:w="20" w:type="dxa"/>
            <w:vAlign w:val="bottom"/>
          </w:tcPr>
          <w:p>
            <w:pPr>
              <w:spacing w:after="0"/>
              <w:rPr>
                <w:sz w:val="13"/>
                <w:szCs w:val="13"/>
                <w:color w:val="auto"/>
              </w:rPr>
            </w:pPr>
          </w:p>
        </w:tc>
        <w:tc>
          <w:tcPr>
            <w:tcW w:w="1580" w:type="dxa"/>
            <w:vAlign w:val="bottom"/>
            <w:vMerge w:val="restart"/>
          </w:tcPr>
          <w:p>
            <w:pPr>
              <w:ind w:left="80"/>
              <w:spacing w:after="0"/>
              <w:rPr>
                <w:sz w:val="20"/>
                <w:szCs w:val="20"/>
                <w:color w:val="auto"/>
              </w:rPr>
            </w:pPr>
            <w:r>
              <w:rPr>
                <w:rFonts w:ascii="Arial" w:cs="Arial" w:eastAsia="Arial" w:hAnsi="Arial"/>
                <w:sz w:val="18"/>
                <w:szCs w:val="18"/>
                <w:color w:val="auto"/>
              </w:rPr>
              <w:t>Reference</w:t>
            </w:r>
          </w:p>
        </w:tc>
        <w:tc>
          <w:tcPr>
            <w:tcW w:w="0" w:type="dxa"/>
            <w:vAlign w:val="bottom"/>
          </w:tcPr>
          <w:p>
            <w:pPr>
              <w:spacing w:after="0"/>
              <w:rPr>
                <w:sz w:val="1"/>
                <w:szCs w:val="1"/>
                <w:color w:val="auto"/>
              </w:rPr>
            </w:pPr>
          </w:p>
        </w:tc>
      </w:tr>
      <w:tr>
        <w:trPr>
          <w:trHeight w:val="75"/>
        </w:trPr>
        <w:tc>
          <w:tcPr>
            <w:tcW w:w="1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100" w:type="dxa"/>
            <w:vAlign w:val="bottom"/>
            <w:gridSpan w:val="3"/>
            <w:vMerge w:val="restart"/>
          </w:tcPr>
          <w:p>
            <w:pPr>
              <w:ind w:left="20"/>
              <w:spacing w:after="0" w:line="156" w:lineRule="exact"/>
              <w:rPr>
                <w:rFonts w:ascii="Arial" w:cs="Arial" w:eastAsia="Arial" w:hAnsi="Arial"/>
                <w:sz w:val="18"/>
                <w:szCs w:val="18"/>
                <w:color w:val="0000FF"/>
              </w:rPr>
            </w:pPr>
            <w:hyperlink r:id="rId109">
              <w:r>
                <w:rPr>
                  <w:rFonts w:ascii="Arial" w:cs="Arial" w:eastAsia="Arial" w:hAnsi="Arial"/>
                  <w:sz w:val="18"/>
                  <w:szCs w:val="18"/>
                  <w:color w:val="0000FF"/>
                </w:rPr>
                <w:t>2018</w:t>
              </w:r>
            </w:hyperlink>
          </w:p>
        </w:tc>
        <w:tc>
          <w:tcPr>
            <w:tcW w:w="20" w:type="dxa"/>
            <w:vAlign w:val="bottom"/>
          </w:tcPr>
          <w:p>
            <w:pPr>
              <w:spacing w:after="0"/>
              <w:rPr>
                <w:sz w:val="6"/>
                <w:szCs w:val="6"/>
                <w:color w:val="auto"/>
              </w:rPr>
            </w:pPr>
          </w:p>
        </w:tc>
        <w:tc>
          <w:tcPr>
            <w:tcW w:w="4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15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1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10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340" w:type="dxa"/>
            <w:vAlign w:val="bottom"/>
            <w:shd w:val="clear" w:color="auto" w:fill="CCEEFF"/>
          </w:tcPr>
          <w:p>
            <w:pPr>
              <w:ind w:left="20"/>
              <w:spacing w:after="0" w:line="169" w:lineRule="exact"/>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160" w:type="dxa"/>
            <w:vAlign w:val="bottom"/>
            <w:gridSpan w:val="6"/>
            <w:shd w:val="clear" w:color="auto" w:fill="CCEEFF"/>
          </w:tcPr>
          <w:p>
            <w:pPr>
              <w:spacing w:after="0" w:line="169" w:lineRule="exact"/>
              <w:rPr>
                <w:rFonts w:ascii="Arial" w:cs="Arial" w:eastAsia="Arial" w:hAnsi="Arial"/>
                <w:sz w:val="18"/>
                <w:szCs w:val="18"/>
                <w:color w:val="0000FF"/>
                <w:w w:val="94"/>
              </w:rPr>
            </w:pPr>
            <w:hyperlink r:id="rId110">
              <w:r>
                <w:rPr>
                  <w:rFonts w:ascii="Arial" w:cs="Arial" w:eastAsia="Arial" w:hAnsi="Arial"/>
                  <w:sz w:val="18"/>
                  <w:szCs w:val="18"/>
                  <w:color w:val="0000FF"/>
                  <w:w w:val="94"/>
                </w:rPr>
                <w:t>Sixth Supplemental Indenture, dated as of May 12, 2020, to the Indenture, dated as of September 27, 2013,</w:t>
              </w:r>
            </w:hyperlink>
          </w:p>
        </w:tc>
        <w:tc>
          <w:tcPr>
            <w:tcW w:w="1580" w:type="dxa"/>
            <w:vAlign w:val="bottom"/>
            <w:shd w:val="clear" w:color="auto" w:fill="CCEEFF"/>
          </w:tcPr>
          <w:p>
            <w:pPr>
              <w:ind w:left="80"/>
              <w:spacing w:after="0" w:line="169" w:lineRule="exact"/>
              <w:rPr>
                <w:sz w:val="20"/>
                <w:szCs w:val="20"/>
                <w:color w:val="auto"/>
              </w:rPr>
            </w:pPr>
            <w:r>
              <w:rPr>
                <w:rFonts w:ascii="Arial" w:cs="Arial" w:eastAsia="Arial" w:hAnsi="Arial"/>
                <w:sz w:val="18"/>
                <w:szCs w:val="18"/>
                <w:color w:val="auto"/>
              </w:rPr>
              <w:t>Incorporated by</w:t>
            </w:r>
          </w:p>
        </w:tc>
        <w:tc>
          <w:tcPr>
            <w:tcW w:w="0" w:type="dxa"/>
            <w:vAlign w:val="bottom"/>
          </w:tcPr>
          <w:p>
            <w:pPr>
              <w:spacing w:after="0"/>
              <w:rPr>
                <w:sz w:val="1"/>
                <w:szCs w:val="1"/>
                <w:color w:val="auto"/>
              </w:rPr>
            </w:pPr>
          </w:p>
        </w:tc>
      </w:tr>
      <w:tr>
        <w:trPr>
          <w:trHeight w:val="156"/>
        </w:trPr>
        <w:tc>
          <w:tcPr>
            <w:tcW w:w="134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8080" w:type="dxa"/>
            <w:vAlign w:val="bottom"/>
            <w:tcBorders>
              <w:top w:val="single" w:sz="8" w:color="0000FF"/>
              <w:bottom w:val="single" w:sz="8" w:color="0000FF"/>
            </w:tcBorders>
            <w:gridSpan w:val="2"/>
            <w:shd w:val="clear" w:color="auto" w:fill="CCEEFF"/>
          </w:tcPr>
          <w:p>
            <w:pPr>
              <w:spacing w:after="0" w:line="142" w:lineRule="exact"/>
              <w:rPr>
                <w:rFonts w:ascii="Arial" w:cs="Arial" w:eastAsia="Arial" w:hAnsi="Arial"/>
                <w:sz w:val="16"/>
                <w:szCs w:val="16"/>
                <w:color w:val="0000FF"/>
              </w:rPr>
            </w:pPr>
            <w:hyperlink r:id="rId110">
              <w:r>
                <w:rPr>
                  <w:rFonts w:ascii="Arial" w:cs="Arial" w:eastAsia="Arial" w:hAnsi="Arial"/>
                  <w:sz w:val="16"/>
                  <w:szCs w:val="16"/>
                  <w:color w:val="0000FF"/>
                </w:rPr>
                <w:t>between General Motors Company, as issuer, and The Bank of New York Mellon, as Trustee, incorporated by</w:t>
              </w:r>
            </w:hyperlink>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gridSpan w:val="3"/>
            <w:shd w:val="clear" w:color="auto" w:fill="CCEEFF"/>
          </w:tcPr>
          <w:p>
            <w:pPr>
              <w:spacing w:after="0"/>
              <w:rPr>
                <w:sz w:val="13"/>
                <w:szCs w:val="13"/>
                <w:color w:val="auto"/>
              </w:rPr>
            </w:pPr>
          </w:p>
        </w:tc>
        <w:tc>
          <w:tcPr>
            <w:tcW w:w="1580" w:type="dxa"/>
            <w:vAlign w:val="bottom"/>
            <w:tcBorders>
              <w:top w:val="single" w:sz="8" w:color="CCEEFF"/>
              <w:bottom w:val="single" w:sz="8" w:color="CCEEFF"/>
            </w:tcBorders>
            <w:vMerge w:val="restart"/>
            <w:shd w:val="clear" w:color="auto" w:fill="CCEEFF"/>
          </w:tcPr>
          <w:p>
            <w:pPr>
              <w:ind w:left="80"/>
              <w:spacing w:after="0"/>
              <w:rPr>
                <w:sz w:val="20"/>
                <w:szCs w:val="20"/>
                <w:color w:val="auto"/>
              </w:rPr>
            </w:pPr>
            <w:r>
              <w:rPr>
                <w:rFonts w:ascii="Arial" w:cs="Arial" w:eastAsia="Arial" w:hAnsi="Arial"/>
                <w:sz w:val="18"/>
                <w:szCs w:val="18"/>
                <w:color w:val="auto"/>
              </w:rPr>
              <w:t>Reference</w:t>
            </w:r>
          </w:p>
        </w:tc>
        <w:tc>
          <w:tcPr>
            <w:tcW w:w="0" w:type="dxa"/>
            <w:vAlign w:val="bottom"/>
          </w:tcPr>
          <w:p>
            <w:pPr>
              <w:spacing w:after="0"/>
              <w:rPr>
                <w:sz w:val="1"/>
                <w:szCs w:val="1"/>
                <w:color w:val="auto"/>
              </w:rPr>
            </w:pPr>
          </w:p>
        </w:tc>
      </w:tr>
      <w:tr>
        <w:trPr>
          <w:trHeight w:val="74"/>
        </w:trPr>
        <w:tc>
          <w:tcPr>
            <w:tcW w:w="13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160" w:type="dxa"/>
            <w:vAlign w:val="bottom"/>
            <w:gridSpan w:val="6"/>
            <w:vMerge w:val="restart"/>
            <w:shd w:val="clear" w:color="auto" w:fill="CCEEFF"/>
          </w:tcPr>
          <w:p>
            <w:pPr>
              <w:spacing w:after="0" w:line="196" w:lineRule="exact"/>
              <w:rPr>
                <w:rFonts w:ascii="Arial" w:cs="Arial" w:eastAsia="Arial" w:hAnsi="Arial"/>
                <w:sz w:val="18"/>
                <w:szCs w:val="18"/>
                <w:u w:val="single" w:color="auto"/>
                <w:color w:val="0000FF"/>
                <w:w w:val="96"/>
              </w:rPr>
            </w:pPr>
            <w:hyperlink r:id="rId110">
              <w:r>
                <w:rPr>
                  <w:rFonts w:ascii="Arial" w:cs="Arial" w:eastAsia="Arial" w:hAnsi="Arial"/>
                  <w:sz w:val="18"/>
                  <w:szCs w:val="18"/>
                  <w:u w:val="single" w:color="auto"/>
                  <w:color w:val="0000FF"/>
                  <w:w w:val="96"/>
                </w:rPr>
                <w:t>reference to Exhibit 4.2 to the Current Report on Form 8-K of General Motors Company filed May 12, 2020</w:t>
              </w:r>
            </w:hyperlink>
          </w:p>
        </w:tc>
        <w:tc>
          <w:tcPr>
            <w:tcW w:w="15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1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160" w:type="dxa"/>
            <w:vAlign w:val="bottom"/>
            <w:gridSpan w:val="6"/>
            <w:vMerge w:val="continue"/>
            <w:shd w:val="clear" w:color="auto" w:fill="CCEEFF"/>
          </w:tcPr>
          <w:p>
            <w:pPr>
              <w:spacing w:after="0"/>
              <w:rPr>
                <w:sz w:val="10"/>
                <w:szCs w:val="10"/>
                <w:color w:val="auto"/>
              </w:rPr>
            </w:pPr>
          </w:p>
        </w:tc>
        <w:tc>
          <w:tcPr>
            <w:tcW w:w="15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20"/>
          </w:cols>
          <w:pgMar w:left="320" w:top="125" w:right="359" w:bottom="1440" w:gutter="0" w:footer="0" w:header="0"/>
        </w:sectPr>
      </w:pPr>
    </w:p>
    <w:p>
      <w:pPr>
        <w:jc w:val="both"/>
        <w:ind w:left="1480" w:hanging="1443"/>
        <w:spacing w:after="0" w:line="216" w:lineRule="auto"/>
        <w:tabs>
          <w:tab w:leader="none" w:pos="1460" w:val="left"/>
        </w:tabs>
        <w:rPr>
          <w:rFonts w:ascii="Arial" w:cs="Arial" w:eastAsia="Arial" w:hAnsi="Arial"/>
          <w:sz w:val="18"/>
          <w:szCs w:val="18"/>
          <w:u w:val="single" w:color="auto"/>
          <w:color w:val="0000FF"/>
        </w:rPr>
      </w:pPr>
      <w:r>
        <w:rPr>
          <w:rFonts w:ascii="Arial" w:cs="Arial" w:eastAsia="Arial" w:hAnsi="Arial"/>
          <w:sz w:val="18"/>
          <w:szCs w:val="18"/>
          <w:color w:val="auto"/>
        </w:rPr>
        <w:t>10.1</w:t>
      </w:r>
      <w:r>
        <w:rPr>
          <w:sz w:val="20"/>
          <w:szCs w:val="20"/>
          <w:color w:val="auto"/>
        </w:rPr>
        <w:tab/>
      </w:r>
      <w:hyperlink r:id="rId111">
        <w:r>
          <w:rPr>
            <w:rFonts w:ascii="Arial" w:cs="Arial" w:eastAsia="Arial" w:hAnsi="Arial"/>
            <w:sz w:val="18"/>
            <w:szCs w:val="18"/>
            <w:u w:val="single" w:color="auto"/>
            <w:color w:val="0000FF"/>
          </w:rPr>
          <w:t>Second Amended and Restated 364-Day Revolving Credit Agreement among General Motors Company,</w:t>
        </w:r>
      </w:hyperlink>
      <w:r>
        <w:rPr>
          <w:rFonts w:ascii="Arial" w:cs="Arial" w:eastAsia="Arial" w:hAnsi="Arial"/>
          <w:sz w:val="18"/>
          <w:szCs w:val="18"/>
          <w:u w:val="single" w:color="auto"/>
          <w:color w:val="0000FF"/>
        </w:rPr>
        <w:t xml:space="preserve"> </w:t>
      </w:r>
      <w:hyperlink r:id="rId111">
        <w:r>
          <w:rPr>
            <w:rFonts w:ascii="Arial" w:cs="Arial" w:eastAsia="Arial" w:hAnsi="Arial"/>
            <w:sz w:val="18"/>
            <w:szCs w:val="18"/>
            <w:u w:val="single" w:color="auto"/>
            <w:color w:val="0000FF"/>
          </w:rPr>
          <w:t>General Motors Financial Company, Inc., the subsidiary borrowers from time to time parties thereto, the several</w:t>
        </w:r>
      </w:hyperlink>
      <w:r>
        <w:rPr>
          <w:rFonts w:ascii="Arial" w:cs="Arial" w:eastAsia="Arial" w:hAnsi="Arial"/>
          <w:sz w:val="18"/>
          <w:szCs w:val="18"/>
          <w:u w:val="single" w:color="auto"/>
          <w:color w:val="0000FF"/>
        </w:rPr>
        <w:t xml:space="preserve"> </w:t>
      </w:r>
      <w:hyperlink r:id="rId111">
        <w:r>
          <w:rPr>
            <w:rFonts w:ascii="Arial" w:cs="Arial" w:eastAsia="Arial" w:hAnsi="Arial"/>
            <w:sz w:val="18"/>
            <w:szCs w:val="18"/>
            <w:u w:val="single" w:color="auto"/>
            <w:color w:val="0000FF"/>
          </w:rPr>
          <w:t>lenders from time to time parties thereto, JPMorgan Chase Bank, N.A., as administrative agent, and Citibank,</w:t>
        </w:r>
      </w:hyperlink>
      <w:r>
        <w:rPr>
          <w:rFonts w:ascii="Arial" w:cs="Arial" w:eastAsia="Arial" w:hAnsi="Arial"/>
          <w:sz w:val="18"/>
          <w:szCs w:val="18"/>
          <w:u w:val="single" w:color="auto"/>
          <w:color w:val="0000FF"/>
        </w:rPr>
        <w:t xml:space="preserve"> </w:t>
      </w:r>
      <w:hyperlink r:id="rId111">
        <w:r>
          <w:rPr>
            <w:rFonts w:ascii="Arial" w:cs="Arial" w:eastAsia="Arial" w:hAnsi="Arial"/>
            <w:sz w:val="18"/>
            <w:szCs w:val="18"/>
            <w:u w:val="single" w:color="auto"/>
            <w:color w:val="0000FF"/>
          </w:rPr>
          <w:t>N.A., as syndication agent, incorporated by reference to Exhibit 10.1 to the Current Report on Form 8-K of</w:t>
        </w:r>
      </w:hyperlink>
      <w:r>
        <w:rPr>
          <w:rFonts w:ascii="Arial" w:cs="Arial" w:eastAsia="Arial" w:hAnsi="Arial"/>
          <w:sz w:val="18"/>
          <w:szCs w:val="18"/>
          <w:u w:val="single" w:color="auto"/>
          <w:color w:val="0000FF"/>
        </w:rPr>
        <w:t xml:space="preserve"> </w:t>
      </w:r>
      <w:hyperlink r:id="rId111">
        <w:r>
          <w:rPr>
            <w:rFonts w:ascii="Arial" w:cs="Arial" w:eastAsia="Arial" w:hAnsi="Arial"/>
            <w:sz w:val="18"/>
            <w:szCs w:val="18"/>
            <w:u w:val="single" w:color="auto"/>
            <w:color w:val="0000FF"/>
          </w:rPr>
          <w:t>General Motors Company filed April 17, 2020</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0</wp:posOffset>
            </wp:positionV>
            <wp:extent cx="7115175" cy="7029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2">
                      <a:extLst>
                        <a:ext uri="{28A0092B-C50C-407E-A947-70E740481C1C}"/>
                      </a:extLst>
                    </a:blip>
                    <a:srcRect/>
                    <a:stretch>
                      <a:fillRect/>
                    </a:stretch>
                  </pic:blipFill>
                  <pic:spPr bwMode="auto">
                    <a:xfrm>
                      <a:off x="0" y="0"/>
                      <a:ext cx="7115175" cy="702945"/>
                    </a:xfrm>
                    <a:prstGeom prst="rect">
                      <a:avLst/>
                    </a:prstGeom>
                    <a:noFill/>
                  </pic:spPr>
                </pic:pic>
              </a:graphicData>
            </a:graphic>
          </wp:anchor>
        </w:drawing>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ind w:right="360"/>
        <w:spacing w:after="0" w:line="277" w:lineRule="auto"/>
        <w:rPr>
          <w:sz w:val="20"/>
          <w:szCs w:val="20"/>
          <w:color w:val="auto"/>
        </w:rPr>
      </w:pPr>
      <w:r>
        <w:rPr>
          <w:rFonts w:ascii="Arial" w:cs="Arial" w:eastAsia="Arial" w:hAnsi="Arial"/>
          <w:sz w:val="18"/>
          <w:szCs w:val="18"/>
          <w:color w:val="auto"/>
        </w:rPr>
        <w:t>Incorporated by Reference</w:t>
      </w:r>
    </w:p>
    <w:p>
      <w:pPr>
        <w:spacing w:after="0" w:line="441" w:lineRule="exact"/>
        <w:rPr>
          <w:rFonts w:ascii="Arial" w:cs="Arial" w:eastAsia="Arial" w:hAnsi="Arial"/>
          <w:sz w:val="18"/>
          <w:szCs w:val="18"/>
          <w:u w:val="single" w:color="auto"/>
          <w:color w:val="0000FF"/>
        </w:rPr>
      </w:pPr>
    </w:p>
    <w:p>
      <w:pPr>
        <w:sectPr>
          <w:pgSz w:w="11900" w:h="16838" w:orient="portrait"/>
          <w:cols w:equalWidth="0" w:num="2">
            <w:col w:w="9560" w:space="160"/>
            <w:col w:w="1500"/>
          </w:cols>
          <w:pgMar w:left="320" w:top="125" w:right="359" w:bottom="1440" w:gutter="0" w:footer="0" w:header="0"/>
          <w:type w:val="continuous"/>
        </w:sectPr>
      </w:pPr>
    </w:p>
    <w:tbl>
      <w:tblPr>
        <w:tblLayout w:type="fixed"/>
        <w:tblInd w:w="20" w:type="dxa"/>
        <w:tblCellMar>
          <w:top w:w="0" w:type="dxa"/>
          <w:left w:w="0" w:type="dxa"/>
          <w:bottom w:w="0" w:type="dxa"/>
          <w:right w:w="0" w:type="dxa"/>
        </w:tblCellMar>
      </w:tblPr>
      <w:tr>
        <w:trPr>
          <w:trHeight w:val="189"/>
        </w:trPr>
        <w:tc>
          <w:tcPr>
            <w:tcW w:w="1460" w:type="dxa"/>
            <w:vAlign w:val="bottom"/>
          </w:tcPr>
          <w:p>
            <w:pPr>
              <w:spacing w:after="0" w:line="170" w:lineRule="exact"/>
              <w:rPr>
                <w:sz w:val="20"/>
                <w:szCs w:val="20"/>
                <w:color w:val="auto"/>
              </w:rPr>
            </w:pPr>
            <w:r>
              <w:rPr>
                <w:rFonts w:ascii="Arial" w:cs="Arial" w:eastAsia="Arial" w:hAnsi="Arial"/>
                <w:sz w:val="18"/>
                <w:szCs w:val="18"/>
                <w:color w:val="auto"/>
              </w:rPr>
              <w:t>10.2</w:t>
            </w:r>
          </w:p>
        </w:tc>
        <w:tc>
          <w:tcPr>
            <w:tcW w:w="8280" w:type="dxa"/>
            <w:vAlign w:val="bottom"/>
            <w:gridSpan w:val="14"/>
          </w:tcPr>
          <w:p>
            <w:pPr>
              <w:spacing w:after="0" w:line="170" w:lineRule="exact"/>
              <w:rPr>
                <w:rFonts w:ascii="Arial" w:cs="Arial" w:eastAsia="Arial" w:hAnsi="Arial"/>
                <w:sz w:val="18"/>
                <w:szCs w:val="18"/>
                <w:color w:val="0000FF"/>
                <w:w w:val="94"/>
              </w:rPr>
            </w:pPr>
            <w:hyperlink r:id="rId113">
              <w:r>
                <w:rPr>
                  <w:rFonts w:ascii="Arial" w:cs="Arial" w:eastAsia="Arial" w:hAnsi="Arial"/>
                  <w:sz w:val="18"/>
                  <w:szCs w:val="18"/>
                  <w:color w:val="0000FF"/>
                  <w:w w:val="94"/>
                </w:rPr>
                <w:t>Amendment No. 1, dated April 24, 2020, to Third Amended and Restated 3-Year Revolving Credit Agreement,</w:t>
              </w:r>
            </w:hyperlink>
          </w:p>
        </w:tc>
      </w:tr>
      <w:tr>
        <w:trPr>
          <w:trHeight w:val="156"/>
        </w:trPr>
        <w:tc>
          <w:tcPr>
            <w:tcW w:w="1460" w:type="dxa"/>
            <w:vAlign w:val="bottom"/>
          </w:tcPr>
          <w:p>
            <w:pPr>
              <w:spacing w:after="0"/>
              <w:rPr>
                <w:sz w:val="13"/>
                <w:szCs w:val="13"/>
                <w:color w:val="auto"/>
              </w:rPr>
            </w:pPr>
          </w:p>
        </w:tc>
        <w:tc>
          <w:tcPr>
            <w:tcW w:w="8220" w:type="dxa"/>
            <w:vAlign w:val="bottom"/>
            <w:tcBorders>
              <w:top w:val="single" w:sz="8" w:color="0000FF"/>
            </w:tcBorders>
            <w:gridSpan w:val="11"/>
          </w:tcPr>
          <w:p>
            <w:pPr>
              <w:spacing w:after="0" w:line="156" w:lineRule="exact"/>
              <w:rPr>
                <w:rFonts w:ascii="Arial" w:cs="Arial" w:eastAsia="Arial" w:hAnsi="Arial"/>
                <w:sz w:val="18"/>
                <w:szCs w:val="18"/>
                <w:color w:val="0000FF"/>
                <w:w w:val="97"/>
              </w:rPr>
            </w:pPr>
            <w:hyperlink r:id="rId113">
              <w:r>
                <w:rPr>
                  <w:rFonts w:ascii="Arial" w:cs="Arial" w:eastAsia="Arial" w:hAnsi="Arial"/>
                  <w:sz w:val="18"/>
                  <w:szCs w:val="18"/>
                  <w:color w:val="0000FF"/>
                  <w:w w:val="97"/>
                </w:rPr>
                <w:t>dated April 18, 2018, among General Motors Company, General Motors Financial Company, Inc., General</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460" w:type="dxa"/>
            <w:vAlign w:val="bottom"/>
          </w:tcPr>
          <w:p>
            <w:pPr>
              <w:spacing w:after="0"/>
              <w:rPr>
                <w:sz w:val="13"/>
                <w:szCs w:val="13"/>
                <w:color w:val="auto"/>
              </w:rPr>
            </w:pPr>
          </w:p>
        </w:tc>
        <w:tc>
          <w:tcPr>
            <w:tcW w:w="810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1"/>
              </w:rPr>
            </w:pPr>
            <w:hyperlink r:id="rId113">
              <w:r>
                <w:rPr>
                  <w:rFonts w:ascii="Arial" w:cs="Arial" w:eastAsia="Arial" w:hAnsi="Arial"/>
                  <w:sz w:val="18"/>
                  <w:szCs w:val="18"/>
                  <w:color w:val="0000FF"/>
                  <w:w w:val="91"/>
                </w:rPr>
                <w:t>Motors do Brasil Ltda., the subsidiary borrowers from time to time parties thereto, the several lenders from time</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460" w:type="dxa"/>
            <w:vAlign w:val="bottom"/>
          </w:tcPr>
          <w:p>
            <w:pPr>
              <w:spacing w:after="0"/>
              <w:rPr>
                <w:sz w:val="13"/>
                <w:szCs w:val="13"/>
                <w:color w:val="auto"/>
              </w:rPr>
            </w:pPr>
          </w:p>
        </w:tc>
        <w:tc>
          <w:tcPr>
            <w:tcW w:w="8240" w:type="dxa"/>
            <w:vAlign w:val="bottom"/>
            <w:gridSpan w:val="12"/>
          </w:tcPr>
          <w:p>
            <w:pPr>
              <w:spacing w:after="0" w:line="156" w:lineRule="exact"/>
              <w:rPr>
                <w:rFonts w:ascii="Arial" w:cs="Arial" w:eastAsia="Arial" w:hAnsi="Arial"/>
                <w:sz w:val="18"/>
                <w:szCs w:val="18"/>
                <w:color w:val="0000FF"/>
                <w:w w:val="92"/>
              </w:rPr>
            </w:pPr>
            <w:hyperlink r:id="rId113">
              <w:r>
                <w:rPr>
                  <w:rFonts w:ascii="Arial" w:cs="Arial" w:eastAsia="Arial" w:hAnsi="Arial"/>
                  <w:sz w:val="18"/>
                  <w:szCs w:val="18"/>
                  <w:color w:val="0000FF"/>
                  <w:w w:val="92"/>
                </w:rPr>
                <w:t>to time parties thereto, JPMorgan Chase Bank, N.A., as administrative agent, and Citibank, N.A., as syndication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2"/>
        </w:trPr>
        <w:tc>
          <w:tcPr>
            <w:tcW w:w="1460" w:type="dxa"/>
            <w:vAlign w:val="bottom"/>
          </w:tcPr>
          <w:p>
            <w:pPr>
              <w:spacing w:after="0"/>
              <w:rPr>
                <w:sz w:val="12"/>
                <w:szCs w:val="12"/>
                <w:color w:val="auto"/>
              </w:rPr>
            </w:pPr>
          </w:p>
        </w:tc>
        <w:tc>
          <w:tcPr>
            <w:tcW w:w="8080" w:type="dxa"/>
            <w:vAlign w:val="bottom"/>
            <w:tcBorders>
              <w:top w:val="single" w:sz="8" w:color="0000FF"/>
            </w:tcBorders>
            <w:gridSpan w:val="4"/>
          </w:tcPr>
          <w:p>
            <w:pPr>
              <w:spacing w:after="0" w:line="142" w:lineRule="exact"/>
              <w:rPr>
                <w:rFonts w:ascii="Arial" w:cs="Arial" w:eastAsia="Arial" w:hAnsi="Arial"/>
                <w:sz w:val="16"/>
                <w:szCs w:val="16"/>
                <w:u w:val="single" w:color="auto"/>
                <w:color w:val="0000FF"/>
              </w:rPr>
            </w:pPr>
            <w:hyperlink r:id="rId113">
              <w:r>
                <w:rPr>
                  <w:rFonts w:ascii="Arial" w:cs="Arial" w:eastAsia="Arial" w:hAnsi="Arial"/>
                  <w:sz w:val="16"/>
                  <w:szCs w:val="16"/>
                  <w:u w:val="single" w:color="auto"/>
                  <w:color w:val="0000FF"/>
                </w:rPr>
                <w:t>agent, incorporated by reference to Exhibit 10.1 to the Current Report on Form 8-K of General Motors</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r>
      <w:tr>
        <w:trPr>
          <w:trHeight w:val="229"/>
        </w:trPr>
        <w:tc>
          <w:tcPr>
            <w:tcW w:w="1460" w:type="dxa"/>
            <w:vAlign w:val="bottom"/>
          </w:tcPr>
          <w:p>
            <w:pPr>
              <w:spacing w:after="0"/>
              <w:rPr>
                <w:sz w:val="19"/>
                <w:szCs w:val="19"/>
                <w:color w:val="auto"/>
              </w:rPr>
            </w:pPr>
          </w:p>
        </w:tc>
        <w:tc>
          <w:tcPr>
            <w:tcW w:w="8280" w:type="dxa"/>
            <w:vAlign w:val="bottom"/>
            <w:gridSpan w:val="14"/>
          </w:tcPr>
          <w:p>
            <w:pPr>
              <w:spacing w:after="0"/>
              <w:rPr>
                <w:rFonts w:ascii="Arial" w:cs="Arial" w:eastAsia="Arial" w:hAnsi="Arial"/>
                <w:sz w:val="18"/>
                <w:szCs w:val="18"/>
                <w:u w:val="single" w:color="auto"/>
                <w:color w:val="0000FF"/>
              </w:rPr>
            </w:pPr>
            <w:hyperlink r:id="rId113">
              <w:r>
                <w:rPr>
                  <w:rFonts w:ascii="Arial" w:cs="Arial" w:eastAsia="Arial" w:hAnsi="Arial"/>
                  <w:sz w:val="18"/>
                  <w:szCs w:val="18"/>
                  <w:u w:val="single" w:color="auto"/>
                  <w:color w:val="0000FF"/>
                </w:rPr>
                <w:t>Company filed April 27, 2020</w:t>
              </w:r>
            </w:hyperlink>
          </w:p>
        </w:tc>
      </w:tr>
      <w:tr>
        <w:trPr>
          <w:trHeight w:val="190"/>
        </w:trPr>
        <w:tc>
          <w:tcPr>
            <w:tcW w:w="1460" w:type="dxa"/>
            <w:vAlign w:val="bottom"/>
          </w:tcPr>
          <w:p>
            <w:pPr>
              <w:spacing w:after="0" w:line="190" w:lineRule="exact"/>
              <w:rPr>
                <w:sz w:val="20"/>
                <w:szCs w:val="20"/>
                <w:color w:val="auto"/>
              </w:rPr>
            </w:pPr>
            <w:r>
              <w:rPr>
                <w:rFonts w:ascii="Arial" w:cs="Arial" w:eastAsia="Arial" w:hAnsi="Arial"/>
                <w:sz w:val="18"/>
                <w:szCs w:val="18"/>
                <w:color w:val="auto"/>
              </w:rPr>
              <w:t>10.3</w:t>
            </w:r>
          </w:p>
        </w:tc>
        <w:tc>
          <w:tcPr>
            <w:tcW w:w="8140" w:type="dxa"/>
            <w:vAlign w:val="bottom"/>
            <w:tcBorders>
              <w:bottom w:val="single" w:sz="8" w:color="0000FF"/>
            </w:tcBorders>
            <w:gridSpan w:val="7"/>
          </w:tcPr>
          <w:p>
            <w:pPr>
              <w:spacing w:after="0" w:line="170" w:lineRule="exact"/>
              <w:rPr>
                <w:rFonts w:ascii="Arial" w:cs="Arial" w:eastAsia="Arial" w:hAnsi="Arial"/>
                <w:sz w:val="18"/>
                <w:szCs w:val="18"/>
                <w:color w:val="0000FF"/>
                <w:w w:val="96"/>
              </w:rPr>
            </w:pPr>
            <w:hyperlink r:id="rId114">
              <w:r>
                <w:rPr>
                  <w:rFonts w:ascii="Arial" w:cs="Arial" w:eastAsia="Arial" w:hAnsi="Arial"/>
                  <w:sz w:val="18"/>
                  <w:szCs w:val="18"/>
                  <w:color w:val="0000FF"/>
                  <w:w w:val="96"/>
                </w:rPr>
                <w:t>364-Day Revolving Credit Agreement, dated May 13, 2020, by and among General Motors Company, the</w:t>
              </w:r>
            </w:hyperlink>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gridSpan w:val="3"/>
          </w:tcPr>
          <w:p>
            <w:pPr>
              <w:spacing w:after="0"/>
              <w:rPr>
                <w:sz w:val="16"/>
                <w:szCs w:val="16"/>
                <w:color w:val="auto"/>
              </w:rPr>
            </w:pPr>
          </w:p>
        </w:tc>
        <w:tc>
          <w:tcPr>
            <w:tcW w:w="20" w:type="dxa"/>
            <w:vAlign w:val="bottom"/>
          </w:tcPr>
          <w:p>
            <w:pPr>
              <w:spacing w:after="0"/>
              <w:rPr>
                <w:sz w:val="16"/>
                <w:szCs w:val="16"/>
                <w:color w:val="auto"/>
              </w:rPr>
            </w:pPr>
          </w:p>
        </w:tc>
      </w:tr>
      <w:tr>
        <w:trPr>
          <w:trHeight w:val="156"/>
        </w:trPr>
        <w:tc>
          <w:tcPr>
            <w:tcW w:w="1460" w:type="dxa"/>
            <w:vAlign w:val="bottom"/>
          </w:tcPr>
          <w:p>
            <w:pPr>
              <w:spacing w:after="0"/>
              <w:rPr>
                <w:sz w:val="13"/>
                <w:szCs w:val="13"/>
                <w:color w:val="auto"/>
              </w:rPr>
            </w:pPr>
          </w:p>
        </w:tc>
        <w:tc>
          <w:tcPr>
            <w:tcW w:w="8140" w:type="dxa"/>
            <w:vAlign w:val="bottom"/>
            <w:gridSpan w:val="7"/>
          </w:tcPr>
          <w:p>
            <w:pPr>
              <w:spacing w:after="0" w:line="156" w:lineRule="exact"/>
              <w:rPr>
                <w:rFonts w:ascii="Arial" w:cs="Arial" w:eastAsia="Arial" w:hAnsi="Arial"/>
                <w:sz w:val="18"/>
                <w:szCs w:val="18"/>
                <w:color w:val="0000FF"/>
                <w:w w:val="95"/>
              </w:rPr>
            </w:pPr>
            <w:hyperlink r:id="rId114">
              <w:r>
                <w:rPr>
                  <w:rFonts w:ascii="Arial" w:cs="Arial" w:eastAsia="Arial" w:hAnsi="Arial"/>
                  <w:sz w:val="18"/>
                  <w:szCs w:val="18"/>
                  <w:color w:val="0000FF"/>
                  <w:w w:val="95"/>
                </w:rPr>
                <w:t>subsidiary borrowers from time to time parties thereto, the several lenders from time to time parties thereto,</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460" w:type="dxa"/>
            <w:vAlign w:val="bottom"/>
          </w:tcPr>
          <w:p>
            <w:pPr>
              <w:spacing w:after="0"/>
              <w:rPr>
                <w:sz w:val="13"/>
                <w:szCs w:val="13"/>
                <w:color w:val="auto"/>
              </w:rPr>
            </w:pPr>
          </w:p>
        </w:tc>
        <w:tc>
          <w:tcPr>
            <w:tcW w:w="812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1"/>
              </w:rPr>
            </w:pPr>
            <w:hyperlink r:id="rId114">
              <w:r>
                <w:rPr>
                  <w:rFonts w:ascii="Arial" w:cs="Arial" w:eastAsia="Arial" w:hAnsi="Arial"/>
                  <w:sz w:val="18"/>
                  <w:szCs w:val="18"/>
                  <w:color w:val="0000FF"/>
                  <w:w w:val="91"/>
                </w:rPr>
                <w:t>JPMorgan Chase Bank, N.A., as administrative agent, and Citibank, N.A., as syndication agent, incorporated by</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r>
      <w:tr>
        <w:trPr>
          <w:trHeight w:val="195"/>
        </w:trPr>
        <w:tc>
          <w:tcPr>
            <w:tcW w:w="1460" w:type="dxa"/>
            <w:vAlign w:val="bottom"/>
          </w:tcPr>
          <w:p>
            <w:pPr>
              <w:spacing w:after="0"/>
              <w:rPr>
                <w:sz w:val="16"/>
                <w:szCs w:val="16"/>
                <w:color w:val="auto"/>
              </w:rPr>
            </w:pPr>
          </w:p>
        </w:tc>
        <w:tc>
          <w:tcPr>
            <w:tcW w:w="8260" w:type="dxa"/>
            <w:vAlign w:val="bottom"/>
            <w:gridSpan w:val="13"/>
          </w:tcPr>
          <w:p>
            <w:pPr>
              <w:spacing w:after="0" w:line="195" w:lineRule="exact"/>
              <w:rPr>
                <w:rFonts w:ascii="Arial" w:cs="Arial" w:eastAsia="Arial" w:hAnsi="Arial"/>
                <w:sz w:val="18"/>
                <w:szCs w:val="18"/>
                <w:u w:val="single" w:color="auto"/>
                <w:color w:val="0000FF"/>
                <w:w w:val="96"/>
              </w:rPr>
            </w:pPr>
            <w:hyperlink r:id="rId114">
              <w:r>
                <w:rPr>
                  <w:rFonts w:ascii="Arial" w:cs="Arial" w:eastAsia="Arial" w:hAnsi="Arial"/>
                  <w:sz w:val="18"/>
                  <w:szCs w:val="18"/>
                  <w:u w:val="single" w:color="auto"/>
                  <w:color w:val="0000FF"/>
                  <w:w w:val="96"/>
                </w:rPr>
                <w:t>reference to Exhibit 10.1 of the Current Report on Form 8-K of General Motors Company filed May 13, 2020</w:t>
              </w:r>
            </w:hyperlink>
          </w:p>
        </w:tc>
        <w:tc>
          <w:tcPr>
            <w:tcW w:w="20" w:type="dxa"/>
            <w:vAlign w:val="bottom"/>
          </w:tcPr>
          <w:p>
            <w:pPr>
              <w:spacing w:after="0"/>
              <w:rPr>
                <w:sz w:val="16"/>
                <w:szCs w:val="16"/>
                <w:color w:val="auto"/>
              </w:rPr>
            </w:pPr>
          </w:p>
        </w:tc>
      </w:tr>
      <w:tr>
        <w:trPr>
          <w:trHeight w:val="190"/>
        </w:trPr>
        <w:tc>
          <w:tcPr>
            <w:tcW w:w="1460" w:type="dxa"/>
            <w:vAlign w:val="bottom"/>
          </w:tcPr>
          <w:p>
            <w:pPr>
              <w:spacing w:after="0" w:line="170" w:lineRule="exact"/>
              <w:rPr>
                <w:sz w:val="20"/>
                <w:szCs w:val="20"/>
                <w:color w:val="auto"/>
              </w:rPr>
            </w:pPr>
            <w:r>
              <w:rPr>
                <w:rFonts w:ascii="Arial" w:cs="Arial" w:eastAsia="Arial" w:hAnsi="Arial"/>
                <w:sz w:val="18"/>
                <w:szCs w:val="18"/>
                <w:color w:val="auto"/>
              </w:rPr>
              <w:t>10.4*</w:t>
            </w:r>
          </w:p>
        </w:tc>
        <w:tc>
          <w:tcPr>
            <w:tcW w:w="8280" w:type="dxa"/>
            <w:vAlign w:val="bottom"/>
            <w:gridSpan w:val="14"/>
          </w:tcPr>
          <w:p>
            <w:pPr>
              <w:spacing w:after="0" w:line="170" w:lineRule="exact"/>
              <w:rPr>
                <w:rFonts w:ascii="Arial" w:cs="Arial" w:eastAsia="Arial" w:hAnsi="Arial"/>
                <w:sz w:val="18"/>
                <w:szCs w:val="18"/>
                <w:color w:val="0000FF"/>
                <w:w w:val="98"/>
              </w:rPr>
            </w:pPr>
            <w:hyperlink r:id="rId115">
              <w:r>
                <w:rPr>
                  <w:rFonts w:ascii="Arial" w:cs="Arial" w:eastAsia="Arial" w:hAnsi="Arial"/>
                  <w:sz w:val="18"/>
                  <w:szCs w:val="18"/>
                  <w:color w:val="0000FF"/>
                  <w:w w:val="98"/>
                </w:rPr>
                <w:t>General Motors Company 2020 Long-Term Incentive Plan, incorporated by reference to Exhibit 4.1 to the</w:t>
              </w:r>
            </w:hyperlink>
          </w:p>
        </w:tc>
      </w:tr>
      <w:tr>
        <w:trPr>
          <w:trHeight w:val="155"/>
        </w:trPr>
        <w:tc>
          <w:tcPr>
            <w:tcW w:w="1460" w:type="dxa"/>
            <w:vAlign w:val="bottom"/>
          </w:tcPr>
          <w:p>
            <w:pPr>
              <w:spacing w:after="0"/>
              <w:rPr>
                <w:sz w:val="13"/>
                <w:szCs w:val="13"/>
                <w:color w:val="auto"/>
              </w:rPr>
            </w:pPr>
          </w:p>
        </w:tc>
        <w:tc>
          <w:tcPr>
            <w:tcW w:w="8200" w:type="dxa"/>
            <w:vAlign w:val="bottom"/>
            <w:tcBorders>
              <w:top w:val="single" w:sz="8" w:color="0000FF"/>
            </w:tcBorders>
            <w:gridSpan w:val="10"/>
          </w:tcPr>
          <w:p>
            <w:pPr>
              <w:spacing w:after="0" w:line="156" w:lineRule="exact"/>
              <w:rPr>
                <w:rFonts w:ascii="Arial" w:cs="Arial" w:eastAsia="Arial" w:hAnsi="Arial"/>
                <w:sz w:val="18"/>
                <w:szCs w:val="18"/>
                <w:color w:val="0000FF"/>
              </w:rPr>
            </w:pPr>
            <w:hyperlink r:id="rId115">
              <w:r>
                <w:rPr>
                  <w:rFonts w:ascii="Arial" w:cs="Arial" w:eastAsia="Arial" w:hAnsi="Arial"/>
                  <w:sz w:val="18"/>
                  <w:szCs w:val="18"/>
                  <w:color w:val="0000FF"/>
                </w:rPr>
                <w:t xml:space="preserve">Registration Statement on Form S-8 of General Motors Company filed </w:t>
              </w:r>
              <w:r>
                <w:rPr>
                  <w:rFonts w:ascii="Arial" w:cs="Arial" w:eastAsia="Arial" w:hAnsi="Arial"/>
                  <w:sz w:val="18"/>
                  <w:szCs w:val="18"/>
                  <w:u w:val="single" w:color="auto"/>
                  <w:color w:val="0000FF"/>
                </w:rPr>
                <w:t>June</w:t>
              </w:r>
              <w:r>
                <w:rPr>
                  <w:rFonts w:ascii="Arial" w:cs="Arial" w:eastAsia="Arial" w:hAnsi="Arial"/>
                  <w:sz w:val="18"/>
                  <w:szCs w:val="18"/>
                  <w:color w:val="0000FF"/>
                </w:rPr>
                <w:t xml:space="preserve"> 25, </w:t>
              </w:r>
              <w:r>
                <w:rPr>
                  <w:rFonts w:ascii="Arial" w:cs="Arial" w:eastAsia="Arial" w:hAnsi="Arial"/>
                  <w:sz w:val="18"/>
                  <w:szCs w:val="18"/>
                  <w:u w:val="single" w:color="auto"/>
                  <w:color w:val="0000FF"/>
                </w:rPr>
                <w:t>2020</w:t>
              </w:r>
            </w:hyperlink>
          </w:p>
        </w:tc>
        <w:tc>
          <w:tcPr>
            <w:tcW w:w="80" w:type="dxa"/>
            <w:vAlign w:val="bottom"/>
            <w:gridSpan w:val="4"/>
          </w:tcPr>
          <w:p>
            <w:pPr>
              <w:spacing w:after="0"/>
              <w:rPr>
                <w:sz w:val="13"/>
                <w:szCs w:val="13"/>
                <w:color w:val="auto"/>
              </w:rPr>
            </w:pPr>
          </w:p>
        </w:tc>
      </w:tr>
      <w:tr>
        <w:trPr>
          <w:trHeight w:val="20"/>
        </w:trPr>
        <w:tc>
          <w:tcPr>
            <w:tcW w:w="146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100" w:type="dxa"/>
            <w:vAlign w:val="bottom"/>
            <w:shd w:val="clear" w:color="auto" w:fill="0000FF"/>
          </w:tcPr>
          <w:p>
            <w:pPr>
              <w:spacing w:after="0" w:line="20" w:lineRule="exact"/>
              <w:rPr>
                <w:sz w:val="1"/>
                <w:szCs w:val="1"/>
                <w:color w:val="auto"/>
              </w:rPr>
            </w:pPr>
          </w:p>
        </w:tc>
        <w:tc>
          <w:tcPr>
            <w:tcW w:w="30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291"/>
        </w:trPr>
        <w:tc>
          <w:tcPr>
            <w:tcW w:w="1460" w:type="dxa"/>
            <w:vAlign w:val="bottom"/>
          </w:tcPr>
          <w:p>
            <w:pPr>
              <w:spacing w:after="0"/>
              <w:rPr>
                <w:sz w:val="20"/>
                <w:szCs w:val="20"/>
                <w:color w:val="auto"/>
              </w:rPr>
            </w:pPr>
            <w:r>
              <w:rPr>
                <w:rFonts w:ascii="Arial" w:cs="Arial" w:eastAsia="Arial" w:hAnsi="Arial"/>
                <w:sz w:val="18"/>
                <w:szCs w:val="18"/>
                <w:color w:val="auto"/>
              </w:rPr>
              <w:t>10.5*</w:t>
            </w:r>
          </w:p>
        </w:tc>
        <w:tc>
          <w:tcPr>
            <w:tcW w:w="8280" w:type="dxa"/>
            <w:vAlign w:val="bottom"/>
            <w:gridSpan w:val="14"/>
          </w:tcPr>
          <w:p>
            <w:pPr>
              <w:spacing w:after="0"/>
              <w:rPr>
                <w:rFonts w:ascii="Arial" w:cs="Arial" w:eastAsia="Arial" w:hAnsi="Arial"/>
                <w:sz w:val="18"/>
                <w:szCs w:val="18"/>
                <w:color w:val="0000FF"/>
              </w:rPr>
            </w:pPr>
            <w:hyperlink w:anchor="page58">
              <w:r>
                <w:rPr>
                  <w:rFonts w:ascii="Arial" w:cs="Arial" w:eastAsia="Arial" w:hAnsi="Arial"/>
                  <w:sz w:val="18"/>
                  <w:szCs w:val="18"/>
                  <w:color w:val="0000FF"/>
                </w:rPr>
                <w:t>Form of Restricted Stock Unit Award Agreement under the General Motors Company 2017 Long-Term</w:t>
              </w:r>
            </w:hyperlink>
          </w:p>
        </w:tc>
      </w:tr>
      <w:tr>
        <w:trPr>
          <w:trHeight w:val="155"/>
        </w:trPr>
        <w:tc>
          <w:tcPr>
            <w:tcW w:w="1460" w:type="dxa"/>
            <w:vAlign w:val="bottom"/>
          </w:tcPr>
          <w:p>
            <w:pPr>
              <w:spacing w:after="0"/>
              <w:rPr>
                <w:sz w:val="13"/>
                <w:szCs w:val="13"/>
                <w:color w:val="auto"/>
              </w:rPr>
            </w:pPr>
          </w:p>
        </w:tc>
        <w:tc>
          <w:tcPr>
            <w:tcW w:w="8180" w:type="dxa"/>
            <w:vAlign w:val="bottom"/>
            <w:tcBorders>
              <w:top w:val="single" w:sz="8" w:color="0000FF"/>
            </w:tcBorders>
            <w:gridSpan w:val="9"/>
          </w:tcPr>
          <w:p>
            <w:pPr>
              <w:spacing w:after="0" w:line="156" w:lineRule="exact"/>
              <w:rPr>
                <w:rFonts w:ascii="Arial" w:cs="Arial" w:eastAsia="Arial" w:hAnsi="Arial"/>
                <w:sz w:val="18"/>
                <w:szCs w:val="18"/>
                <w:color w:val="0000FF"/>
              </w:rPr>
            </w:pPr>
            <w:hyperlink w:anchor="page58">
              <w:r>
                <w:rPr>
                  <w:rFonts w:ascii="Arial" w:cs="Arial" w:eastAsia="Arial" w:hAnsi="Arial"/>
                  <w:sz w:val="18"/>
                  <w:szCs w:val="18"/>
                  <w:color w:val="0000FF"/>
                </w:rPr>
                <w:t>Incentive Plan</w:t>
              </w:r>
            </w:hyperlink>
          </w:p>
        </w:tc>
        <w:tc>
          <w:tcPr>
            <w:tcW w:w="100" w:type="dxa"/>
            <w:vAlign w:val="bottom"/>
            <w:gridSpan w:val="5"/>
          </w:tcPr>
          <w:p>
            <w:pPr>
              <w:spacing w:after="0"/>
              <w:rPr>
                <w:sz w:val="13"/>
                <w:szCs w:val="13"/>
                <w:color w:val="auto"/>
              </w:rPr>
            </w:pPr>
          </w:p>
        </w:tc>
      </w:tr>
      <w:tr>
        <w:trPr>
          <w:trHeight w:val="20"/>
        </w:trPr>
        <w:tc>
          <w:tcPr>
            <w:tcW w:w="146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140" w:type="dxa"/>
            <w:vAlign w:val="bottom"/>
            <w:gridSpan w:val="6"/>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264"/>
        </w:trPr>
        <w:tc>
          <w:tcPr>
            <w:tcW w:w="1460" w:type="dxa"/>
            <w:vAlign w:val="bottom"/>
          </w:tcPr>
          <w:p>
            <w:pPr>
              <w:spacing w:after="0"/>
              <w:rPr>
                <w:sz w:val="20"/>
                <w:szCs w:val="20"/>
                <w:color w:val="auto"/>
              </w:rPr>
            </w:pPr>
            <w:r>
              <w:rPr>
                <w:rFonts w:ascii="Arial" w:cs="Arial" w:eastAsia="Arial" w:hAnsi="Arial"/>
                <w:sz w:val="18"/>
                <w:szCs w:val="18"/>
                <w:color w:val="auto"/>
              </w:rPr>
              <w:t>31.1</w:t>
            </w:r>
          </w:p>
        </w:tc>
        <w:tc>
          <w:tcPr>
            <w:tcW w:w="8280" w:type="dxa"/>
            <w:vAlign w:val="bottom"/>
            <w:gridSpan w:val="14"/>
          </w:tcPr>
          <w:p>
            <w:pPr>
              <w:spacing w:after="0"/>
              <w:rPr>
                <w:rFonts w:ascii="Arial" w:cs="Arial" w:eastAsia="Arial" w:hAnsi="Arial"/>
                <w:sz w:val="18"/>
                <w:szCs w:val="18"/>
                <w:u w:val="single" w:color="auto"/>
                <w:color w:val="0000FF"/>
              </w:rPr>
            </w:pPr>
            <w:hyperlink w:anchor="page62">
              <w:r>
                <w:rPr>
                  <w:rFonts w:ascii="Arial" w:cs="Arial" w:eastAsia="Arial" w:hAnsi="Arial"/>
                  <w:sz w:val="18"/>
                  <w:szCs w:val="18"/>
                  <w:u w:val="single" w:color="auto"/>
                  <w:color w:val="0000FF"/>
                </w:rPr>
                <w:t>Section 302 Certification of the Chief Executive Officer</w:t>
              </w:r>
            </w:hyperlink>
          </w:p>
        </w:tc>
      </w:tr>
      <w:tr>
        <w:trPr>
          <w:trHeight w:val="270"/>
        </w:trPr>
        <w:tc>
          <w:tcPr>
            <w:tcW w:w="1460" w:type="dxa"/>
            <w:vAlign w:val="bottom"/>
          </w:tcPr>
          <w:p>
            <w:pPr>
              <w:spacing w:after="0"/>
              <w:rPr>
                <w:sz w:val="20"/>
                <w:szCs w:val="20"/>
                <w:color w:val="auto"/>
              </w:rPr>
            </w:pPr>
            <w:r>
              <w:rPr>
                <w:rFonts w:ascii="Arial" w:cs="Arial" w:eastAsia="Arial" w:hAnsi="Arial"/>
                <w:sz w:val="18"/>
                <w:szCs w:val="18"/>
                <w:color w:val="auto"/>
              </w:rPr>
              <w:t>31.2</w:t>
            </w:r>
          </w:p>
        </w:tc>
        <w:tc>
          <w:tcPr>
            <w:tcW w:w="8280" w:type="dxa"/>
            <w:vAlign w:val="bottom"/>
            <w:gridSpan w:val="14"/>
          </w:tcPr>
          <w:p>
            <w:pPr>
              <w:spacing w:after="0"/>
              <w:rPr>
                <w:rFonts w:ascii="Arial" w:cs="Arial" w:eastAsia="Arial" w:hAnsi="Arial"/>
                <w:sz w:val="18"/>
                <w:szCs w:val="18"/>
                <w:u w:val="single" w:color="auto"/>
                <w:color w:val="0000FF"/>
              </w:rPr>
            </w:pPr>
            <w:hyperlink w:anchor="page63">
              <w:r>
                <w:rPr>
                  <w:rFonts w:ascii="Arial" w:cs="Arial" w:eastAsia="Arial" w:hAnsi="Arial"/>
                  <w:sz w:val="18"/>
                  <w:szCs w:val="18"/>
                  <w:u w:val="single" w:color="auto"/>
                  <w:color w:val="0000FF"/>
                </w:rPr>
                <w:t>Section 302 Certification of the Chief Financial Officer</w:t>
              </w:r>
            </w:hyperlink>
          </w:p>
        </w:tc>
      </w:tr>
      <w:tr>
        <w:trPr>
          <w:trHeight w:val="216"/>
        </w:trPr>
        <w:tc>
          <w:tcPr>
            <w:tcW w:w="1460" w:type="dxa"/>
            <w:vAlign w:val="bottom"/>
          </w:tcPr>
          <w:p>
            <w:pPr>
              <w:spacing w:after="0" w:line="196" w:lineRule="exact"/>
              <w:rPr>
                <w:sz w:val="20"/>
                <w:szCs w:val="20"/>
                <w:color w:val="auto"/>
              </w:rPr>
            </w:pPr>
            <w:r>
              <w:rPr>
                <w:rFonts w:ascii="Arial" w:cs="Arial" w:eastAsia="Arial" w:hAnsi="Arial"/>
                <w:sz w:val="18"/>
                <w:szCs w:val="18"/>
                <w:color w:val="auto"/>
              </w:rPr>
              <w:t>32</w:t>
            </w:r>
          </w:p>
        </w:tc>
        <w:tc>
          <w:tcPr>
            <w:tcW w:w="8280" w:type="dxa"/>
            <w:vAlign w:val="bottom"/>
            <w:gridSpan w:val="14"/>
          </w:tcPr>
          <w:p>
            <w:pPr>
              <w:spacing w:after="0" w:line="196" w:lineRule="exact"/>
              <w:rPr>
                <w:rFonts w:ascii="Arial" w:cs="Arial" w:eastAsia="Arial" w:hAnsi="Arial"/>
                <w:sz w:val="18"/>
                <w:szCs w:val="18"/>
                <w:color w:val="0000FF"/>
                <w:w w:val="94"/>
              </w:rPr>
            </w:pPr>
            <w:hyperlink w:anchor="page64">
              <w:r>
                <w:rPr>
                  <w:rFonts w:ascii="Arial" w:cs="Arial" w:eastAsia="Arial" w:hAnsi="Arial"/>
                  <w:sz w:val="18"/>
                  <w:szCs w:val="18"/>
                  <w:color w:val="0000FF"/>
                  <w:w w:val="94"/>
                </w:rPr>
                <w:t>Certification Pursuant to 18 U.S.C. Section 1350, As Adopted Pursuant to Section 906 of the Sarbanes-Oxley</w:t>
              </w:r>
            </w:hyperlink>
          </w:p>
        </w:tc>
      </w:tr>
      <w:tr>
        <w:trPr>
          <w:trHeight w:val="155"/>
        </w:trPr>
        <w:tc>
          <w:tcPr>
            <w:tcW w:w="1460" w:type="dxa"/>
            <w:vAlign w:val="bottom"/>
          </w:tcPr>
          <w:p>
            <w:pPr>
              <w:spacing w:after="0"/>
              <w:rPr>
                <w:sz w:val="13"/>
                <w:szCs w:val="13"/>
                <w:color w:val="auto"/>
              </w:rPr>
            </w:pPr>
          </w:p>
        </w:tc>
        <w:tc>
          <w:tcPr>
            <w:tcW w:w="8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2"/>
              </w:rPr>
            </w:pPr>
            <w:hyperlink w:anchor="page64">
              <w:r>
                <w:rPr>
                  <w:rFonts w:ascii="Arial" w:cs="Arial" w:eastAsia="Arial" w:hAnsi="Arial"/>
                  <w:sz w:val="18"/>
                  <w:szCs w:val="18"/>
                  <w:color w:val="0000FF"/>
                  <w:w w:val="92"/>
                </w:rPr>
                <w:t>Act of 2002</w:t>
              </w:r>
            </w:hyperlink>
          </w:p>
        </w:tc>
        <w:tc>
          <w:tcPr>
            <w:tcW w:w="7300" w:type="dxa"/>
            <w:vAlign w:val="bottom"/>
            <w:tcBorders>
              <w:top w:val="single" w:sz="8" w:color="0000FF"/>
            </w:tcBorders>
            <w:gridSpan w:val="7"/>
          </w:tcPr>
          <w:p>
            <w:pPr>
              <w:spacing w:after="0"/>
              <w:rPr>
                <w:sz w:val="13"/>
                <w:szCs w:val="13"/>
                <w:color w:val="auto"/>
              </w:rPr>
            </w:pPr>
          </w:p>
        </w:tc>
        <w:tc>
          <w:tcPr>
            <w:tcW w:w="120" w:type="dxa"/>
            <w:vAlign w:val="bottom"/>
            <w:gridSpan w:val="6"/>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-1148080</wp:posOffset>
            </wp:positionV>
            <wp:extent cx="7115175" cy="3086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6">
                      <a:extLst>
                        <a:ext uri="{28A0092B-C50C-407E-A947-70E740481C1C}"/>
                      </a:extLst>
                    </a:blip>
                    <a:srcRect/>
                    <a:stretch>
                      <a:fillRect/>
                    </a:stretch>
                  </pic:blipFill>
                  <pic:spPr bwMode="auto">
                    <a:xfrm>
                      <a:off x="0" y="0"/>
                      <a:ext cx="7115175" cy="308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-582295</wp:posOffset>
            </wp:positionV>
            <wp:extent cx="7115175" cy="1714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7">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-239395</wp:posOffset>
            </wp:positionV>
            <wp:extent cx="7115175" cy="3086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8">
                      <a:extLst>
                        <a:ext uri="{28A0092B-C50C-407E-A947-70E740481C1C}"/>
                      </a:extLst>
                    </a:blip>
                    <a:srcRect/>
                    <a:stretch>
                      <a:fillRect/>
                    </a:stretch>
                  </pic:blipFill>
                  <pic:spPr bwMode="auto">
                    <a:xfrm>
                      <a:off x="0" y="0"/>
                      <a:ext cx="7115175" cy="308610"/>
                    </a:xfrm>
                    <a:prstGeom prst="rect">
                      <a:avLst/>
                    </a:prstGeom>
                    <a:noFill/>
                  </pic:spPr>
                </pic:pic>
              </a:graphicData>
            </a:graphic>
          </wp:anchor>
        </w:drawing>
      </w:r>
    </w:p>
    <w:p>
      <w:pPr>
        <w:spacing w:after="0" w:line="101" w:lineRule="exact"/>
        <w:rPr>
          <w:sz w:val="20"/>
          <w:szCs w:val="20"/>
          <w:color w:val="auto"/>
        </w:rPr>
      </w:pPr>
    </w:p>
    <w:p>
      <w:pPr>
        <w:jc w:val="both"/>
        <w:ind w:left="1480" w:hanging="1454"/>
        <w:spacing w:after="0" w:line="255" w:lineRule="auto"/>
        <w:tabs>
          <w:tab w:leader="none" w:pos="14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following financial information from the Company’s Quarterly Report on Form 10-Q for the quarter ended June 30, 2020, formatted in Inline Extensible Business Reporting Language (iXBRL) includes: (i) the Condensed Consolidated Income Statements, (ii) the Condensed Consolidated Statements of Comprehensive Income, (iii) the Condensed Consolidated Balance Sheets, (iv) the Condensed Consolidated Statements of Cash Flows, (v) the Condensed Consolidated Statements of Equity and (vi) Notes to the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15175" cy="3086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9">
                      <a:extLst>
                        <a:ext uri="{28A0092B-C50C-407E-A947-70E740481C1C}"/>
                      </a:extLst>
                    </a:blip>
                    <a:srcRect/>
                    <a:stretch>
                      <a:fillRect/>
                    </a:stretch>
                  </pic:blipFill>
                  <pic:spPr bwMode="auto">
                    <a:xfrm>
                      <a:off x="0" y="0"/>
                      <a:ext cx="7115175" cy="308610"/>
                    </a:xfrm>
                    <a:prstGeom prst="rect">
                      <a:avLst/>
                    </a:prstGeom>
                    <a:noFill/>
                  </pic:spPr>
                </pic:pic>
              </a:graphicData>
            </a:graphic>
          </wp:anchor>
        </w:drawing>
      </w:r>
    </w:p>
    <w:p>
      <w:pPr>
        <w:spacing w:after="0" w:line="10" w:lineRule="exact"/>
        <w:rPr>
          <w:sz w:val="20"/>
          <w:szCs w:val="20"/>
          <w:color w:val="auto"/>
        </w:rPr>
      </w:pPr>
    </w:p>
    <w:p>
      <w:pPr>
        <w:ind w:left="1480" w:hanging="1454"/>
        <w:spacing w:after="0" w:line="277" w:lineRule="auto"/>
        <w:tabs>
          <w:tab w:leader="none" w:pos="14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cover page from the Company's Quarterly Report on Form 10-Q for the quarter ended June 30, 2020, formatted as Inline XBRL and contained in Exhibit 101</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23"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Management contracts or compensatory plans and arrangements.</w:t>
      </w:r>
    </w:p>
    <w:p>
      <w:pPr>
        <w:spacing w:after="0" w:line="20" w:lineRule="exact"/>
        <w:rPr>
          <w:sz w:val="20"/>
          <w:szCs w:val="20"/>
          <w:color w:val="auto"/>
        </w:rPr>
      </w:pPr>
      <w:r>
        <w:rPr>
          <w:sz w:val="20"/>
          <w:szCs w:val="20"/>
          <w:color w:val="auto"/>
        </w:rPr>
        <w:br w:type="column"/>
      </w:r>
    </w:p>
    <w:p>
      <w:pPr>
        <w:ind w:right="360"/>
        <w:spacing w:after="0" w:line="277" w:lineRule="auto"/>
        <w:rPr>
          <w:sz w:val="20"/>
          <w:szCs w:val="20"/>
          <w:color w:val="auto"/>
        </w:rPr>
      </w:pPr>
      <w:r>
        <w:rPr>
          <w:rFonts w:ascii="Arial" w:cs="Arial" w:eastAsia="Arial" w:hAnsi="Arial"/>
          <w:sz w:val="18"/>
          <w:szCs w:val="18"/>
          <w:color w:val="auto"/>
        </w:rPr>
        <w:t>Incorporated by Reference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Incorporated by Reference</w:t>
      </w:r>
    </w:p>
    <w:p>
      <w:pPr>
        <w:spacing w:after="0" w:line="27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Incorporated by Reference</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6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Furnished with this Report</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947" w:lineRule="exact"/>
        <w:rPr>
          <w:sz w:val="20"/>
          <w:szCs w:val="20"/>
          <w:color w:val="auto"/>
        </w:rPr>
      </w:pPr>
    </w:p>
    <w:p>
      <w:pPr>
        <w:sectPr>
          <w:pgSz w:w="11900" w:h="16838" w:orient="portrait"/>
          <w:cols w:equalWidth="0" w:num="2">
            <w:col w:w="9580" w:space="140"/>
            <w:col w:w="1500"/>
          </w:cols>
          <w:pgMar w:left="320" w:top="125" w:right="359" w:bottom="1440" w:gutter="0" w:footer="0" w:header="0"/>
          <w:type w:val="continuous"/>
        </w:sect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56" w:name="page57"/>
    <w:bookmarkEnd w:id="5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81" w:lineRule="exact"/>
        <w:rPr>
          <w:sz w:val="20"/>
          <w:szCs w:val="20"/>
          <w:color w:val="auto"/>
        </w:rPr>
      </w:pPr>
    </w:p>
    <w:p>
      <w:pPr>
        <w:jc w:val="center"/>
        <w:ind w:right="-459"/>
        <w:spacing w:after="0"/>
        <w:rPr>
          <w:sz w:val="20"/>
          <w:szCs w:val="20"/>
          <w:color w:val="auto"/>
        </w:rPr>
      </w:pPr>
      <w:r>
        <w:rPr>
          <w:rFonts w:ascii="Arial" w:cs="Arial" w:eastAsia="Arial" w:hAnsi="Arial"/>
          <w:sz w:val="16"/>
          <w:szCs w:val="16"/>
          <w:b w:val="1"/>
          <w:bCs w:val="1"/>
          <w:color w:val="auto"/>
        </w:rPr>
        <w:t>SIGNATURE</w:t>
      </w:r>
    </w:p>
    <w:p>
      <w:pPr>
        <w:spacing w:after="0" w:line="248" w:lineRule="exact"/>
        <w:rPr>
          <w:sz w:val="20"/>
          <w:szCs w:val="20"/>
          <w:color w:val="auto"/>
        </w:rPr>
      </w:pPr>
    </w:p>
    <w:p>
      <w:pPr>
        <w:ind w:right="340" w:firstLine="16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4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GENERAL MOTORS COMPANY (Registrant)</w:t>
      </w:r>
    </w:p>
    <w:p>
      <w:pPr>
        <w:spacing w:after="0" w:line="200" w:lineRule="exact"/>
        <w:rPr>
          <w:sz w:val="20"/>
          <w:szCs w:val="20"/>
          <w:color w:val="auto"/>
        </w:rPr>
      </w:pPr>
    </w:p>
    <w:p>
      <w:pPr>
        <w:spacing w:after="0" w:line="349" w:lineRule="exact"/>
        <w:rPr>
          <w:sz w:val="20"/>
          <w:szCs w:val="20"/>
          <w:color w:val="auto"/>
        </w:rPr>
      </w:pPr>
    </w:p>
    <w:p>
      <w:pPr>
        <w:ind w:left="5740"/>
        <w:spacing w:after="0"/>
        <w:tabs>
          <w:tab w:leader="none" w:pos="6160" w:val="left"/>
        </w:tabs>
        <w:rPr>
          <w:sz w:val="20"/>
          <w:szCs w:val="20"/>
          <w:color w:val="auto"/>
        </w:rPr>
      </w:pPr>
      <w:r>
        <w:rPr>
          <w:rFonts w:ascii="Arial" w:cs="Arial" w:eastAsia="Arial" w:hAnsi="Arial"/>
          <w:sz w:val="18"/>
          <w:szCs w:val="18"/>
          <w:color w:val="auto"/>
        </w:rPr>
        <w:t>By:</w:t>
        <w:tab/>
        <w:t>/s/ CHRISTOPHER T. HATTO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31750</wp:posOffset>
            </wp:positionV>
            <wp:extent cx="30175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1">
                      <a:extLst>
                        <a:ext uri="{28A0092B-C50C-407E-A947-70E740481C1C}"/>
                      </a:extLst>
                    </a:blip>
                    <a:srcRect/>
                    <a:stretch>
                      <a:fillRect/>
                    </a:stretch>
                  </pic:blipFill>
                  <pic:spPr bwMode="auto">
                    <a:xfrm>
                      <a:off x="0" y="0"/>
                      <a:ext cx="3017520" cy="8890"/>
                    </a:xfrm>
                    <a:prstGeom prst="rect">
                      <a:avLst/>
                    </a:prstGeom>
                    <a:noFill/>
                  </pic:spPr>
                </pic:pic>
              </a:graphicData>
            </a:graphic>
          </wp:anchor>
        </w:drawing>
      </w:r>
    </w:p>
    <w:p>
      <w:pPr>
        <w:spacing w:after="0" w:line="57" w:lineRule="exact"/>
        <w:rPr>
          <w:sz w:val="20"/>
          <w:szCs w:val="20"/>
          <w:color w:val="auto"/>
        </w:rPr>
      </w:pPr>
    </w:p>
    <w:p>
      <w:pPr>
        <w:ind w:left="6180"/>
        <w:spacing w:after="0"/>
        <w:rPr>
          <w:sz w:val="20"/>
          <w:szCs w:val="20"/>
          <w:color w:val="auto"/>
        </w:rPr>
      </w:pPr>
      <w:r>
        <w:rPr>
          <w:rFonts w:ascii="Arial" w:cs="Arial" w:eastAsia="Arial" w:hAnsi="Arial"/>
          <w:sz w:val="16"/>
          <w:szCs w:val="16"/>
          <w:color w:val="auto"/>
        </w:rPr>
        <w:t>Christopher T. Hatto, Vice President, Global Business Solutions</w:t>
      </w:r>
    </w:p>
    <w:p>
      <w:pPr>
        <w:spacing w:after="0" w:line="4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and Chief Accounting Officer</w:t>
      </w:r>
    </w:p>
    <w:p>
      <w:pPr>
        <w:spacing w:after="0" w:line="49" w:lineRule="exact"/>
        <w:rPr>
          <w:sz w:val="20"/>
          <w:szCs w:val="20"/>
          <w:color w:val="auto"/>
        </w:rPr>
      </w:pPr>
    </w:p>
    <w:p>
      <w:pPr>
        <w:ind w:left="20"/>
        <w:spacing w:after="0"/>
        <w:tabs>
          <w:tab w:leader="none" w:pos="600" w:val="left"/>
        </w:tabs>
        <w:rPr>
          <w:sz w:val="20"/>
          <w:szCs w:val="20"/>
          <w:color w:val="auto"/>
        </w:rPr>
      </w:pPr>
      <w:r>
        <w:rPr>
          <w:rFonts w:ascii="Arial" w:cs="Arial" w:eastAsia="Arial" w:hAnsi="Arial"/>
          <w:sz w:val="18"/>
          <w:szCs w:val="18"/>
          <w:color w:val="auto"/>
        </w:rPr>
        <w:t>Date:</w:t>
        <w:tab/>
        <w:t>July 29, 2020</w:t>
      </w:r>
    </w:p>
    <w:p>
      <w:pPr>
        <w:spacing w:after="0" w:line="200" w:lineRule="exact"/>
        <w:rPr>
          <w:sz w:val="20"/>
          <w:szCs w:val="20"/>
          <w:color w:val="auto"/>
        </w:rPr>
      </w:pPr>
    </w:p>
    <w:p>
      <w:pPr>
        <w:spacing w:after="0" w:line="268"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0780"/>
          </w:cols>
          <w:pgMar w:left="320" w:top="125" w:right="799" w:bottom="1440" w:gutter="0" w:footer="0" w:header="0"/>
        </w:sectPr>
      </w:pPr>
    </w:p>
    <w:bookmarkStart w:id="57" w:name="page58"/>
    <w:bookmarkEnd w:id="57"/>
    <w:p>
      <w:pPr>
        <w:jc w:val="right"/>
        <w:spacing w:after="0"/>
        <w:rPr>
          <w:sz w:val="20"/>
          <w:szCs w:val="20"/>
          <w:color w:val="auto"/>
        </w:rPr>
      </w:pPr>
      <w:r>
        <w:rPr>
          <w:rFonts w:ascii="Arial" w:cs="Arial" w:eastAsia="Arial" w:hAnsi="Arial"/>
          <w:sz w:val="20"/>
          <w:szCs w:val="20"/>
          <w:b w:val="1"/>
          <w:bCs w:val="1"/>
          <w:color w:val="auto"/>
        </w:rPr>
        <w:t>Exhibit 10.5</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General Motors Company</w:t>
      </w:r>
    </w:p>
    <w:p>
      <w:pPr>
        <w:jc w:val="center"/>
        <w:spacing w:after="0"/>
        <w:rPr>
          <w:sz w:val="20"/>
          <w:szCs w:val="20"/>
          <w:color w:val="auto"/>
        </w:rPr>
      </w:pPr>
      <w:r>
        <w:rPr>
          <w:rFonts w:ascii="Arial" w:cs="Arial" w:eastAsia="Arial" w:hAnsi="Arial"/>
          <w:sz w:val="20"/>
          <w:szCs w:val="20"/>
          <w:b w:val="1"/>
          <w:bCs w:val="1"/>
          <w:color w:val="auto"/>
        </w:rPr>
        <w:t>2017 Long-Term Incentive Plan</w:t>
      </w:r>
    </w:p>
    <w:p>
      <w:pPr>
        <w:jc w:val="center"/>
        <w:ind w:right="-19"/>
        <w:spacing w:after="0"/>
        <w:rPr>
          <w:sz w:val="20"/>
          <w:szCs w:val="20"/>
          <w:color w:val="auto"/>
        </w:rPr>
      </w:pPr>
      <w:r>
        <w:rPr>
          <w:rFonts w:ascii="Arial" w:cs="Arial" w:eastAsia="Arial" w:hAnsi="Arial"/>
          <w:sz w:val="20"/>
          <w:szCs w:val="20"/>
          <w:b w:val="1"/>
          <w:bCs w:val="1"/>
          <w:color w:val="auto"/>
        </w:rPr>
        <w:t>Award Document for [Insert Date] Grant</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Private and Confidential</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[Name]</w:t>
      </w:r>
    </w:p>
    <w:p>
      <w:pPr>
        <w:spacing w:after="0" w:line="210" w:lineRule="exact"/>
        <w:rPr>
          <w:sz w:val="20"/>
          <w:szCs w:val="20"/>
          <w:color w:val="auto"/>
        </w:rPr>
      </w:pPr>
    </w:p>
    <w:p>
      <w:pPr>
        <w:ind w:right="460"/>
        <w:spacing w:after="0" w:line="293" w:lineRule="auto"/>
        <w:rPr>
          <w:sz w:val="20"/>
          <w:szCs w:val="20"/>
          <w:color w:val="auto"/>
        </w:rPr>
      </w:pPr>
      <w:r>
        <w:rPr>
          <w:rFonts w:ascii="Arial" w:cs="Arial" w:eastAsia="Arial" w:hAnsi="Arial"/>
          <w:sz w:val="19"/>
          <w:szCs w:val="19"/>
          <w:color w:val="auto"/>
        </w:rPr>
        <w:t>This letter (“</w:t>
      </w:r>
      <w:r>
        <w:rPr>
          <w:rFonts w:ascii="Arial" w:cs="Arial" w:eastAsia="Arial" w:hAnsi="Arial"/>
          <w:sz w:val="19"/>
          <w:szCs w:val="19"/>
          <w:b w:val="1"/>
          <w:bCs w:val="1"/>
          <w:color w:val="auto"/>
        </w:rPr>
        <w:t>Award Document</w:t>
      </w:r>
      <w:r>
        <w:rPr>
          <w:rFonts w:ascii="Arial" w:cs="Arial" w:eastAsia="Arial" w:hAnsi="Arial"/>
          <w:sz w:val="19"/>
          <w:szCs w:val="19"/>
          <w:color w:val="auto"/>
        </w:rPr>
        <w:t>”) describes the details under which you are being granted an Award of Restricted Stock Units (“</w:t>
      </w:r>
      <w:r>
        <w:rPr>
          <w:rFonts w:ascii="Arial" w:cs="Arial" w:eastAsia="Arial" w:hAnsi="Arial"/>
          <w:sz w:val="19"/>
          <w:szCs w:val="19"/>
          <w:b w:val="1"/>
          <w:bCs w:val="1"/>
          <w:color w:val="auto"/>
        </w:rPr>
        <w:t>RSUs</w:t>
      </w:r>
      <w:r>
        <w:rPr>
          <w:rFonts w:ascii="Arial" w:cs="Arial" w:eastAsia="Arial" w:hAnsi="Arial"/>
          <w:sz w:val="19"/>
          <w:szCs w:val="19"/>
          <w:color w:val="auto"/>
        </w:rPr>
        <w:t>”) under the General Motors Company 2017 Long-Term Incentive Plan (as amended from time to time, the “</w:t>
      </w:r>
      <w:r>
        <w:rPr>
          <w:rFonts w:ascii="Arial" w:cs="Arial" w:eastAsia="Arial" w:hAnsi="Arial"/>
          <w:sz w:val="19"/>
          <w:szCs w:val="19"/>
          <w:b w:val="1"/>
          <w:bCs w:val="1"/>
          <w:color w:val="auto"/>
        </w:rPr>
        <w:t>Plan</w:t>
      </w:r>
      <w:r>
        <w:rPr>
          <w:rFonts w:ascii="Arial" w:cs="Arial" w:eastAsia="Arial" w:hAnsi="Arial"/>
          <w:sz w:val="19"/>
          <w:szCs w:val="19"/>
          <w:color w:val="auto"/>
        </w:rPr>
        <w:t>”).</w:t>
      </w:r>
    </w:p>
    <w:p>
      <w:pPr>
        <w:spacing w:after="0" w:line="148" w:lineRule="exact"/>
        <w:rPr>
          <w:sz w:val="20"/>
          <w:szCs w:val="20"/>
          <w:color w:val="auto"/>
        </w:rPr>
      </w:pPr>
    </w:p>
    <w:p>
      <w:pPr>
        <w:ind w:right="120"/>
        <w:spacing w:after="0" w:line="260" w:lineRule="auto"/>
        <w:rPr>
          <w:sz w:val="20"/>
          <w:szCs w:val="20"/>
          <w:color w:val="auto"/>
        </w:rPr>
      </w:pPr>
      <w:r>
        <w:rPr>
          <w:rFonts w:ascii="Arial" w:cs="Arial" w:eastAsia="Arial" w:hAnsi="Arial"/>
          <w:sz w:val="20"/>
          <w:szCs w:val="20"/>
          <w:color w:val="auto"/>
        </w:rPr>
        <w:t>A copy of the Plan can be found on the Solium Shareworks site. Capitalized terms used in this Award Document have the meanings given in the Plan unless noted otherwise.</w:t>
      </w:r>
    </w:p>
    <w:p>
      <w:pPr>
        <w:spacing w:after="0" w:line="177" w:lineRule="exact"/>
        <w:rPr>
          <w:sz w:val="20"/>
          <w:szCs w:val="20"/>
          <w:color w:val="auto"/>
        </w:rPr>
      </w:pPr>
    </w:p>
    <w:p>
      <w:pPr>
        <w:ind w:right="120"/>
        <w:spacing w:after="0" w:line="250" w:lineRule="auto"/>
        <w:rPr>
          <w:sz w:val="20"/>
          <w:szCs w:val="20"/>
          <w:color w:val="auto"/>
        </w:rPr>
      </w:pPr>
      <w:r>
        <w:rPr>
          <w:rFonts w:ascii="Arial" w:cs="Arial" w:eastAsia="Arial" w:hAnsi="Arial"/>
          <w:sz w:val="20"/>
          <w:szCs w:val="20"/>
          <w:color w:val="auto"/>
        </w:rPr>
        <w:t>The full terms of your Award are set out in this Award Document, the Plan and any policy adopted by the Committee in respect of the Plan and Awards thereunder that is applicable to this Award. In the event of any conflict between this Award Document and the Plan, the terms of this Award Document shall prevail.</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Terms of this Award</w:t>
      </w:r>
    </w:p>
    <w:p>
      <w:pPr>
        <w:spacing w:after="0" w:line="245"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19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Issuer</w:t>
            </w:r>
          </w:p>
        </w:tc>
        <w:tc>
          <w:tcPr>
            <w:tcW w:w="81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General Motors Company, a Delaware corporation</w:t>
            </w:r>
          </w:p>
        </w:tc>
        <w:tc>
          <w:tcPr>
            <w:tcW w:w="0" w:type="dxa"/>
            <w:vAlign w:val="bottom"/>
          </w:tcPr>
          <w:p>
            <w:pPr>
              <w:spacing w:after="0"/>
              <w:rPr>
                <w:sz w:val="1"/>
                <w:szCs w:val="1"/>
                <w:color w:val="auto"/>
              </w:rPr>
            </w:pPr>
          </w:p>
        </w:tc>
      </w:tr>
      <w:tr>
        <w:trPr>
          <w:trHeight w:val="23"/>
        </w:trPr>
        <w:tc>
          <w:tcPr>
            <w:tcW w:w="1940" w:type="dxa"/>
            <w:vAlign w:val="bottom"/>
            <w:tcBorders>
              <w:left w:val="single" w:sz="8" w:color="auto"/>
              <w:bottom w:val="single" w:sz="8" w:color="auto"/>
              <w:right w:val="single" w:sz="8" w:color="auto"/>
            </w:tcBorders>
          </w:tcPr>
          <w:p>
            <w:pPr>
              <w:spacing w:after="0"/>
              <w:rPr>
                <w:sz w:val="2"/>
                <w:szCs w:val="2"/>
                <w:color w:val="auto"/>
              </w:rPr>
            </w:pPr>
          </w:p>
        </w:tc>
        <w:tc>
          <w:tcPr>
            <w:tcW w:w="8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1940" w:type="dxa"/>
            <w:vAlign w:val="bottom"/>
            <w:tcBorders>
              <w:left w:val="single" w:sz="8" w:color="auto"/>
              <w:right w:val="single" w:sz="8" w:color="auto"/>
            </w:tcBorders>
          </w:tcPr>
          <w:p>
            <w:pPr>
              <w:ind w:left="40"/>
              <w:spacing w:after="0" w:line="228" w:lineRule="exact"/>
              <w:rPr>
                <w:sz w:val="20"/>
                <w:szCs w:val="20"/>
                <w:color w:val="auto"/>
              </w:rPr>
            </w:pPr>
            <w:r>
              <w:rPr>
                <w:rFonts w:ascii="Arial" w:cs="Arial" w:eastAsia="Arial" w:hAnsi="Arial"/>
                <w:sz w:val="20"/>
                <w:szCs w:val="20"/>
                <w:b w:val="1"/>
                <w:bCs w:val="1"/>
                <w:color w:val="auto"/>
              </w:rPr>
              <w:t>Number of RSUs</w:t>
            </w:r>
          </w:p>
        </w:tc>
        <w:tc>
          <w:tcPr>
            <w:tcW w:w="8140" w:type="dxa"/>
            <w:vAlign w:val="bottom"/>
            <w:tcBorders>
              <w:right w:val="single" w:sz="8" w:color="auto"/>
            </w:tcBorders>
          </w:tcPr>
          <w:p>
            <w:pPr>
              <w:ind w:left="20"/>
              <w:spacing w:after="0" w:line="228" w:lineRule="exact"/>
              <w:rPr>
                <w:sz w:val="20"/>
                <w:szCs w:val="20"/>
                <w:color w:val="auto"/>
              </w:rPr>
            </w:pPr>
            <w:r>
              <w:rPr>
                <w:rFonts w:ascii="Arial" w:cs="Arial" w:eastAsia="Arial" w:hAnsi="Arial"/>
                <w:sz w:val="20"/>
                <w:szCs w:val="20"/>
                <w:color w:val="auto"/>
              </w:rPr>
              <w:t>[Insert Number] RSUs</w:t>
            </w:r>
          </w:p>
        </w:tc>
        <w:tc>
          <w:tcPr>
            <w:tcW w:w="0" w:type="dxa"/>
            <w:vAlign w:val="bottom"/>
          </w:tcPr>
          <w:p>
            <w:pPr>
              <w:spacing w:after="0"/>
              <w:rPr>
                <w:sz w:val="1"/>
                <w:szCs w:val="1"/>
                <w:color w:val="auto"/>
              </w:rPr>
            </w:pPr>
          </w:p>
        </w:tc>
      </w:tr>
      <w:tr>
        <w:trPr>
          <w:trHeight w:val="256"/>
        </w:trPr>
        <w:tc>
          <w:tcPr>
            <w:tcW w:w="19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Granted to You</w:t>
            </w:r>
          </w:p>
        </w:tc>
        <w:tc>
          <w:tcPr>
            <w:tcW w:w="81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1940" w:type="dxa"/>
            <w:vAlign w:val="bottom"/>
            <w:tcBorders>
              <w:left w:val="single" w:sz="8" w:color="auto"/>
              <w:bottom w:val="single" w:sz="8" w:color="auto"/>
              <w:right w:val="single" w:sz="8" w:color="auto"/>
            </w:tcBorders>
          </w:tcPr>
          <w:p>
            <w:pPr>
              <w:spacing w:after="0"/>
              <w:rPr>
                <w:sz w:val="2"/>
                <w:szCs w:val="2"/>
                <w:color w:val="auto"/>
              </w:rPr>
            </w:pPr>
          </w:p>
        </w:tc>
        <w:tc>
          <w:tcPr>
            <w:tcW w:w="8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19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Grant Date</w:t>
            </w:r>
          </w:p>
        </w:tc>
        <w:tc>
          <w:tcPr>
            <w:tcW w:w="81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[Insert Date]</w:t>
            </w:r>
          </w:p>
        </w:tc>
        <w:tc>
          <w:tcPr>
            <w:tcW w:w="0" w:type="dxa"/>
            <w:vAlign w:val="bottom"/>
          </w:tcPr>
          <w:p>
            <w:pPr>
              <w:spacing w:after="0"/>
              <w:rPr>
                <w:sz w:val="1"/>
                <w:szCs w:val="1"/>
                <w:color w:val="auto"/>
              </w:rPr>
            </w:pPr>
          </w:p>
        </w:tc>
      </w:tr>
      <w:tr>
        <w:trPr>
          <w:trHeight w:val="23"/>
        </w:trPr>
        <w:tc>
          <w:tcPr>
            <w:tcW w:w="1940" w:type="dxa"/>
            <w:vAlign w:val="bottom"/>
            <w:tcBorders>
              <w:left w:val="single" w:sz="8" w:color="auto"/>
              <w:bottom w:val="single" w:sz="8" w:color="auto"/>
              <w:right w:val="single" w:sz="8" w:color="auto"/>
            </w:tcBorders>
          </w:tcPr>
          <w:p>
            <w:pPr>
              <w:spacing w:after="0"/>
              <w:rPr>
                <w:sz w:val="2"/>
                <w:szCs w:val="2"/>
                <w:color w:val="auto"/>
              </w:rPr>
            </w:pPr>
          </w:p>
        </w:tc>
        <w:tc>
          <w:tcPr>
            <w:tcW w:w="8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1940" w:type="dxa"/>
            <w:vAlign w:val="bottom"/>
            <w:tcBorders>
              <w:left w:val="single" w:sz="8" w:color="auto"/>
              <w:right w:val="single" w:sz="8" w:color="auto"/>
            </w:tcBorders>
          </w:tcPr>
          <w:p>
            <w:pPr>
              <w:ind w:left="40"/>
              <w:spacing w:after="0" w:line="228" w:lineRule="exact"/>
              <w:rPr>
                <w:sz w:val="20"/>
                <w:szCs w:val="20"/>
                <w:color w:val="auto"/>
              </w:rPr>
            </w:pPr>
            <w:r>
              <w:rPr>
                <w:rFonts w:ascii="Arial" w:cs="Arial" w:eastAsia="Arial" w:hAnsi="Arial"/>
                <w:sz w:val="20"/>
                <w:szCs w:val="20"/>
                <w:b w:val="1"/>
                <w:bCs w:val="1"/>
                <w:color w:val="auto"/>
              </w:rPr>
              <w:t>Vesting</w:t>
            </w:r>
          </w:p>
        </w:tc>
        <w:tc>
          <w:tcPr>
            <w:tcW w:w="8140" w:type="dxa"/>
            <w:vAlign w:val="bottom"/>
            <w:tcBorders>
              <w:right w:val="single" w:sz="8" w:color="auto"/>
            </w:tcBorders>
          </w:tcPr>
          <w:p>
            <w:pPr>
              <w:ind w:left="20"/>
              <w:spacing w:after="0" w:line="228" w:lineRule="exact"/>
              <w:rPr>
                <w:sz w:val="20"/>
                <w:szCs w:val="20"/>
                <w:color w:val="auto"/>
              </w:rPr>
            </w:pPr>
            <w:r>
              <w:rPr>
                <w:rFonts w:ascii="Arial" w:cs="Arial" w:eastAsia="Arial" w:hAnsi="Arial"/>
                <w:sz w:val="20"/>
                <w:szCs w:val="20"/>
                <w:color w:val="auto"/>
              </w:rPr>
              <w:t>[Insert Date]</w:t>
            </w:r>
          </w:p>
        </w:tc>
        <w:tc>
          <w:tcPr>
            <w:tcW w:w="0" w:type="dxa"/>
            <w:vAlign w:val="bottom"/>
          </w:tcPr>
          <w:p>
            <w:pPr>
              <w:spacing w:after="0"/>
              <w:rPr>
                <w:sz w:val="1"/>
                <w:szCs w:val="1"/>
                <w:color w:val="auto"/>
              </w:rPr>
            </w:pPr>
          </w:p>
        </w:tc>
      </w:tr>
      <w:tr>
        <w:trPr>
          <w:trHeight w:val="256"/>
        </w:trPr>
        <w:tc>
          <w:tcPr>
            <w:tcW w:w="19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w w:val="90"/>
              </w:rPr>
              <w:t>Commencement Date</w:t>
            </w:r>
          </w:p>
        </w:tc>
        <w:tc>
          <w:tcPr>
            <w:tcW w:w="81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1940" w:type="dxa"/>
            <w:vAlign w:val="bottom"/>
            <w:tcBorders>
              <w:left w:val="single" w:sz="8" w:color="auto"/>
              <w:bottom w:val="single" w:sz="8" w:color="auto"/>
              <w:right w:val="single" w:sz="8" w:color="auto"/>
            </w:tcBorders>
          </w:tcPr>
          <w:p>
            <w:pPr>
              <w:spacing w:after="0"/>
              <w:rPr>
                <w:sz w:val="2"/>
                <w:szCs w:val="2"/>
                <w:color w:val="auto"/>
              </w:rPr>
            </w:pPr>
          </w:p>
        </w:tc>
        <w:tc>
          <w:tcPr>
            <w:tcW w:w="8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1940" w:type="dxa"/>
            <w:vAlign w:val="bottom"/>
            <w:tcBorders>
              <w:left w:val="single" w:sz="8" w:color="auto"/>
              <w:right w:val="single" w:sz="8" w:color="auto"/>
            </w:tcBorders>
          </w:tcPr>
          <w:p>
            <w:pPr>
              <w:ind w:left="40"/>
              <w:spacing w:after="0" w:line="228" w:lineRule="exact"/>
              <w:rPr>
                <w:sz w:val="20"/>
                <w:szCs w:val="20"/>
                <w:color w:val="auto"/>
              </w:rPr>
            </w:pPr>
            <w:r>
              <w:rPr>
                <w:rFonts w:ascii="Arial" w:cs="Arial" w:eastAsia="Arial" w:hAnsi="Arial"/>
                <w:sz w:val="20"/>
                <w:szCs w:val="20"/>
                <w:b w:val="1"/>
                <w:bCs w:val="1"/>
                <w:color w:val="auto"/>
              </w:rPr>
              <w:t>Settlement</w:t>
            </w:r>
          </w:p>
        </w:tc>
        <w:tc>
          <w:tcPr>
            <w:tcW w:w="8140" w:type="dxa"/>
            <w:vAlign w:val="bottom"/>
            <w:tcBorders>
              <w:right w:val="single" w:sz="8" w:color="auto"/>
            </w:tcBorders>
          </w:tcPr>
          <w:p>
            <w:pPr>
              <w:ind w:left="20"/>
              <w:spacing w:after="0" w:line="228" w:lineRule="exact"/>
              <w:rPr>
                <w:sz w:val="20"/>
                <w:szCs w:val="20"/>
                <w:color w:val="auto"/>
              </w:rPr>
            </w:pPr>
            <w:r>
              <w:rPr>
                <w:rFonts w:ascii="Arial" w:cs="Arial" w:eastAsia="Arial" w:hAnsi="Arial"/>
                <w:sz w:val="20"/>
                <w:szCs w:val="20"/>
                <w:color w:val="auto"/>
              </w:rPr>
              <w:t>Except as provided below, 100% of the granted RSUs will vest and settle on [Insert Date]</w:t>
            </w:r>
          </w:p>
        </w:tc>
        <w:tc>
          <w:tcPr>
            <w:tcW w:w="0" w:type="dxa"/>
            <w:vAlign w:val="bottom"/>
          </w:tcPr>
          <w:p>
            <w:pPr>
              <w:spacing w:after="0"/>
              <w:rPr>
                <w:sz w:val="1"/>
                <w:szCs w:val="1"/>
                <w:color w:val="auto"/>
              </w:rPr>
            </w:pPr>
          </w:p>
        </w:tc>
      </w:tr>
      <w:tr>
        <w:trPr>
          <w:trHeight w:val="230"/>
        </w:trPr>
        <w:tc>
          <w:tcPr>
            <w:tcW w:w="19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Conditions and</w:t>
            </w:r>
          </w:p>
        </w:tc>
        <w:tc>
          <w:tcPr>
            <w:tcW w:w="81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Settlement Date</w:t>
            </w: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6"/>
        </w:trPr>
        <w:tc>
          <w:tcPr>
            <w:tcW w:w="19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Settlement Date</w:t>
            </w:r>
          </w:p>
        </w:tc>
        <w:tc>
          <w:tcPr>
            <w:tcW w:w="8140" w:type="dxa"/>
            <w:vAlign w:val="bottom"/>
            <w:tcBorders>
              <w:right w:val="single" w:sz="8" w:color="auto"/>
            </w:tcBorders>
            <w:vMerge w:val="restart"/>
          </w:tcPr>
          <w:p>
            <w:pPr>
              <w:ind w:left="20"/>
              <w:spacing w:after="0"/>
              <w:rPr>
                <w:sz w:val="20"/>
                <w:szCs w:val="20"/>
                <w:color w:val="auto"/>
              </w:rPr>
            </w:pPr>
            <w:r>
              <w:rPr>
                <w:rFonts w:ascii="Arial" w:cs="Arial" w:eastAsia="Arial" w:hAnsi="Arial"/>
                <w:sz w:val="20"/>
                <w:szCs w:val="20"/>
                <w:color w:val="auto"/>
                <w:w w:val="90"/>
              </w:rPr>
              <w:t>If you experience a Termination of Service prior to the Settlement Date, your Award may be prorated.</w:t>
            </w:r>
          </w:p>
        </w:tc>
        <w:tc>
          <w:tcPr>
            <w:tcW w:w="0" w:type="dxa"/>
            <w:vAlign w:val="bottom"/>
          </w:tcPr>
          <w:p>
            <w:pPr>
              <w:spacing w:after="0"/>
              <w:rPr>
                <w:sz w:val="1"/>
                <w:szCs w:val="1"/>
                <w:color w:val="auto"/>
              </w:rPr>
            </w:pPr>
          </w:p>
        </w:tc>
      </w:tr>
      <w:tr>
        <w:trPr>
          <w:trHeight w:val="222"/>
        </w:trPr>
        <w:tc>
          <w:tcPr>
            <w:tcW w:w="1940" w:type="dxa"/>
            <w:vAlign w:val="bottom"/>
            <w:tcBorders>
              <w:left w:val="single" w:sz="8" w:color="auto"/>
              <w:right w:val="single" w:sz="8" w:color="auto"/>
            </w:tcBorders>
          </w:tcPr>
          <w:p>
            <w:pPr>
              <w:spacing w:after="0"/>
              <w:rPr>
                <w:sz w:val="19"/>
                <w:szCs w:val="19"/>
                <w:color w:val="auto"/>
              </w:rPr>
            </w:pPr>
          </w:p>
        </w:tc>
        <w:tc>
          <w:tcPr>
            <w:tcW w:w="8140" w:type="dxa"/>
            <w:vAlign w:val="bottom"/>
            <w:tcBorders>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40" w:type="dxa"/>
            <w:vAlign w:val="bottom"/>
            <w:tcBorders>
              <w:left w:val="single" w:sz="8" w:color="auto"/>
              <w:right w:val="single" w:sz="8" w:color="auto"/>
            </w:tcBorders>
          </w:tcPr>
          <w:p>
            <w:pPr>
              <w:spacing w:after="0"/>
              <w:rPr>
                <w:sz w:val="19"/>
                <w:szCs w:val="19"/>
                <w:color w:val="auto"/>
              </w:rPr>
            </w:pPr>
          </w:p>
        </w:tc>
        <w:tc>
          <w:tcPr>
            <w:tcW w:w="81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7"/>
              </w:rPr>
              <w:t>The pro-rata portion of the Award that is retained shall continue to vest in accordance with the</w:t>
            </w:r>
          </w:p>
        </w:tc>
        <w:tc>
          <w:tcPr>
            <w:tcW w:w="0" w:type="dxa"/>
            <w:vAlign w:val="bottom"/>
          </w:tcPr>
          <w:p>
            <w:pPr>
              <w:spacing w:after="0"/>
              <w:rPr>
                <w:sz w:val="1"/>
                <w:szCs w:val="1"/>
                <w:color w:val="auto"/>
              </w:rPr>
            </w:pPr>
          </w:p>
        </w:tc>
      </w:tr>
      <w:tr>
        <w:trPr>
          <w:trHeight w:val="229"/>
        </w:trPr>
        <w:tc>
          <w:tcPr>
            <w:tcW w:w="1940" w:type="dxa"/>
            <w:vAlign w:val="bottom"/>
            <w:tcBorders>
              <w:left w:val="single" w:sz="8" w:color="auto"/>
              <w:right w:val="single" w:sz="8" w:color="auto"/>
            </w:tcBorders>
          </w:tcPr>
          <w:p>
            <w:pPr>
              <w:spacing w:after="0"/>
              <w:rPr>
                <w:sz w:val="19"/>
                <w:szCs w:val="19"/>
                <w:color w:val="auto"/>
              </w:rPr>
            </w:pPr>
          </w:p>
        </w:tc>
        <w:tc>
          <w:tcPr>
            <w:tcW w:w="81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2"/>
              </w:rPr>
              <w:t>existing vesting schedule, with the remaining portion of the Award being forfeited. The retained pro-</w:t>
            </w:r>
          </w:p>
        </w:tc>
        <w:tc>
          <w:tcPr>
            <w:tcW w:w="0" w:type="dxa"/>
            <w:vAlign w:val="bottom"/>
          </w:tcPr>
          <w:p>
            <w:pPr>
              <w:spacing w:after="0"/>
              <w:rPr>
                <w:sz w:val="1"/>
                <w:szCs w:val="1"/>
                <w:color w:val="auto"/>
              </w:rPr>
            </w:pPr>
          </w:p>
        </w:tc>
      </w:tr>
      <w:tr>
        <w:trPr>
          <w:trHeight w:val="250"/>
        </w:trPr>
        <w:tc>
          <w:tcPr>
            <w:tcW w:w="1940" w:type="dxa"/>
            <w:vAlign w:val="bottom"/>
            <w:tcBorders>
              <w:left w:val="single" w:sz="8" w:color="auto"/>
              <w:right w:val="single" w:sz="8" w:color="auto"/>
            </w:tcBorders>
          </w:tcPr>
          <w:p>
            <w:pPr>
              <w:spacing w:after="0"/>
              <w:rPr>
                <w:sz w:val="21"/>
                <w:szCs w:val="21"/>
                <w:color w:val="auto"/>
              </w:rPr>
            </w:pPr>
          </w:p>
        </w:tc>
        <w:tc>
          <w:tcPr>
            <w:tcW w:w="81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rata portion of the Award is determined as follows:</w:t>
            </w:r>
          </w:p>
        </w:tc>
        <w:tc>
          <w:tcPr>
            <w:tcW w:w="0" w:type="dxa"/>
            <w:vAlign w:val="bottom"/>
          </w:tcPr>
          <w:p>
            <w:pPr>
              <w:spacing w:after="0"/>
              <w:rPr>
                <w:sz w:val="1"/>
                <w:szCs w:val="1"/>
                <w:color w:val="auto"/>
              </w:rPr>
            </w:pPr>
          </w:p>
        </w:tc>
      </w:tr>
      <w:tr>
        <w:trPr>
          <w:trHeight w:val="473"/>
        </w:trPr>
        <w:tc>
          <w:tcPr>
            <w:tcW w:w="1940" w:type="dxa"/>
            <w:vAlign w:val="bottom"/>
            <w:tcBorders>
              <w:left w:val="single" w:sz="8" w:color="auto"/>
              <w:right w:val="single" w:sz="8" w:color="auto"/>
            </w:tcBorders>
          </w:tcPr>
          <w:p>
            <w:pPr>
              <w:spacing w:after="0"/>
              <w:rPr>
                <w:sz w:val="24"/>
                <w:szCs w:val="24"/>
                <w:color w:val="auto"/>
              </w:rPr>
            </w:pPr>
          </w:p>
        </w:tc>
        <w:tc>
          <w:tcPr>
            <w:tcW w:w="81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[Insert Pro-Ration Calculation]</w:t>
            </w:r>
          </w:p>
        </w:tc>
        <w:tc>
          <w:tcPr>
            <w:tcW w:w="0" w:type="dxa"/>
            <w:vAlign w:val="bottom"/>
          </w:tcPr>
          <w:p>
            <w:pPr>
              <w:spacing w:after="0"/>
              <w:rPr>
                <w:sz w:val="1"/>
                <w:szCs w:val="1"/>
                <w:color w:val="auto"/>
              </w:rPr>
            </w:pPr>
          </w:p>
        </w:tc>
      </w:tr>
      <w:tr>
        <w:trPr>
          <w:trHeight w:val="452"/>
        </w:trPr>
        <w:tc>
          <w:tcPr>
            <w:tcW w:w="1940" w:type="dxa"/>
            <w:vAlign w:val="bottom"/>
            <w:tcBorders>
              <w:left w:val="single" w:sz="8" w:color="auto"/>
              <w:right w:val="single" w:sz="8" w:color="auto"/>
            </w:tcBorders>
          </w:tcPr>
          <w:p>
            <w:pPr>
              <w:spacing w:after="0"/>
              <w:rPr>
                <w:sz w:val="24"/>
                <w:szCs w:val="24"/>
                <w:color w:val="auto"/>
              </w:rPr>
            </w:pPr>
          </w:p>
        </w:tc>
        <w:tc>
          <w:tcPr>
            <w:tcW w:w="81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If the Settlement Date falls on a non-trading day of the New York Stock Exchange, then the</w:t>
            </w:r>
          </w:p>
        </w:tc>
        <w:tc>
          <w:tcPr>
            <w:tcW w:w="0" w:type="dxa"/>
            <w:vAlign w:val="bottom"/>
          </w:tcPr>
          <w:p>
            <w:pPr>
              <w:spacing w:after="0"/>
              <w:rPr>
                <w:sz w:val="1"/>
                <w:szCs w:val="1"/>
                <w:color w:val="auto"/>
              </w:rPr>
            </w:pPr>
          </w:p>
        </w:tc>
      </w:tr>
      <w:tr>
        <w:trPr>
          <w:trHeight w:val="230"/>
        </w:trPr>
        <w:tc>
          <w:tcPr>
            <w:tcW w:w="1940" w:type="dxa"/>
            <w:vAlign w:val="bottom"/>
            <w:tcBorders>
              <w:left w:val="single" w:sz="8" w:color="auto"/>
              <w:right w:val="single" w:sz="8" w:color="auto"/>
            </w:tcBorders>
          </w:tcPr>
          <w:p>
            <w:pPr>
              <w:spacing w:after="0"/>
              <w:rPr>
                <w:sz w:val="19"/>
                <w:szCs w:val="19"/>
                <w:color w:val="auto"/>
              </w:rPr>
            </w:pPr>
          </w:p>
        </w:tc>
        <w:tc>
          <w:tcPr>
            <w:tcW w:w="81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0"/>
              </w:rPr>
              <w:t>preceding trading day’s closing price will be used to determine the Fair Market Value of the Shares to</w:t>
            </w:r>
          </w:p>
        </w:tc>
        <w:tc>
          <w:tcPr>
            <w:tcW w:w="0" w:type="dxa"/>
            <w:vAlign w:val="bottom"/>
          </w:tcPr>
          <w:p>
            <w:pPr>
              <w:spacing w:after="0"/>
              <w:rPr>
                <w:sz w:val="1"/>
                <w:szCs w:val="1"/>
                <w:color w:val="auto"/>
              </w:rPr>
            </w:pPr>
          </w:p>
        </w:tc>
      </w:tr>
      <w:tr>
        <w:trPr>
          <w:trHeight w:val="250"/>
        </w:trPr>
        <w:tc>
          <w:tcPr>
            <w:tcW w:w="1940" w:type="dxa"/>
            <w:vAlign w:val="bottom"/>
            <w:tcBorders>
              <w:left w:val="single" w:sz="8" w:color="auto"/>
              <w:right w:val="single" w:sz="8" w:color="auto"/>
            </w:tcBorders>
          </w:tcPr>
          <w:p>
            <w:pPr>
              <w:spacing w:after="0"/>
              <w:rPr>
                <w:sz w:val="21"/>
                <w:szCs w:val="21"/>
                <w:color w:val="auto"/>
              </w:rPr>
            </w:pPr>
          </w:p>
        </w:tc>
        <w:tc>
          <w:tcPr>
            <w:tcW w:w="81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be settled (subject to applicable withholding).</w:t>
            </w:r>
          </w:p>
        </w:tc>
        <w:tc>
          <w:tcPr>
            <w:tcW w:w="0" w:type="dxa"/>
            <w:vAlign w:val="bottom"/>
          </w:tcPr>
          <w:p>
            <w:pPr>
              <w:spacing w:after="0"/>
              <w:rPr>
                <w:sz w:val="1"/>
                <w:szCs w:val="1"/>
                <w:color w:val="auto"/>
              </w:rPr>
            </w:pPr>
          </w:p>
        </w:tc>
      </w:tr>
      <w:tr>
        <w:trPr>
          <w:trHeight w:val="509"/>
        </w:trPr>
        <w:tc>
          <w:tcPr>
            <w:tcW w:w="1940" w:type="dxa"/>
            <w:vAlign w:val="bottom"/>
            <w:tcBorders>
              <w:left w:val="single" w:sz="8" w:color="auto"/>
              <w:bottom w:val="single" w:sz="8" w:color="auto"/>
              <w:right w:val="single" w:sz="8" w:color="auto"/>
            </w:tcBorders>
          </w:tcPr>
          <w:p>
            <w:pPr>
              <w:spacing w:after="0"/>
              <w:rPr>
                <w:sz w:val="24"/>
                <w:szCs w:val="24"/>
                <w:color w:val="auto"/>
              </w:rPr>
            </w:pPr>
          </w:p>
        </w:tc>
        <w:tc>
          <w:tcPr>
            <w:tcW w:w="81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1940" w:type="dxa"/>
            <w:vAlign w:val="bottom"/>
            <w:tcBorders>
              <w:left w:val="single" w:sz="8" w:color="auto"/>
              <w:right w:val="single" w:sz="8" w:color="auto"/>
            </w:tcBorders>
          </w:tcPr>
          <w:p>
            <w:pPr>
              <w:ind w:left="40"/>
              <w:spacing w:after="0" w:line="228" w:lineRule="exact"/>
              <w:rPr>
                <w:sz w:val="20"/>
                <w:szCs w:val="20"/>
                <w:color w:val="auto"/>
              </w:rPr>
            </w:pPr>
            <w:r>
              <w:rPr>
                <w:rFonts w:ascii="Arial" w:cs="Arial" w:eastAsia="Arial" w:hAnsi="Arial"/>
                <w:sz w:val="20"/>
                <w:szCs w:val="20"/>
                <w:b w:val="1"/>
                <w:bCs w:val="1"/>
                <w:color w:val="auto"/>
                <w:w w:val="92"/>
              </w:rPr>
              <w:t>Effect of Termination</w:t>
            </w:r>
          </w:p>
        </w:tc>
        <w:tc>
          <w:tcPr>
            <w:tcW w:w="8140" w:type="dxa"/>
            <w:vAlign w:val="bottom"/>
            <w:tcBorders>
              <w:right w:val="single" w:sz="8" w:color="auto"/>
            </w:tcBorders>
          </w:tcPr>
          <w:p>
            <w:pPr>
              <w:ind w:left="20"/>
              <w:spacing w:after="0" w:line="228" w:lineRule="exact"/>
              <w:rPr>
                <w:sz w:val="20"/>
                <w:szCs w:val="20"/>
                <w:color w:val="auto"/>
              </w:rPr>
            </w:pPr>
            <w:r>
              <w:rPr>
                <w:rFonts w:ascii="Arial" w:cs="Arial" w:eastAsia="Arial" w:hAnsi="Arial"/>
                <w:sz w:val="20"/>
                <w:szCs w:val="20"/>
                <w:color w:val="auto"/>
              </w:rPr>
              <w:t>Death – The full Award immediately vests and will be settled as soon as practicable.</w:t>
            </w:r>
          </w:p>
        </w:tc>
        <w:tc>
          <w:tcPr>
            <w:tcW w:w="0" w:type="dxa"/>
            <w:vAlign w:val="bottom"/>
          </w:tcPr>
          <w:p>
            <w:pPr>
              <w:spacing w:after="0"/>
              <w:rPr>
                <w:sz w:val="1"/>
                <w:szCs w:val="1"/>
                <w:color w:val="auto"/>
              </w:rPr>
            </w:pPr>
          </w:p>
        </w:tc>
      </w:tr>
      <w:tr>
        <w:trPr>
          <w:trHeight w:val="256"/>
        </w:trPr>
        <w:tc>
          <w:tcPr>
            <w:tcW w:w="19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w w:val="96"/>
              </w:rPr>
              <w:t>of Service on Award</w:t>
            </w:r>
          </w:p>
        </w:tc>
        <w:tc>
          <w:tcPr>
            <w:tcW w:w="8140" w:type="dxa"/>
            <w:vAlign w:val="bottom"/>
            <w:tcBorders>
              <w:right w:val="single" w:sz="8" w:color="auto"/>
            </w:tcBorders>
            <w:vMerge w:val="restart"/>
          </w:tcPr>
          <w:p>
            <w:pPr>
              <w:ind w:left="20"/>
              <w:spacing w:after="0"/>
              <w:rPr>
                <w:sz w:val="20"/>
                <w:szCs w:val="20"/>
                <w:color w:val="auto"/>
              </w:rPr>
            </w:pPr>
            <w:r>
              <w:rPr>
                <w:rFonts w:ascii="Arial" w:cs="Arial" w:eastAsia="Arial" w:hAnsi="Arial"/>
                <w:sz w:val="20"/>
                <w:szCs w:val="20"/>
                <w:color w:val="auto"/>
              </w:rPr>
              <w:t>Disability – The Award continues to vest and remains subject to all conditions of the grant.</w:t>
            </w:r>
          </w:p>
        </w:tc>
        <w:tc>
          <w:tcPr>
            <w:tcW w:w="0" w:type="dxa"/>
            <w:vAlign w:val="bottom"/>
          </w:tcPr>
          <w:p>
            <w:pPr>
              <w:spacing w:after="0"/>
              <w:rPr>
                <w:sz w:val="1"/>
                <w:szCs w:val="1"/>
                <w:color w:val="auto"/>
              </w:rPr>
            </w:pPr>
          </w:p>
        </w:tc>
      </w:tr>
      <w:tr>
        <w:trPr>
          <w:trHeight w:val="243"/>
        </w:trPr>
        <w:tc>
          <w:tcPr>
            <w:tcW w:w="1940" w:type="dxa"/>
            <w:vAlign w:val="bottom"/>
            <w:tcBorders>
              <w:left w:val="single" w:sz="8" w:color="auto"/>
              <w:right w:val="single" w:sz="8" w:color="auto"/>
            </w:tcBorders>
          </w:tcPr>
          <w:p>
            <w:pPr>
              <w:spacing w:after="0"/>
              <w:rPr>
                <w:sz w:val="21"/>
                <w:szCs w:val="21"/>
                <w:color w:val="auto"/>
              </w:rPr>
            </w:pPr>
          </w:p>
        </w:tc>
        <w:tc>
          <w:tcPr>
            <w:tcW w:w="8140" w:type="dxa"/>
            <w:vAlign w:val="bottom"/>
            <w:tcBorders>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52"/>
        </w:trPr>
        <w:tc>
          <w:tcPr>
            <w:tcW w:w="1940" w:type="dxa"/>
            <w:vAlign w:val="bottom"/>
            <w:tcBorders>
              <w:left w:val="single" w:sz="8" w:color="auto"/>
              <w:right w:val="single" w:sz="8" w:color="auto"/>
            </w:tcBorders>
          </w:tcPr>
          <w:p>
            <w:pPr>
              <w:spacing w:after="0"/>
              <w:rPr>
                <w:sz w:val="24"/>
                <w:szCs w:val="24"/>
                <w:color w:val="auto"/>
              </w:rPr>
            </w:pPr>
          </w:p>
        </w:tc>
        <w:tc>
          <w:tcPr>
            <w:tcW w:w="81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9"/>
              </w:rPr>
              <w:t>All Other Terminations – The Award may be pro-rated, as provided above under Settlement</w:t>
            </w:r>
          </w:p>
        </w:tc>
        <w:tc>
          <w:tcPr>
            <w:tcW w:w="0" w:type="dxa"/>
            <w:vAlign w:val="bottom"/>
          </w:tcPr>
          <w:p>
            <w:pPr>
              <w:spacing w:after="0"/>
              <w:rPr>
                <w:sz w:val="1"/>
                <w:szCs w:val="1"/>
                <w:color w:val="auto"/>
              </w:rPr>
            </w:pPr>
          </w:p>
        </w:tc>
      </w:tr>
      <w:tr>
        <w:trPr>
          <w:trHeight w:val="229"/>
        </w:trPr>
        <w:tc>
          <w:tcPr>
            <w:tcW w:w="1940" w:type="dxa"/>
            <w:vAlign w:val="bottom"/>
            <w:tcBorders>
              <w:left w:val="single" w:sz="8" w:color="auto"/>
              <w:right w:val="single" w:sz="8" w:color="auto"/>
            </w:tcBorders>
          </w:tcPr>
          <w:p>
            <w:pPr>
              <w:spacing w:after="0"/>
              <w:rPr>
                <w:sz w:val="19"/>
                <w:szCs w:val="19"/>
                <w:color w:val="auto"/>
              </w:rPr>
            </w:pPr>
          </w:p>
        </w:tc>
        <w:tc>
          <w:tcPr>
            <w:tcW w:w="81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3"/>
              </w:rPr>
              <w:t>Conditions and Settlement Date. NOTE: This provision shall prevail over any contrary terms in the</w:t>
            </w:r>
          </w:p>
        </w:tc>
        <w:tc>
          <w:tcPr>
            <w:tcW w:w="0" w:type="dxa"/>
            <w:vAlign w:val="bottom"/>
          </w:tcPr>
          <w:p>
            <w:pPr>
              <w:spacing w:after="0"/>
              <w:rPr>
                <w:sz w:val="1"/>
                <w:szCs w:val="1"/>
                <w:color w:val="auto"/>
              </w:rPr>
            </w:pPr>
          </w:p>
        </w:tc>
      </w:tr>
      <w:tr>
        <w:trPr>
          <w:trHeight w:val="250"/>
        </w:trPr>
        <w:tc>
          <w:tcPr>
            <w:tcW w:w="1940" w:type="dxa"/>
            <w:vAlign w:val="bottom"/>
            <w:tcBorders>
              <w:left w:val="single" w:sz="8" w:color="auto"/>
              <w:right w:val="single" w:sz="8" w:color="auto"/>
            </w:tcBorders>
          </w:tcPr>
          <w:p>
            <w:pPr>
              <w:spacing w:after="0"/>
              <w:rPr>
                <w:sz w:val="21"/>
                <w:szCs w:val="21"/>
                <w:color w:val="auto"/>
              </w:rPr>
            </w:pPr>
          </w:p>
        </w:tc>
        <w:tc>
          <w:tcPr>
            <w:tcW w:w="81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Plan.</w:t>
            </w:r>
          </w:p>
        </w:tc>
        <w:tc>
          <w:tcPr>
            <w:tcW w:w="0" w:type="dxa"/>
            <w:vAlign w:val="bottom"/>
          </w:tcPr>
          <w:p>
            <w:pPr>
              <w:spacing w:after="0"/>
              <w:rPr>
                <w:sz w:val="1"/>
                <w:szCs w:val="1"/>
                <w:color w:val="auto"/>
              </w:rPr>
            </w:pPr>
          </w:p>
        </w:tc>
      </w:tr>
      <w:tr>
        <w:trPr>
          <w:trHeight w:val="266"/>
        </w:trPr>
        <w:tc>
          <w:tcPr>
            <w:tcW w:w="1940" w:type="dxa"/>
            <w:vAlign w:val="bottom"/>
            <w:tcBorders>
              <w:left w:val="single" w:sz="8" w:color="auto"/>
              <w:bottom w:val="single" w:sz="8" w:color="auto"/>
              <w:right w:val="single" w:sz="8" w:color="auto"/>
            </w:tcBorders>
          </w:tcPr>
          <w:p>
            <w:pPr>
              <w:spacing w:after="0"/>
              <w:rPr>
                <w:sz w:val="23"/>
                <w:szCs w:val="23"/>
                <w:color w:val="auto"/>
              </w:rPr>
            </w:pPr>
          </w:p>
        </w:tc>
        <w:tc>
          <w:tcPr>
            <w:tcW w:w="814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27" w:right="339" w:bottom="1440" w:gutter="0" w:footer="0" w:header="0"/>
        </w:sectPr>
      </w:pPr>
    </w:p>
    <w:bookmarkStart w:id="58" w:name="page59"/>
    <w:bookmarkEnd w:id="58"/>
    <w:p>
      <w:pPr>
        <w:ind w:left="1920" w:right="119" w:hanging="1916"/>
        <w:spacing w:after="0" w:line="267" w:lineRule="auto"/>
        <w:tabs>
          <w:tab w:leader="none" w:pos="1900" w:val="left"/>
        </w:tabs>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620395</wp:posOffset>
            </wp:positionV>
            <wp:extent cx="6386195" cy="70980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2">
                      <a:extLst>
                        <a:ext uri="{28A0092B-C50C-407E-A947-70E740481C1C}"/>
                      </a:extLst>
                    </a:blip>
                    <a:srcRect/>
                    <a:stretch>
                      <a:fillRect/>
                    </a:stretch>
                  </pic:blipFill>
                  <pic:spPr bwMode="auto">
                    <a:xfrm>
                      <a:off x="0" y="0"/>
                      <a:ext cx="6386195" cy="7098030"/>
                    </a:xfrm>
                    <a:prstGeom prst="rect">
                      <a:avLst/>
                    </a:prstGeom>
                    <a:noFill/>
                  </pic:spPr>
                </pic:pic>
              </a:graphicData>
            </a:graphic>
          </wp:anchor>
        </w:drawing>
        <w:t>Form of Settlement</w:t>
      </w:r>
      <w:r>
        <w:rPr>
          <w:sz w:val="20"/>
          <w:szCs w:val="20"/>
          <w:color w:val="auto"/>
        </w:rPr>
        <w:tab/>
      </w:r>
      <w:r>
        <w:rPr>
          <w:rFonts w:ascii="Arial" w:cs="Arial" w:eastAsia="Arial" w:hAnsi="Arial"/>
          <w:sz w:val="20"/>
          <w:szCs w:val="20"/>
          <w:color w:val="auto"/>
        </w:rPr>
        <w:t>Your Award will be settled in shares of common stock of the Company (“</w:t>
      </w:r>
      <w:r>
        <w:rPr>
          <w:rFonts w:ascii="Arial" w:cs="Arial" w:eastAsia="Arial" w:hAnsi="Arial"/>
          <w:sz w:val="20"/>
          <w:szCs w:val="20"/>
          <w:b w:val="1"/>
          <w:bCs w:val="1"/>
          <w:color w:val="auto"/>
        </w:rPr>
        <w:t>Shares</w:t>
      </w:r>
      <w:r>
        <w:rPr>
          <w:rFonts w:ascii="Arial" w:cs="Arial" w:eastAsia="Arial" w:hAnsi="Arial"/>
          <w:sz w:val="20"/>
          <w:szCs w:val="20"/>
          <w:color w:val="auto"/>
        </w:rPr>
        <w:t>”). Each RSU will be settled for one Share.</w:t>
      </w:r>
    </w:p>
    <w:p>
      <w:pPr>
        <w:spacing w:after="0" w:line="169" w:lineRule="exact"/>
        <w:rPr>
          <w:sz w:val="20"/>
          <w:szCs w:val="20"/>
          <w:color w:val="auto"/>
        </w:rPr>
      </w:pPr>
    </w:p>
    <w:p>
      <w:pPr>
        <w:ind w:left="1920" w:right="119"/>
        <w:spacing w:after="0" w:line="259" w:lineRule="auto"/>
        <w:rPr>
          <w:sz w:val="20"/>
          <w:szCs w:val="20"/>
          <w:color w:val="auto"/>
        </w:rPr>
      </w:pPr>
      <w:r>
        <w:rPr>
          <w:rFonts w:ascii="Arial" w:cs="Arial" w:eastAsia="Arial" w:hAnsi="Arial"/>
          <w:sz w:val="19"/>
          <w:szCs w:val="19"/>
          <w:color w:val="auto"/>
        </w:rPr>
        <w:t>Vested RSUs shall convey the right to receive dividend equivalents on the Shares underlying the RSU Award with respect to any dividends declared during the period from Vesting Commencement Date to Settlement Date. Accumulated dividend equivalents shall vest and be paid in cash on the Settlement Date, subject to the satisfaction of the vesting and other conditions of the underlying RSU Award. No dividend equivalents shall be provided with respect to any Shares subject to RSUs that do not vest or settle pursuant to their terms.</w:t>
      </w:r>
    </w:p>
    <w:p>
      <w:pPr>
        <w:spacing w:after="0" w:line="178" w:lineRule="exact"/>
        <w:rPr>
          <w:sz w:val="20"/>
          <w:szCs w:val="20"/>
          <w:color w:val="auto"/>
        </w:rPr>
      </w:pPr>
    </w:p>
    <w:p>
      <w:pPr>
        <w:ind w:left="1920" w:right="339"/>
        <w:spacing w:after="0" w:line="256" w:lineRule="auto"/>
        <w:rPr>
          <w:sz w:val="20"/>
          <w:szCs w:val="20"/>
          <w:color w:val="auto"/>
        </w:rPr>
      </w:pPr>
      <w:r>
        <w:rPr>
          <w:rFonts w:ascii="Arial" w:cs="Arial" w:eastAsia="Arial" w:hAnsi="Arial"/>
          <w:sz w:val="19"/>
          <w:szCs w:val="19"/>
          <w:color w:val="auto"/>
        </w:rPr>
        <w:t xml:space="preserve">Notwithstanding the forgoing and the terms of the Plan, the Company reserves the right to further modify the form of settlement of your Award. For example, </w:t>
      </w:r>
      <w:r>
        <w:rPr>
          <w:rFonts w:ascii="Arial" w:cs="Arial" w:eastAsia="Arial" w:hAnsi="Arial"/>
          <w:sz w:val="19"/>
          <w:szCs w:val="19"/>
          <w:b w:val="1"/>
          <w:bCs w:val="1"/>
          <w:color w:val="auto"/>
        </w:rPr>
        <w:t>if you are a local national of the</w:t>
      </w:r>
      <w:r>
        <w:rPr>
          <w:rFonts w:ascii="Arial" w:cs="Arial" w:eastAsia="Arial" w:hAnsi="Arial"/>
          <w:sz w:val="19"/>
          <w:szCs w:val="19"/>
          <w:color w:val="auto"/>
        </w:rPr>
        <w:t xml:space="preserve"> </w:t>
      </w:r>
      <w:r>
        <w:rPr>
          <w:rFonts w:ascii="Arial" w:cs="Arial" w:eastAsia="Arial" w:hAnsi="Arial"/>
          <w:sz w:val="19"/>
          <w:szCs w:val="19"/>
          <w:b w:val="1"/>
          <w:bCs w:val="1"/>
          <w:color w:val="auto"/>
        </w:rPr>
        <w:t>People’s Republic of China (“PRC”)</w:t>
      </w:r>
      <w:r>
        <w:rPr>
          <w:rFonts w:ascii="Arial" w:cs="Arial" w:eastAsia="Arial" w:hAnsi="Arial"/>
          <w:sz w:val="19"/>
          <w:szCs w:val="19"/>
          <w:color w:val="auto"/>
        </w:rPr>
        <w:t>, your RSUs will only be settled by a cash payment to you</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equal to the Fair Market Value of the Shares that would otherwise be settled (subject to applicable withholding). </w:t>
      </w:r>
      <w:r>
        <w:rPr>
          <w:rFonts w:ascii="Arial" w:cs="Arial" w:eastAsia="Arial" w:hAnsi="Arial"/>
          <w:sz w:val="19"/>
          <w:szCs w:val="19"/>
          <w:b w:val="1"/>
          <w:bCs w:val="1"/>
          <w:color w:val="auto"/>
        </w:rPr>
        <w:t>If your work location at the time of any Settlement Date noted above is in India</w:t>
      </w:r>
      <w:r>
        <w:rPr>
          <w:rFonts w:ascii="Arial" w:cs="Arial" w:eastAsia="Arial" w:hAnsi="Arial"/>
          <w:sz w:val="19"/>
          <w:szCs w:val="19"/>
          <w:color w:val="auto"/>
        </w:rPr>
        <w:t>, your RSUs will also only be settled by a cash payment to you equal to the Fair Market Value of the Shares that would otherwise be settled (subject to applicable withholding). Your RSUs will not be settled by the issue of any Shares unless your work location changes to a jurisdiction that permits settlement in Shares.</w:t>
      </w:r>
    </w:p>
    <w:p>
      <w:pPr>
        <w:spacing w:after="0" w:line="184" w:lineRule="exact"/>
        <w:rPr>
          <w:sz w:val="20"/>
          <w:szCs w:val="20"/>
          <w:color w:val="auto"/>
        </w:rPr>
      </w:pPr>
    </w:p>
    <w:p>
      <w:pPr>
        <w:ind w:left="1920" w:right="119"/>
        <w:spacing w:after="0" w:line="260" w:lineRule="auto"/>
        <w:rPr>
          <w:sz w:val="20"/>
          <w:szCs w:val="20"/>
          <w:color w:val="auto"/>
        </w:rPr>
      </w:pPr>
      <w:r>
        <w:rPr>
          <w:rFonts w:ascii="Arial" w:cs="Arial" w:eastAsia="Arial" w:hAnsi="Arial"/>
          <w:sz w:val="20"/>
          <w:szCs w:val="20"/>
          <w:color w:val="auto"/>
        </w:rPr>
        <w:t>As required by law, the Company will withhold any applicable federal, state, local or foreign tax. You are responsible for any taxes due upon vesting and/or settlement.</w:t>
      </w:r>
    </w:p>
    <w:p>
      <w:pPr>
        <w:spacing w:after="0" w:line="238" w:lineRule="exact"/>
        <w:rPr>
          <w:sz w:val="20"/>
          <w:szCs w:val="20"/>
          <w:color w:val="auto"/>
        </w:rPr>
      </w:pPr>
    </w:p>
    <w:p>
      <w:pPr>
        <w:ind w:left="1920" w:right="859" w:hanging="1916"/>
        <w:spacing w:after="0" w:line="267" w:lineRule="auto"/>
        <w:rPr>
          <w:sz w:val="20"/>
          <w:szCs w:val="20"/>
          <w:color w:val="auto"/>
        </w:rPr>
      </w:pPr>
      <w:r>
        <w:rPr>
          <w:rFonts w:ascii="Arial" w:cs="Arial" w:eastAsia="Arial" w:hAnsi="Arial"/>
          <w:sz w:val="20"/>
          <w:szCs w:val="20"/>
          <w:b w:val="1"/>
          <w:bCs w:val="1"/>
          <w:color w:val="auto"/>
        </w:rPr>
        <w:t xml:space="preserve">Conditions Precedent </w:t>
      </w:r>
      <w:r>
        <w:rPr>
          <w:rFonts w:ascii="Arial" w:cs="Arial" w:eastAsia="Arial" w:hAnsi="Arial"/>
          <w:sz w:val="20"/>
          <w:szCs w:val="20"/>
          <w:color w:val="auto"/>
        </w:rPr>
        <w:t>Pursuant and subject to Section 11 of the Plan, as a condition precedent to the vesting and/or</w:t>
      </w:r>
      <w:r>
        <w:rPr>
          <w:rFonts w:ascii="Arial" w:cs="Arial" w:eastAsia="Arial" w:hAnsi="Arial"/>
          <w:sz w:val="20"/>
          <w:szCs w:val="20"/>
          <w:b w:val="1"/>
          <w:bCs w:val="1"/>
          <w:color w:val="auto"/>
        </w:rPr>
        <w:t xml:space="preserve"> </w:t>
      </w:r>
      <w:r>
        <w:rPr>
          <w:rFonts w:ascii="Arial" w:cs="Arial" w:eastAsia="Arial" w:hAnsi="Arial"/>
          <w:sz w:val="20"/>
          <w:szCs w:val="20"/>
          <w:color w:val="auto"/>
        </w:rPr>
        <w:t>settlement of any portion of your Award, you shall:</w:t>
      </w:r>
    </w:p>
    <w:p>
      <w:pPr>
        <w:spacing w:after="0" w:line="169" w:lineRule="exact"/>
        <w:rPr>
          <w:sz w:val="20"/>
          <w:szCs w:val="20"/>
          <w:color w:val="auto"/>
        </w:rPr>
      </w:pPr>
    </w:p>
    <w:p>
      <w:pPr>
        <w:jc w:val="both"/>
        <w:ind w:left="2560" w:right="279" w:hanging="320"/>
        <w:spacing w:after="0" w:line="245" w:lineRule="auto"/>
        <w:tabs>
          <w:tab w:leader="none" w:pos="2548" w:val="left"/>
        </w:tabs>
        <w:numPr>
          <w:ilvl w:val="0"/>
          <w:numId w:val="35"/>
        </w:numPr>
        <w:rPr>
          <w:rFonts w:ascii="Arial" w:cs="Arial" w:eastAsia="Arial" w:hAnsi="Arial"/>
          <w:sz w:val="20"/>
          <w:szCs w:val="20"/>
          <w:color w:val="auto"/>
        </w:rPr>
      </w:pPr>
      <w:r>
        <w:rPr>
          <w:rFonts w:ascii="Arial" w:cs="Arial" w:eastAsia="Arial" w:hAnsi="Arial"/>
          <w:sz w:val="20"/>
          <w:szCs w:val="20"/>
          <w:color w:val="auto"/>
        </w:rPr>
        <w:t>Refrain from engaging in any activity which will cause damage to the Company or is in any manner inimical or in any way contrary to the best interests of the Company, as determined pursuant to the Plan;</w:t>
      </w:r>
    </w:p>
    <w:p>
      <w:pPr>
        <w:ind w:left="2560" w:right="139" w:hanging="320"/>
        <w:spacing w:after="0" w:line="239" w:lineRule="auto"/>
        <w:tabs>
          <w:tab w:leader="none" w:pos="2548" w:val="left"/>
        </w:tabs>
        <w:numPr>
          <w:ilvl w:val="0"/>
          <w:numId w:val="35"/>
        </w:numPr>
        <w:rPr>
          <w:rFonts w:ascii="Arial" w:cs="Arial" w:eastAsia="Arial" w:hAnsi="Arial"/>
          <w:sz w:val="20"/>
          <w:szCs w:val="20"/>
          <w:color w:val="auto"/>
        </w:rPr>
      </w:pPr>
      <w:r>
        <w:rPr>
          <w:rFonts w:ascii="Arial" w:cs="Arial" w:eastAsia="Arial" w:hAnsi="Arial"/>
          <w:sz w:val="20"/>
          <w:szCs w:val="20"/>
          <w:color w:val="auto"/>
        </w:rPr>
        <w:t>Not for a period of 12 months following any voluntary termination of employment or service, directly or indirectly, knowingly induce any employee of the Company or any Subsidiary to leave their employment for participation, directly or indirectly, with any existing or future employer or business venture associated with you; and</w:t>
      </w:r>
    </w:p>
    <w:p>
      <w:pPr>
        <w:spacing w:after="0" w:line="1" w:lineRule="exact"/>
        <w:rPr>
          <w:rFonts w:ascii="Arial" w:cs="Arial" w:eastAsia="Arial" w:hAnsi="Arial"/>
          <w:sz w:val="20"/>
          <w:szCs w:val="20"/>
          <w:color w:val="auto"/>
        </w:rPr>
      </w:pPr>
    </w:p>
    <w:p>
      <w:pPr>
        <w:ind w:left="2560" w:right="459" w:hanging="320"/>
        <w:spacing w:after="0" w:line="244" w:lineRule="auto"/>
        <w:tabs>
          <w:tab w:leader="none" w:pos="2548" w:val="left"/>
        </w:tabs>
        <w:numPr>
          <w:ilvl w:val="0"/>
          <w:numId w:val="35"/>
        </w:numPr>
        <w:rPr>
          <w:rFonts w:ascii="Arial" w:cs="Arial" w:eastAsia="Arial" w:hAnsi="Arial"/>
          <w:sz w:val="20"/>
          <w:szCs w:val="20"/>
          <w:color w:val="auto"/>
        </w:rPr>
      </w:pPr>
      <w:r>
        <w:rPr>
          <w:rFonts w:ascii="Arial" w:cs="Arial" w:eastAsia="Arial" w:hAnsi="Arial"/>
          <w:sz w:val="20"/>
          <w:szCs w:val="20"/>
          <w:color w:val="auto"/>
        </w:rPr>
        <w:t>Furnish to the Company such information with respect to the satisfaction of the foregoing conditions precedent as the Committee may reasonably request.</w:t>
      </w:r>
    </w:p>
    <w:p>
      <w:pPr>
        <w:spacing w:after="0" w:line="205" w:lineRule="exact"/>
        <w:rPr>
          <w:sz w:val="20"/>
          <w:szCs w:val="20"/>
          <w:color w:val="auto"/>
        </w:rPr>
      </w:pPr>
    </w:p>
    <w:p>
      <w:pPr>
        <w:ind w:left="1920" w:right="99"/>
        <w:spacing w:after="0" w:line="260" w:lineRule="auto"/>
        <w:rPr>
          <w:sz w:val="20"/>
          <w:szCs w:val="20"/>
          <w:color w:val="auto"/>
        </w:rPr>
      </w:pPr>
      <w:r>
        <w:rPr>
          <w:rFonts w:ascii="Arial" w:cs="Arial" w:eastAsia="Arial" w:hAnsi="Arial"/>
          <w:sz w:val="20"/>
          <w:szCs w:val="20"/>
          <w:color w:val="auto"/>
        </w:rPr>
        <w:t>In addition, the Committee may require you to enter into such agreements as the Committee considers appropriate.</w:t>
      </w:r>
    </w:p>
    <w:p>
      <w:pPr>
        <w:spacing w:after="0" w:line="204" w:lineRule="exact"/>
        <w:rPr>
          <w:sz w:val="20"/>
          <w:szCs w:val="20"/>
          <w:color w:val="auto"/>
        </w:rPr>
      </w:pPr>
    </w:p>
    <w:p>
      <w:pPr>
        <w:ind w:left="1920" w:right="139"/>
        <w:spacing w:after="0" w:line="246" w:lineRule="auto"/>
        <w:rPr>
          <w:sz w:val="20"/>
          <w:szCs w:val="20"/>
          <w:color w:val="auto"/>
        </w:rPr>
      </w:pPr>
      <w:r>
        <w:rPr>
          <w:rFonts w:ascii="Arial" w:cs="Arial" w:eastAsia="Arial" w:hAnsi="Arial"/>
          <w:sz w:val="20"/>
          <w:szCs w:val="20"/>
          <w:color w:val="auto"/>
        </w:rPr>
        <w:t>Your failure to satisfy any of the foregoing conditions precedent will result in the immediate cancellation of the unvested portion of your Award and any vested portion of your Award that has not yet been settled, and you will not be entitled to receive any consideration with respect to such cancellation.</w:t>
      </w:r>
    </w:p>
    <w:p>
      <w:pPr>
        <w:spacing w:after="0" w:line="280" w:lineRule="exact"/>
        <w:rPr>
          <w:sz w:val="20"/>
          <w:szCs w:val="20"/>
          <w:color w:val="auto"/>
        </w:rPr>
      </w:pPr>
    </w:p>
    <w:p>
      <w:pPr>
        <w:spacing w:after="0"/>
        <w:tabs>
          <w:tab w:leader="none" w:pos="1900" w:val="left"/>
        </w:tabs>
        <w:rPr>
          <w:sz w:val="20"/>
          <w:szCs w:val="20"/>
          <w:color w:val="auto"/>
        </w:rPr>
      </w:pPr>
      <w:r>
        <w:rPr>
          <w:rFonts w:ascii="Arial" w:cs="Arial" w:eastAsia="Arial" w:hAnsi="Arial"/>
          <w:sz w:val="20"/>
          <w:szCs w:val="20"/>
          <w:b w:val="1"/>
          <w:bCs w:val="1"/>
          <w:color w:val="auto"/>
        </w:rPr>
        <w:t>Other Terms and</w:t>
      </w:r>
      <w:r>
        <w:rPr>
          <w:sz w:val="20"/>
          <w:szCs w:val="20"/>
          <w:color w:val="auto"/>
        </w:rPr>
        <w:tab/>
      </w:r>
      <w:r>
        <w:rPr>
          <w:rFonts w:ascii="Arial" w:cs="Arial" w:eastAsia="Arial" w:hAnsi="Arial"/>
          <w:sz w:val="18"/>
          <w:szCs w:val="18"/>
          <w:color w:val="auto"/>
        </w:rPr>
        <w:t>Refer to the Plan for additional terms and conditions applicable to your Award.</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Conditions of the</w:t>
      </w:r>
    </w:p>
    <w:p>
      <w:pPr>
        <w:spacing w:after="0"/>
        <w:rPr>
          <w:sz w:val="20"/>
          <w:szCs w:val="20"/>
          <w:color w:val="auto"/>
        </w:rPr>
      </w:pPr>
      <w:r>
        <w:rPr>
          <w:rFonts w:ascii="Arial" w:cs="Arial" w:eastAsia="Arial" w:hAnsi="Arial"/>
          <w:sz w:val="20"/>
          <w:szCs w:val="20"/>
          <w:b w:val="1"/>
          <w:bCs w:val="1"/>
          <w:color w:val="auto"/>
        </w:rPr>
        <w:t>Award</w:t>
      </w:r>
    </w:p>
    <w:p>
      <w:pPr>
        <w:sectPr>
          <w:pgSz w:w="11900" w:h="16838" w:orient="portrait"/>
          <w:cols w:equalWidth="0" w:num="1">
            <w:col w:w="10099"/>
          </w:cols>
          <w:pgMar w:left="360" w:top="994" w:right="1440" w:bottom="1440" w:gutter="0" w:footer="0" w:header="0"/>
        </w:sectPr>
      </w:pPr>
    </w:p>
    <w:bookmarkStart w:id="59" w:name="page60"/>
    <w:bookmarkEnd w:id="59"/>
    <w:p>
      <w:pPr>
        <w:spacing w:after="0"/>
        <w:rPr>
          <w:sz w:val="20"/>
          <w:szCs w:val="20"/>
          <w:color w:val="auto"/>
        </w:rPr>
      </w:pPr>
      <w:r>
        <w:rPr>
          <w:rFonts w:ascii="Arial" w:cs="Arial" w:eastAsia="Arial" w:hAnsi="Arial"/>
          <w:sz w:val="20"/>
          <w:szCs w:val="20"/>
          <w:b w:val="1"/>
          <w:bCs w:val="1"/>
          <w:color w:val="auto"/>
        </w:rPr>
        <w:t>Additional Acknowledgments</w:t>
      </w:r>
    </w:p>
    <w:p>
      <w:pPr>
        <w:spacing w:after="0" w:line="249" w:lineRule="exact"/>
        <w:rPr>
          <w:sz w:val="20"/>
          <w:szCs w:val="20"/>
          <w:color w:val="auto"/>
        </w:rPr>
      </w:pPr>
    </w:p>
    <w:p>
      <w:pPr>
        <w:jc w:val="both"/>
        <w:ind w:right="360"/>
        <w:spacing w:after="0" w:line="250" w:lineRule="auto"/>
        <w:rPr>
          <w:sz w:val="20"/>
          <w:szCs w:val="20"/>
          <w:color w:val="auto"/>
        </w:rPr>
      </w:pPr>
      <w:r>
        <w:rPr>
          <w:rFonts w:ascii="Arial" w:cs="Arial" w:eastAsia="Arial" w:hAnsi="Arial"/>
          <w:sz w:val="20"/>
          <w:szCs w:val="20"/>
          <w:color w:val="auto"/>
        </w:rPr>
        <w:t>The following additional terms apply to your Award, your participation in the Plan and the grant of RSUs (and issuance of any Shares) to you. By accepting the Award you irrevocably agree and acknowledge in favor of the Company (on its own behalf and as an agent for the Subsidiaries) that:</w:t>
      </w:r>
    </w:p>
    <w:p>
      <w:pPr>
        <w:spacing w:after="0" w:line="213" w:lineRule="exact"/>
        <w:rPr>
          <w:sz w:val="20"/>
          <w:szCs w:val="20"/>
          <w:color w:val="auto"/>
        </w:rPr>
      </w:pPr>
    </w:p>
    <w:p>
      <w:pPr>
        <w:ind w:left="340" w:right="120" w:hanging="332"/>
        <w:spacing w:after="0" w:line="250" w:lineRule="auto"/>
        <w:tabs>
          <w:tab w:leader="none" w:pos="332" w:val="left"/>
        </w:tabs>
        <w:numPr>
          <w:ilvl w:val="0"/>
          <w:numId w:val="36"/>
        </w:numPr>
        <w:rPr>
          <w:rFonts w:ascii="Arial" w:cs="Arial" w:eastAsia="Arial" w:hAnsi="Arial"/>
          <w:sz w:val="20"/>
          <w:szCs w:val="20"/>
          <w:color w:val="auto"/>
        </w:rPr>
      </w:pPr>
      <w:r>
        <w:rPr>
          <w:rFonts w:ascii="Arial" w:cs="Arial" w:eastAsia="Arial" w:hAnsi="Arial"/>
          <w:sz w:val="20"/>
          <w:szCs w:val="20"/>
          <w:color w:val="auto"/>
        </w:rPr>
        <w:t>To enable the Company to issue you this Award, and administer the Plan and any Award, you consent to the holding and processing of personal information provided by you to the Company or any Subsidiary, trustee or third party service provider, for all purposes relating to the operation of the Plan in accordance with Section 20 of the Plan.</w:t>
      </w:r>
    </w:p>
    <w:p>
      <w:pPr>
        <w:spacing w:after="0" w:line="212" w:lineRule="exact"/>
        <w:rPr>
          <w:rFonts w:ascii="Arial" w:cs="Arial" w:eastAsia="Arial" w:hAnsi="Arial"/>
          <w:sz w:val="20"/>
          <w:szCs w:val="20"/>
          <w:color w:val="auto"/>
        </w:rPr>
      </w:pPr>
    </w:p>
    <w:p>
      <w:pPr>
        <w:ind w:left="340" w:right="40" w:hanging="332"/>
        <w:spacing w:after="0" w:line="244" w:lineRule="auto"/>
        <w:tabs>
          <w:tab w:leader="none" w:pos="329" w:val="left"/>
        </w:tabs>
        <w:numPr>
          <w:ilvl w:val="0"/>
          <w:numId w:val="36"/>
        </w:numPr>
        <w:rPr>
          <w:rFonts w:ascii="Arial" w:cs="Arial" w:eastAsia="Arial" w:hAnsi="Arial"/>
          <w:sz w:val="20"/>
          <w:szCs w:val="20"/>
          <w:color w:val="auto"/>
        </w:rPr>
      </w:pPr>
      <w:r>
        <w:rPr>
          <w:rFonts w:ascii="Arial" w:cs="Arial" w:eastAsia="Arial" w:hAnsi="Arial"/>
          <w:sz w:val="20"/>
          <w:szCs w:val="20"/>
          <w:color w:val="auto"/>
        </w:rPr>
        <w:t>You will not have any claim to be granted any Award under the Plan, and there is no obligation for uniformity of treatment of employees, consultants, advisors, Participants or holders or Beneficiaries of Awards under the Plan. The terms and conditions of Awards need not be the same with respect to each recipient. Any Award granted under the Plan shall be a single, voluntary grant and does not constitute a promise, a contractual right or other right to receive future grants. The Committee maintains the right to make available future grants under the Plan.</w:t>
      </w:r>
    </w:p>
    <w:p>
      <w:pPr>
        <w:spacing w:after="0" w:line="221" w:lineRule="exact"/>
        <w:rPr>
          <w:rFonts w:ascii="Arial" w:cs="Arial" w:eastAsia="Arial" w:hAnsi="Arial"/>
          <w:sz w:val="20"/>
          <w:szCs w:val="20"/>
          <w:color w:val="auto"/>
        </w:rPr>
      </w:pPr>
    </w:p>
    <w:p>
      <w:pPr>
        <w:ind w:left="340" w:right="60" w:hanging="332"/>
        <w:spacing w:after="0" w:line="244" w:lineRule="auto"/>
        <w:tabs>
          <w:tab w:leader="none" w:pos="332" w:val="left"/>
        </w:tabs>
        <w:numPr>
          <w:ilvl w:val="0"/>
          <w:numId w:val="36"/>
        </w:numPr>
        <w:rPr>
          <w:rFonts w:ascii="Arial" w:cs="Arial" w:eastAsia="Arial" w:hAnsi="Arial"/>
          <w:sz w:val="20"/>
          <w:szCs w:val="20"/>
          <w:color w:val="auto"/>
        </w:rPr>
      </w:pPr>
      <w:r>
        <w:rPr>
          <w:rFonts w:ascii="Arial" w:cs="Arial" w:eastAsia="Arial" w:hAnsi="Arial"/>
          <w:sz w:val="20"/>
          <w:szCs w:val="20"/>
          <w:color w:val="auto"/>
        </w:rPr>
        <w:t>The grant of this Award does not give you the right to be retained in the employ of, or to continue to provide services to, the Company or any Subsidiary. The Company or the applicable Subsidiary may at any time dismiss you, free from any liability, or any claim under the Plan, unless otherwise expressly provided in the Plan or in any other agreement binding you and the Company or the applicable Subsidiary. Your receipt of this Award under the Plan is not intended to confer any rights on you except as set forth in this Award Document or in the Plan.</w:t>
      </w:r>
    </w:p>
    <w:p>
      <w:pPr>
        <w:spacing w:after="0" w:line="221" w:lineRule="exact"/>
        <w:rPr>
          <w:rFonts w:ascii="Arial" w:cs="Arial" w:eastAsia="Arial" w:hAnsi="Arial"/>
          <w:sz w:val="20"/>
          <w:szCs w:val="20"/>
          <w:color w:val="auto"/>
        </w:rPr>
      </w:pPr>
    </w:p>
    <w:p>
      <w:pPr>
        <w:ind w:left="340" w:right="20" w:hanging="332"/>
        <w:spacing w:after="0" w:line="244" w:lineRule="auto"/>
        <w:tabs>
          <w:tab w:leader="none" w:pos="329" w:val="left"/>
        </w:tabs>
        <w:numPr>
          <w:ilvl w:val="0"/>
          <w:numId w:val="36"/>
        </w:numPr>
        <w:rPr>
          <w:rFonts w:ascii="Arial" w:cs="Arial" w:eastAsia="Arial" w:hAnsi="Arial"/>
          <w:sz w:val="20"/>
          <w:szCs w:val="20"/>
          <w:color w:val="auto"/>
        </w:rPr>
      </w:pPr>
      <w:r>
        <w:rPr>
          <w:rFonts w:ascii="Arial" w:cs="Arial" w:eastAsia="Arial" w:hAnsi="Arial"/>
          <w:sz w:val="20"/>
          <w:szCs w:val="20"/>
          <w:color w:val="auto"/>
        </w:rPr>
        <w:t>Unless otherwise required by law, this Award under, and your participation in, the Plan does not form part of your remuneration for the purposes of determining payments in lieu of notice of termination of your employment of office, severance payments, leave entitlements, or any other compensation payable to you and no Award, payment, or other right or benefit, under the Plan will be taken into account in determining any benefits under any pension, retirement, savings, profit-sharing, group insurance, welfare or benefit plan of the Company or any of the Subsidiaries.</w:t>
      </w:r>
    </w:p>
    <w:p>
      <w:pPr>
        <w:spacing w:after="0" w:line="221" w:lineRule="exact"/>
        <w:rPr>
          <w:rFonts w:ascii="Arial" w:cs="Arial" w:eastAsia="Arial" w:hAnsi="Arial"/>
          <w:sz w:val="20"/>
          <w:szCs w:val="20"/>
          <w:color w:val="auto"/>
        </w:rPr>
      </w:pPr>
    </w:p>
    <w:p>
      <w:pPr>
        <w:ind w:left="340" w:right="360" w:hanging="332"/>
        <w:spacing w:after="0" w:line="260" w:lineRule="auto"/>
        <w:tabs>
          <w:tab w:leader="none" w:pos="332" w:val="left"/>
        </w:tabs>
        <w:numPr>
          <w:ilvl w:val="0"/>
          <w:numId w:val="36"/>
        </w:numPr>
        <w:rPr>
          <w:rFonts w:ascii="Arial" w:cs="Arial" w:eastAsia="Arial" w:hAnsi="Arial"/>
          <w:sz w:val="20"/>
          <w:szCs w:val="20"/>
          <w:color w:val="auto"/>
        </w:rPr>
      </w:pPr>
      <w:r>
        <w:rPr>
          <w:rFonts w:ascii="Arial" w:cs="Arial" w:eastAsia="Arial" w:hAnsi="Arial"/>
          <w:sz w:val="20"/>
          <w:szCs w:val="20"/>
          <w:color w:val="auto"/>
        </w:rPr>
        <w:t>Any portion of this Award that becomes non-forfeitable will be subject to the U.S. Federal Insurance Contributions Act (“FICA”) tax before settlement.</w:t>
      </w:r>
    </w:p>
    <w:p>
      <w:pPr>
        <w:spacing w:after="0" w:line="203" w:lineRule="exact"/>
        <w:rPr>
          <w:rFonts w:ascii="Arial" w:cs="Arial" w:eastAsia="Arial" w:hAnsi="Arial"/>
          <w:sz w:val="20"/>
          <w:szCs w:val="20"/>
          <w:color w:val="auto"/>
        </w:rPr>
      </w:pPr>
    </w:p>
    <w:p>
      <w:pPr>
        <w:jc w:val="both"/>
        <w:ind w:left="340" w:right="280" w:hanging="332"/>
        <w:spacing w:after="0" w:line="250" w:lineRule="auto"/>
        <w:tabs>
          <w:tab w:leader="none" w:pos="337" w:val="left"/>
        </w:tabs>
        <w:numPr>
          <w:ilvl w:val="0"/>
          <w:numId w:val="36"/>
        </w:numPr>
        <w:rPr>
          <w:rFonts w:ascii="Arial" w:cs="Arial" w:eastAsia="Arial" w:hAnsi="Arial"/>
          <w:sz w:val="20"/>
          <w:szCs w:val="20"/>
          <w:color w:val="auto"/>
        </w:rPr>
      </w:pPr>
      <w:r>
        <w:rPr>
          <w:rFonts w:ascii="Arial" w:cs="Arial" w:eastAsia="Arial" w:hAnsi="Arial"/>
          <w:sz w:val="20"/>
          <w:szCs w:val="20"/>
          <w:color w:val="auto"/>
        </w:rPr>
        <w:t>The Company and the Subsidiaries, their respective affiliates, officers and employees make no representation concerning the financial benefit or taxation consequences of any Award or participation in the Plan and you are strongly advised to seek your own professional legal and taxation advice concerning the impact of the Plan and your Award.</w:t>
      </w:r>
    </w:p>
    <w:p>
      <w:pPr>
        <w:spacing w:after="0" w:line="212" w:lineRule="exact"/>
        <w:rPr>
          <w:rFonts w:ascii="Arial" w:cs="Arial" w:eastAsia="Arial" w:hAnsi="Arial"/>
          <w:sz w:val="20"/>
          <w:szCs w:val="20"/>
          <w:color w:val="auto"/>
        </w:rPr>
      </w:pPr>
    </w:p>
    <w:p>
      <w:pPr>
        <w:ind w:left="340" w:right="120" w:hanging="332"/>
        <w:spacing w:after="0" w:line="260" w:lineRule="auto"/>
        <w:tabs>
          <w:tab w:leader="none" w:pos="329" w:val="left"/>
        </w:tabs>
        <w:numPr>
          <w:ilvl w:val="0"/>
          <w:numId w:val="36"/>
        </w:numPr>
        <w:rPr>
          <w:rFonts w:ascii="Arial" w:cs="Arial" w:eastAsia="Arial" w:hAnsi="Arial"/>
          <w:sz w:val="20"/>
          <w:szCs w:val="20"/>
          <w:color w:val="auto"/>
        </w:rPr>
      </w:pPr>
      <w:r>
        <w:rPr>
          <w:rFonts w:ascii="Arial" w:cs="Arial" w:eastAsia="Arial" w:hAnsi="Arial"/>
          <w:sz w:val="20"/>
          <w:szCs w:val="20"/>
          <w:color w:val="auto"/>
        </w:rPr>
        <w:t>The future value of the underlying Shares is unknown and cannot be predicted with certainty and the Shares may increase or decrease in value.</w:t>
      </w:r>
    </w:p>
    <w:p>
      <w:pPr>
        <w:spacing w:after="0" w:line="203" w:lineRule="exact"/>
        <w:rPr>
          <w:rFonts w:ascii="Arial" w:cs="Arial" w:eastAsia="Arial" w:hAnsi="Arial"/>
          <w:sz w:val="20"/>
          <w:szCs w:val="20"/>
          <w:color w:val="auto"/>
        </w:rPr>
      </w:pPr>
    </w:p>
    <w:p>
      <w:pPr>
        <w:ind w:left="340" w:hanging="332"/>
        <w:spacing w:after="0" w:line="282" w:lineRule="auto"/>
        <w:tabs>
          <w:tab w:leader="none" w:pos="329" w:val="left"/>
        </w:tabs>
        <w:numPr>
          <w:ilvl w:val="0"/>
          <w:numId w:val="36"/>
        </w:numPr>
        <w:rPr>
          <w:rFonts w:ascii="Arial" w:cs="Arial" w:eastAsia="Arial" w:hAnsi="Arial"/>
          <w:sz w:val="18"/>
          <w:szCs w:val="18"/>
          <w:color w:val="auto"/>
        </w:rPr>
      </w:pPr>
      <w:r>
        <w:rPr>
          <w:rFonts w:ascii="Arial" w:cs="Arial" w:eastAsia="Arial" w:hAnsi="Arial"/>
          <w:sz w:val="18"/>
          <w:szCs w:val="18"/>
          <w:color w:val="auto"/>
        </w:rPr>
        <w:t>You will have no claim or entitlement to compensation or damages arising from the forfeiture of the RSUs, the termination of the Plan, or the diminution in value of the RSUs or Shares, including, without limitation, as a result of the termination of your employment by the Company or any Subsidiary for any reason whatsoever and whether or not in breach of contract. You irrevocably release the Company, its Subsidiaries, Affiliates, the Plan Administrator and their affiliates from any such claim that may arise.</w:t>
      </w:r>
    </w:p>
    <w:p>
      <w:pPr>
        <w:spacing w:after="0" w:line="188" w:lineRule="exact"/>
        <w:rPr>
          <w:rFonts w:ascii="Arial" w:cs="Arial" w:eastAsia="Arial" w:hAnsi="Arial"/>
          <w:sz w:val="18"/>
          <w:szCs w:val="18"/>
          <w:color w:val="auto"/>
        </w:rPr>
      </w:pPr>
    </w:p>
    <w:p>
      <w:pPr>
        <w:ind w:left="340" w:hanging="332"/>
        <w:spacing w:after="0" w:line="260" w:lineRule="auto"/>
        <w:tabs>
          <w:tab w:leader="none" w:pos="339" w:val="left"/>
        </w:tabs>
        <w:numPr>
          <w:ilvl w:val="0"/>
          <w:numId w:val="36"/>
        </w:numPr>
        <w:rPr>
          <w:rFonts w:ascii="Arial" w:cs="Arial" w:eastAsia="Arial" w:hAnsi="Arial"/>
          <w:sz w:val="20"/>
          <w:szCs w:val="20"/>
          <w:color w:val="auto"/>
        </w:rPr>
      </w:pPr>
      <w:r>
        <w:rPr>
          <w:rFonts w:ascii="Arial" w:cs="Arial" w:eastAsia="Arial" w:hAnsi="Arial"/>
          <w:sz w:val="20"/>
          <w:szCs w:val="20"/>
          <w:color w:val="auto"/>
        </w:rPr>
        <w:t>The Company has adopted a stock ownership requirement policy, and if your position is covered, you shall be subject to and comply with this policy as may be in effect from time to time.</w:t>
      </w:r>
    </w:p>
    <w:p>
      <w:pPr>
        <w:sectPr>
          <w:pgSz w:w="11900" w:h="16838" w:orient="portrait"/>
          <w:cols w:equalWidth="0" w:num="1">
            <w:col w:w="11220"/>
          </w:cols>
          <w:pgMar w:left="320" w:top="927" w:right="359" w:bottom="1440" w:gutter="0" w:footer="0" w:header="0"/>
        </w:sectPr>
      </w:pPr>
    </w:p>
    <w:bookmarkStart w:id="60" w:name="page61"/>
    <w:bookmarkEnd w:id="60"/>
    <w:p>
      <w:pPr>
        <w:ind w:left="340" w:right="160" w:hanging="332"/>
        <w:spacing w:after="0" w:line="282" w:lineRule="auto"/>
        <w:tabs>
          <w:tab w:leader="none" w:pos="339" w:val="left"/>
        </w:tabs>
        <w:numPr>
          <w:ilvl w:val="0"/>
          <w:numId w:val="37"/>
        </w:numPr>
        <w:rPr>
          <w:rFonts w:ascii="Arial" w:cs="Arial" w:eastAsia="Arial" w:hAnsi="Arial"/>
          <w:sz w:val="18"/>
          <w:szCs w:val="18"/>
          <w:color w:val="auto"/>
        </w:rPr>
      </w:pPr>
      <w:r>
        <w:rPr>
          <w:rFonts w:ascii="Arial" w:cs="Arial" w:eastAsia="Arial" w:hAnsi="Arial"/>
          <w:sz w:val="18"/>
          <w:szCs w:val="18"/>
          <w:color w:val="auto"/>
        </w:rPr>
        <w:t>If any term of this Award is determined to be unenforceable as written by a court of competent jurisdiction, you acknowledge and agree that such term shall be adjusted to the extent determined by the court to achieve the intent of the Company in imposing such term and if the court determines that such term cannot be reformed to achieve the intent of the Company, then the elimination of the pertinent provisions of that term shall not otherwise impact the enforceability of the other terms of this Award.</w:t>
      </w:r>
    </w:p>
    <w:p>
      <w:pPr>
        <w:spacing w:after="0" w:line="188" w:lineRule="exact"/>
        <w:rPr>
          <w:rFonts w:ascii="Arial" w:cs="Arial" w:eastAsia="Arial" w:hAnsi="Arial"/>
          <w:sz w:val="18"/>
          <w:szCs w:val="18"/>
          <w:color w:val="auto"/>
        </w:rPr>
      </w:pPr>
    </w:p>
    <w:p>
      <w:pPr>
        <w:ind w:left="340" w:right="120" w:hanging="332"/>
        <w:spacing w:after="0" w:line="276" w:lineRule="auto"/>
        <w:tabs>
          <w:tab w:leader="none" w:pos="329" w:val="left"/>
        </w:tabs>
        <w:numPr>
          <w:ilvl w:val="0"/>
          <w:numId w:val="37"/>
        </w:numPr>
        <w:rPr>
          <w:rFonts w:ascii="Arial" w:cs="Arial" w:eastAsia="Arial" w:hAnsi="Arial"/>
          <w:sz w:val="18"/>
          <w:szCs w:val="18"/>
          <w:color w:val="auto"/>
        </w:rPr>
      </w:pPr>
      <w:r>
        <w:rPr>
          <w:rFonts w:ascii="Arial" w:cs="Arial" w:eastAsia="Arial" w:hAnsi="Arial"/>
          <w:sz w:val="18"/>
          <w:szCs w:val="18"/>
          <w:color w:val="auto"/>
        </w:rPr>
        <w:t>You agree this Plan and this Award are governed by the laws of the State of Delaware, without regard to the conflicts of law provisions thereof, and further consent to the exclusive personal jurisdiction and venue of the Chancery Court of the State of Delaware and the United States District Court for the District of Delaware for any action, claim or dispute arising out of or relating to this Award, the Plan or the subject matter contained in this Award Document. The Company will make reasonable efforts so that the Award complies with all applicable federal and state securities laws; provided, however, notwithstanding any other provision of the Award Document, the RSUs shall not be settled if the settlement thereof would result in a violation of any such law.</w:t>
      </w:r>
    </w:p>
    <w:p>
      <w:pPr>
        <w:spacing w:after="0" w:line="191" w:lineRule="exact"/>
        <w:rPr>
          <w:rFonts w:ascii="Arial" w:cs="Arial" w:eastAsia="Arial" w:hAnsi="Arial"/>
          <w:sz w:val="18"/>
          <w:szCs w:val="18"/>
          <w:color w:val="auto"/>
        </w:rPr>
      </w:pPr>
    </w:p>
    <w:p>
      <w:pPr>
        <w:ind w:left="340" w:right="640" w:hanging="332"/>
        <w:spacing w:after="0" w:line="260" w:lineRule="auto"/>
        <w:tabs>
          <w:tab w:leader="none" w:pos="339" w:val="left"/>
        </w:tabs>
        <w:numPr>
          <w:ilvl w:val="0"/>
          <w:numId w:val="37"/>
        </w:numPr>
        <w:rPr>
          <w:rFonts w:ascii="Arial" w:cs="Arial" w:eastAsia="Arial" w:hAnsi="Arial"/>
          <w:sz w:val="20"/>
          <w:szCs w:val="20"/>
          <w:color w:val="auto"/>
        </w:rPr>
      </w:pPr>
      <w:r>
        <w:rPr>
          <w:rFonts w:ascii="Arial" w:cs="Arial" w:eastAsia="Arial" w:hAnsi="Arial"/>
          <w:sz w:val="20"/>
          <w:szCs w:val="20"/>
          <w:color w:val="auto"/>
        </w:rPr>
        <w:t>Nothing in this Award Document will be construed as requiring a forfeiture or otherwise prohibiting you from fully and truthfully cooperating with any investigation or engaging in any other conduct protected by U.S. law.</w:t>
      </w:r>
    </w:p>
    <w:p>
      <w:pPr>
        <w:spacing w:after="0" w:line="203" w:lineRule="exact"/>
        <w:rPr>
          <w:rFonts w:ascii="Arial" w:cs="Arial" w:eastAsia="Arial" w:hAnsi="Arial"/>
          <w:sz w:val="20"/>
          <w:szCs w:val="20"/>
          <w:color w:val="auto"/>
        </w:rPr>
      </w:pPr>
    </w:p>
    <w:p>
      <w:pPr>
        <w:ind w:left="340" w:right="360" w:hanging="332"/>
        <w:spacing w:after="0" w:line="316" w:lineRule="auto"/>
        <w:tabs>
          <w:tab w:leader="none" w:pos="330" w:val="left"/>
        </w:tabs>
        <w:numPr>
          <w:ilvl w:val="0"/>
          <w:numId w:val="37"/>
        </w:numPr>
        <w:rPr>
          <w:rFonts w:ascii="Arial" w:cs="Arial" w:eastAsia="Arial" w:hAnsi="Arial"/>
          <w:sz w:val="18"/>
          <w:szCs w:val="18"/>
          <w:color w:val="auto"/>
        </w:rPr>
      </w:pPr>
      <w:r>
        <w:rPr>
          <w:rFonts w:ascii="Arial" w:cs="Arial" w:eastAsia="Arial" w:hAnsi="Arial"/>
          <w:sz w:val="18"/>
          <w:szCs w:val="18"/>
          <w:color w:val="auto"/>
        </w:rPr>
        <w:t>You have read this Award Document and the Plan carefully and understand their terms. By indicating your acceptance of these terms, you are expressly accepting the terms and conditions of the Award, and the Company may rely on your acceptance.</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Acceptance of Offer</w:t>
      </w:r>
    </w:p>
    <w:p>
      <w:pPr>
        <w:spacing w:after="0" w:line="249" w:lineRule="exact"/>
        <w:rPr>
          <w:sz w:val="20"/>
          <w:szCs w:val="20"/>
          <w:color w:val="auto"/>
        </w:rPr>
      </w:pPr>
    </w:p>
    <w:p>
      <w:pPr>
        <w:spacing w:after="0"/>
        <w:rPr>
          <w:sz w:val="20"/>
          <w:szCs w:val="20"/>
          <w:color w:val="auto"/>
        </w:rPr>
      </w:pPr>
      <w:r>
        <w:rPr>
          <w:rFonts w:ascii="Arial" w:cs="Arial" w:eastAsia="Arial" w:hAnsi="Arial"/>
          <w:sz w:val="19"/>
          <w:szCs w:val="19"/>
          <w:color w:val="auto"/>
        </w:rPr>
        <w:t>To accept this offer you will need to follow the link at the bottom of this page. Your electronic acceptance confirms the following:</w:t>
      </w:r>
    </w:p>
    <w:p>
      <w:pPr>
        <w:spacing w:after="0" w:line="254" w:lineRule="exact"/>
        <w:rPr>
          <w:sz w:val="20"/>
          <w:szCs w:val="20"/>
          <w:color w:val="auto"/>
        </w:rPr>
      </w:pPr>
    </w:p>
    <w:p>
      <w:pPr>
        <w:ind w:right="260"/>
        <w:spacing w:after="0" w:line="260" w:lineRule="auto"/>
        <w:rPr>
          <w:sz w:val="20"/>
          <w:szCs w:val="20"/>
          <w:color w:val="auto"/>
        </w:rPr>
      </w:pPr>
      <w:r>
        <w:rPr>
          <w:rFonts w:ascii="Arial" w:cs="Arial" w:eastAsia="Arial" w:hAnsi="Arial"/>
          <w:sz w:val="20"/>
          <w:szCs w:val="20"/>
          <w:color w:val="auto"/>
        </w:rPr>
        <w:t>I confirm that I have been given a copy of this Award Document and access to the Plan, and that having read both documents I irrevocably agree to:</w:t>
      </w:r>
    </w:p>
    <w:p>
      <w:pPr>
        <w:spacing w:after="0" w:line="177" w:lineRule="exact"/>
        <w:rPr>
          <w:sz w:val="20"/>
          <w:szCs w:val="20"/>
          <w:color w:val="auto"/>
        </w:rPr>
      </w:pPr>
    </w:p>
    <w:p>
      <w:pPr>
        <w:ind w:left="340" w:right="680" w:hanging="332"/>
        <w:spacing w:after="0" w:line="247" w:lineRule="auto"/>
        <w:tabs>
          <w:tab w:leader="none" w:pos="332" w:val="left"/>
        </w:tabs>
        <w:numPr>
          <w:ilvl w:val="0"/>
          <w:numId w:val="38"/>
        </w:numPr>
        <w:rPr>
          <w:rFonts w:ascii="Arial" w:cs="Arial" w:eastAsia="Arial" w:hAnsi="Arial"/>
          <w:sz w:val="20"/>
          <w:szCs w:val="20"/>
          <w:color w:val="auto"/>
        </w:rPr>
      </w:pPr>
      <w:r>
        <w:rPr>
          <w:rFonts w:ascii="Arial" w:cs="Arial" w:eastAsia="Arial" w:hAnsi="Arial"/>
          <w:sz w:val="20"/>
          <w:szCs w:val="20"/>
          <w:color w:val="auto"/>
        </w:rPr>
        <w:t>Accept the RSUs (and any Shares) that are issued by the Company to me in accordance with the terms of the Plan and this Award Document; and</w:t>
      </w:r>
    </w:p>
    <w:p>
      <w:pPr>
        <w:spacing w:after="0" w:line="1" w:lineRule="exact"/>
        <w:rPr>
          <w:rFonts w:ascii="Arial" w:cs="Arial" w:eastAsia="Arial" w:hAnsi="Arial"/>
          <w:sz w:val="20"/>
          <w:szCs w:val="20"/>
          <w:color w:val="auto"/>
        </w:rPr>
      </w:pPr>
    </w:p>
    <w:p>
      <w:pPr>
        <w:ind w:left="320" w:hanging="312"/>
        <w:spacing w:after="0"/>
        <w:tabs>
          <w:tab w:leader="none" w:pos="320" w:val="left"/>
        </w:tabs>
        <w:numPr>
          <w:ilvl w:val="0"/>
          <w:numId w:val="38"/>
        </w:numPr>
        <w:rPr>
          <w:rFonts w:ascii="Arial" w:cs="Arial" w:eastAsia="Arial" w:hAnsi="Arial"/>
          <w:sz w:val="20"/>
          <w:szCs w:val="20"/>
          <w:color w:val="auto"/>
        </w:rPr>
      </w:pPr>
      <w:r>
        <w:rPr>
          <w:rFonts w:ascii="Arial" w:cs="Arial" w:eastAsia="Arial" w:hAnsi="Arial"/>
          <w:sz w:val="20"/>
          <w:szCs w:val="20"/>
          <w:color w:val="auto"/>
        </w:rPr>
        <w:t>Be bound by and abide by the terms of this Award Document and the Plan.</w:t>
      </w:r>
    </w:p>
    <w:p>
      <w:pPr>
        <w:spacing w:after="0" w:line="200" w:lineRule="exact"/>
        <w:rPr>
          <w:sz w:val="20"/>
          <w:szCs w:val="20"/>
          <w:color w:val="auto"/>
        </w:rPr>
      </w:pPr>
    </w:p>
    <w:p>
      <w:pPr>
        <w:spacing w:after="0" w:line="243"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If you do not accept this Award by [Insert Date], this offer will lapse and be incapable of acceptance (unless otherwise agreed to by the Company).</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If you have any questions concerning this offer or the Plan, please contact [Insert Contact Information].</w:t>
      </w:r>
    </w:p>
    <w:p>
      <w:pPr>
        <w:sectPr>
          <w:pgSz w:w="11900" w:h="16838" w:orient="portrait"/>
          <w:cols w:equalWidth="0" w:num="1">
            <w:col w:w="11240"/>
          </w:cols>
          <w:pgMar w:left="320" w:top="933" w:right="3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32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Mary T. Barra, certify that:</w:t>
      </w:r>
    </w:p>
    <w:p>
      <w:pPr>
        <w:spacing w:after="0" w:line="252" w:lineRule="exact"/>
        <w:rPr>
          <w:sz w:val="20"/>
          <w:szCs w:val="20"/>
          <w:color w:val="auto"/>
        </w:rPr>
      </w:pPr>
    </w:p>
    <w:p>
      <w:pPr>
        <w:ind w:left="400" w:hanging="190"/>
        <w:spacing w:after="0"/>
        <w:tabs>
          <w:tab w:leader="none" w:pos="4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General Motors Company;</w:t>
      </w:r>
    </w:p>
    <w:p>
      <w:pPr>
        <w:spacing w:after="0" w:line="252" w:lineRule="exact"/>
        <w:rPr>
          <w:rFonts w:ascii="Arial" w:cs="Arial" w:eastAsia="Arial" w:hAnsi="Arial"/>
          <w:sz w:val="18"/>
          <w:szCs w:val="18"/>
          <w:color w:val="auto"/>
        </w:rPr>
      </w:pPr>
    </w:p>
    <w:p>
      <w:pPr>
        <w:ind w:firstLine="210"/>
        <w:spacing w:after="0" w:line="342" w:lineRule="auto"/>
        <w:tabs>
          <w:tab w:leader="none" w:pos="396" w:val="left"/>
        </w:tabs>
        <w:numPr>
          <w:ilvl w:val="0"/>
          <w:numId w:val="3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firstLine="210"/>
        <w:spacing w:after="0" w:line="277" w:lineRule="auto"/>
        <w:tabs>
          <w:tab w:leader="none" w:pos="398"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firstLine="210"/>
        <w:spacing w:after="0" w:line="263" w:lineRule="auto"/>
        <w:tabs>
          <w:tab w:leader="none" w:pos="411"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380" w:firstLine="195"/>
        <w:spacing w:after="0" w:line="263" w:lineRule="auto"/>
        <w:tabs>
          <w:tab w:leader="none" w:pos="781"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380" w:firstLine="195"/>
        <w:spacing w:after="0" w:line="263" w:lineRule="auto"/>
        <w:tabs>
          <w:tab w:leader="none" w:pos="81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380" w:firstLine="195"/>
        <w:spacing w:after="0" w:line="308" w:lineRule="auto"/>
        <w:tabs>
          <w:tab w:leader="none" w:pos="809" w:val="left"/>
        </w:tabs>
        <w:numPr>
          <w:ilvl w:val="1"/>
          <w:numId w:val="3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380" w:firstLine="195"/>
        <w:spacing w:after="0" w:line="263" w:lineRule="auto"/>
        <w:tabs>
          <w:tab w:leader="none" w:pos="791"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firstLine="210"/>
        <w:spacing w:after="0" w:line="308" w:lineRule="auto"/>
        <w:tabs>
          <w:tab w:leader="none" w:pos="395"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380" w:right="20" w:firstLine="195"/>
        <w:spacing w:after="0" w:line="277" w:lineRule="auto"/>
        <w:tabs>
          <w:tab w:leader="none" w:pos="775" w:val="left"/>
        </w:tabs>
        <w:numPr>
          <w:ilvl w:val="1"/>
          <w:numId w:val="3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380" w:firstLine="195"/>
        <w:spacing w:after="0" w:line="277" w:lineRule="auto"/>
        <w:tabs>
          <w:tab w:leader="none" w:pos="784"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8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MARY T. BARRA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31750</wp:posOffset>
            </wp:positionV>
            <wp:extent cx="305181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3">
                      <a:extLst>
                        <a:ext uri="{28A0092B-C50C-407E-A947-70E740481C1C}"/>
                      </a:extLst>
                    </a:blip>
                    <a:srcRect/>
                    <a:stretch>
                      <a:fillRect/>
                    </a:stretch>
                  </pic:blipFill>
                  <pic:spPr bwMode="auto">
                    <a:xfrm>
                      <a:off x="0" y="0"/>
                      <a:ext cx="3051810" cy="8890"/>
                    </a:xfrm>
                    <a:prstGeom prst="rect">
                      <a:avLst/>
                    </a:prstGeom>
                    <a:noFill/>
                  </pic:spPr>
                </pic:pic>
              </a:graphicData>
            </a:graphic>
          </wp:anchor>
        </w:drawing>
      </w:r>
    </w:p>
    <w:p>
      <w:pPr>
        <w:spacing w:after="0" w:line="5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Mary T. Barra</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Chairman and Chief Executive Officer</w:t>
      </w:r>
    </w:p>
    <w:p>
      <w:pPr>
        <w:spacing w:after="0" w:line="49" w:lineRule="exact"/>
        <w:rPr>
          <w:sz w:val="20"/>
          <w:szCs w:val="20"/>
          <w:color w:val="auto"/>
        </w:rPr>
      </w:pPr>
    </w:p>
    <w:p>
      <w:pPr>
        <w:ind w:left="20"/>
        <w:spacing w:after="0"/>
        <w:tabs>
          <w:tab w:leader="none" w:pos="600" w:val="left"/>
        </w:tabs>
        <w:rPr>
          <w:sz w:val="20"/>
          <w:szCs w:val="20"/>
          <w:color w:val="auto"/>
        </w:rPr>
      </w:pPr>
      <w:r>
        <w:rPr>
          <w:rFonts w:ascii="Arial" w:cs="Arial" w:eastAsia="Arial" w:hAnsi="Arial"/>
          <w:sz w:val="18"/>
          <w:szCs w:val="18"/>
          <w:color w:val="auto"/>
        </w:rPr>
        <w:t>Date:</w:t>
        <w:tab/>
        <w:t>July 29, 2020</w:t>
      </w:r>
    </w:p>
    <w:p>
      <w:pPr>
        <w:sectPr>
          <w:pgSz w:w="11900" w:h="16838" w:orient="portrait"/>
          <w:cols w:equalWidth="0" w:num="1">
            <w:col w:w="11240"/>
          </w:cols>
          <w:pgMar w:left="320" w:top="364" w:right="3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32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Dhivya Suryadevara, certify that:</w:t>
      </w:r>
    </w:p>
    <w:p>
      <w:pPr>
        <w:spacing w:after="0" w:line="252" w:lineRule="exact"/>
        <w:rPr>
          <w:sz w:val="20"/>
          <w:szCs w:val="20"/>
          <w:color w:val="auto"/>
        </w:rPr>
      </w:pPr>
    </w:p>
    <w:p>
      <w:pPr>
        <w:ind w:left="400" w:hanging="190"/>
        <w:spacing w:after="0"/>
        <w:tabs>
          <w:tab w:leader="none" w:pos="4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General Motors Company;</w:t>
      </w:r>
    </w:p>
    <w:p>
      <w:pPr>
        <w:spacing w:after="0" w:line="252" w:lineRule="exact"/>
        <w:rPr>
          <w:rFonts w:ascii="Arial" w:cs="Arial" w:eastAsia="Arial" w:hAnsi="Arial"/>
          <w:sz w:val="18"/>
          <w:szCs w:val="18"/>
          <w:color w:val="auto"/>
        </w:rPr>
      </w:pPr>
    </w:p>
    <w:p>
      <w:pPr>
        <w:ind w:firstLine="210"/>
        <w:spacing w:after="0" w:line="342" w:lineRule="auto"/>
        <w:tabs>
          <w:tab w:leader="none" w:pos="396" w:val="left"/>
        </w:tabs>
        <w:numPr>
          <w:ilvl w:val="0"/>
          <w:numId w:val="4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firstLine="210"/>
        <w:spacing w:after="0" w:line="277" w:lineRule="auto"/>
        <w:tabs>
          <w:tab w:leader="none" w:pos="398"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firstLine="210"/>
        <w:spacing w:after="0" w:line="263" w:lineRule="auto"/>
        <w:tabs>
          <w:tab w:leader="none" w:pos="411"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380" w:firstLine="195"/>
        <w:spacing w:after="0" w:line="263" w:lineRule="auto"/>
        <w:tabs>
          <w:tab w:leader="none" w:pos="781"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380" w:firstLine="195"/>
        <w:spacing w:after="0" w:line="263" w:lineRule="auto"/>
        <w:tabs>
          <w:tab w:leader="none" w:pos="81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380" w:firstLine="195"/>
        <w:spacing w:after="0" w:line="308" w:lineRule="auto"/>
        <w:tabs>
          <w:tab w:leader="none" w:pos="809" w:val="left"/>
        </w:tabs>
        <w:numPr>
          <w:ilvl w:val="1"/>
          <w:numId w:val="4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380" w:firstLine="195"/>
        <w:spacing w:after="0" w:line="263" w:lineRule="auto"/>
        <w:tabs>
          <w:tab w:leader="none" w:pos="791"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firstLine="210"/>
        <w:spacing w:after="0" w:line="308" w:lineRule="auto"/>
        <w:tabs>
          <w:tab w:leader="none" w:pos="395"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380" w:right="20" w:firstLine="195"/>
        <w:spacing w:after="0" w:line="277" w:lineRule="auto"/>
        <w:tabs>
          <w:tab w:leader="none" w:pos="775" w:val="left"/>
        </w:tabs>
        <w:numPr>
          <w:ilvl w:val="1"/>
          <w:numId w:val="4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380" w:firstLine="195"/>
        <w:spacing w:after="0" w:line="277" w:lineRule="auto"/>
        <w:tabs>
          <w:tab w:leader="none" w:pos="784"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8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DHIVYA SURYADEVARA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31750</wp:posOffset>
            </wp:positionV>
            <wp:extent cx="305181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4">
                      <a:extLst>
                        <a:ext uri="{28A0092B-C50C-407E-A947-70E740481C1C}"/>
                      </a:extLst>
                    </a:blip>
                    <a:srcRect/>
                    <a:stretch>
                      <a:fillRect/>
                    </a:stretch>
                  </pic:blipFill>
                  <pic:spPr bwMode="auto">
                    <a:xfrm>
                      <a:off x="0" y="0"/>
                      <a:ext cx="3051810" cy="8890"/>
                    </a:xfrm>
                    <a:prstGeom prst="rect">
                      <a:avLst/>
                    </a:prstGeom>
                    <a:noFill/>
                  </pic:spPr>
                </pic:pic>
              </a:graphicData>
            </a:graphic>
          </wp:anchor>
        </w:drawing>
      </w:r>
    </w:p>
    <w:p>
      <w:pPr>
        <w:spacing w:after="0" w:line="5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Dhivya Suryadevara</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Executive Vice President and Chief Financial Officer</w:t>
      </w:r>
    </w:p>
    <w:p>
      <w:pPr>
        <w:spacing w:after="0" w:line="49" w:lineRule="exact"/>
        <w:rPr>
          <w:sz w:val="20"/>
          <w:szCs w:val="20"/>
          <w:color w:val="auto"/>
        </w:rPr>
      </w:pPr>
    </w:p>
    <w:p>
      <w:pPr>
        <w:ind w:left="20"/>
        <w:spacing w:after="0"/>
        <w:tabs>
          <w:tab w:leader="none" w:pos="600" w:val="left"/>
        </w:tabs>
        <w:rPr>
          <w:sz w:val="20"/>
          <w:szCs w:val="20"/>
          <w:color w:val="auto"/>
        </w:rPr>
      </w:pPr>
      <w:r>
        <w:rPr>
          <w:rFonts w:ascii="Arial" w:cs="Arial" w:eastAsia="Arial" w:hAnsi="Arial"/>
          <w:sz w:val="18"/>
          <w:szCs w:val="18"/>
          <w:color w:val="auto"/>
        </w:rPr>
        <w:t>Date:</w:t>
        <w:tab/>
        <w:t>July 29, 2020</w:t>
      </w:r>
    </w:p>
    <w:p>
      <w:pPr>
        <w:sectPr>
          <w:pgSz w:w="11900" w:h="16838" w:orient="portrait"/>
          <w:cols w:equalWidth="0" w:num="1">
            <w:col w:w="11240"/>
          </w:cols>
          <w:pgMar w:left="320" w:top="364" w:right="3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32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jc w:val="both"/>
        <w:ind w:firstLine="202"/>
        <w:spacing w:after="0" w:line="291" w:lineRule="auto"/>
        <w:rPr>
          <w:sz w:val="20"/>
          <w:szCs w:val="20"/>
          <w:color w:val="auto"/>
        </w:rPr>
      </w:pPr>
      <w:r>
        <w:rPr>
          <w:rFonts w:ascii="Arial" w:cs="Arial" w:eastAsia="Arial" w:hAnsi="Arial"/>
          <w:sz w:val="16"/>
          <w:szCs w:val="16"/>
          <w:color w:val="auto"/>
        </w:rPr>
        <w:t>In connection with the Quarterly Report of General Motors Company (the “Company”) on Form 10-Q for the period ended June 30, 2020 as filed with the Securities and Exchange Commission on the date hereof (the “Report”), each of the undersigned officers of the Company, certify, pursuant to 18 U.S.C.</w:t>
      </w:r>
    </w:p>
    <w:p>
      <w:pPr>
        <w:ind w:left="140" w:hanging="132"/>
        <w:spacing w:after="0"/>
        <w:tabs>
          <w:tab w:leader="none" w:pos="1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1350, as adopted pursuant to § 906 of the Sarbanes-Oxley Act of 2002, that to the best of such officer's knowledge:</w:t>
      </w:r>
    </w:p>
    <w:p>
      <w:pPr>
        <w:spacing w:after="0" w:line="237" w:lineRule="exact"/>
        <w:rPr>
          <w:rFonts w:ascii="Arial" w:cs="Arial" w:eastAsia="Arial" w:hAnsi="Arial"/>
          <w:sz w:val="18"/>
          <w:szCs w:val="18"/>
          <w:color w:val="auto"/>
        </w:rPr>
      </w:pPr>
    </w:p>
    <w:p>
      <w:pPr>
        <w:ind w:left="760" w:hanging="185"/>
        <w:spacing w:after="0"/>
        <w:tabs>
          <w:tab w:leader="none" w:pos="7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760" w:hanging="185"/>
        <w:spacing w:after="0"/>
        <w:tabs>
          <w:tab w:leader="none" w:pos="760" w:val="left"/>
        </w:tabs>
        <w:numPr>
          <w:ilvl w:val="1"/>
          <w:numId w:val="4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MARY T. BARRA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31750</wp:posOffset>
            </wp:positionV>
            <wp:extent cx="305181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5">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5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Mary T. Barra</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Chairman and Chief Executive Officer</w:t>
      </w:r>
    </w:p>
    <w:p>
      <w:pPr>
        <w:spacing w:after="0" w:line="200" w:lineRule="exact"/>
        <w:rPr>
          <w:sz w:val="20"/>
          <w:szCs w:val="20"/>
          <w:color w:val="auto"/>
        </w:rPr>
      </w:pPr>
    </w:p>
    <w:p>
      <w:pPr>
        <w:spacing w:after="0" w:line="2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DHIVYA SURYADEVARA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31750</wp:posOffset>
            </wp:positionV>
            <wp:extent cx="305181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6">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5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Dhivya Suryadevara</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Executive Vice President and Chief Financial Officer</w:t>
      </w:r>
    </w:p>
    <w:p>
      <w:pPr>
        <w:spacing w:after="0" w:line="49" w:lineRule="exact"/>
        <w:rPr>
          <w:sz w:val="20"/>
          <w:szCs w:val="20"/>
          <w:color w:val="auto"/>
        </w:rPr>
      </w:pPr>
    </w:p>
    <w:p>
      <w:pPr>
        <w:ind w:left="20"/>
        <w:spacing w:after="0"/>
        <w:tabs>
          <w:tab w:leader="none" w:pos="600" w:val="left"/>
        </w:tabs>
        <w:rPr>
          <w:sz w:val="20"/>
          <w:szCs w:val="20"/>
          <w:color w:val="auto"/>
        </w:rPr>
      </w:pPr>
      <w:r>
        <w:rPr>
          <w:rFonts w:ascii="Arial" w:cs="Arial" w:eastAsia="Arial" w:hAnsi="Arial"/>
          <w:sz w:val="18"/>
          <w:szCs w:val="18"/>
          <w:color w:val="auto"/>
        </w:rPr>
        <w:t>Date:</w:t>
        <w:tab/>
        <w:t>July 29, 2020</w:t>
      </w:r>
    </w:p>
    <w:sectPr>
      <w:pgSz w:w="11900" w:h="16838" w:orient="portrait"/>
      <w:cols w:equalWidth="0" w:num="1">
        <w:col w:w="11240"/>
      </w:cols>
      <w:pgMar w:left="32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1)"/>
      <w:numFmt w:val="lowerLetter"/>
      <w:start w:val="1"/>
    </w:lvl>
  </w:abstractNum>
  <w:abstractNum w:abstractNumId="3">
    <w:nsid w:val="2443A858"/>
    <w:multiLevelType w:val="hybridMultilevel"/>
    <w:lvl w:ilvl="0">
      <w:lvlJc w:val="left"/>
      <w:lvlText w:val="(%1)"/>
      <w:numFmt w:val="lowerLetter"/>
      <w:start w:val="1"/>
    </w:lvl>
  </w:abstractNum>
  <w:abstractNum w:abstractNumId="4">
    <w:nsid w:val="2D1D5AE9"/>
    <w:multiLevelType w:val="hybridMultilevel"/>
    <w:lvl w:ilvl="0">
      <w:lvlJc w:val="left"/>
      <w:lvlText w:val="(%1)"/>
      <w:numFmt w:val="lowerLetter"/>
      <w:start w:val="1"/>
    </w:lvl>
  </w:abstractNum>
  <w:abstractNum w:abstractNumId="5">
    <w:nsid w:val="6763845E"/>
    <w:multiLevelType w:val="hybridMultilevel"/>
    <w:lvl w:ilvl="0">
      <w:lvlJc w:val="left"/>
      <w:lvlText w:val="(%1)"/>
      <w:numFmt w:val="lowerLetter"/>
      <w:start w:val="1"/>
    </w:lvl>
  </w:abstractNum>
  <w:abstractNum w:abstractNumId="6">
    <w:nsid w:val="75A2A8D4"/>
    <w:multiLevelType w:val="hybridMultilevel"/>
    <w:lvl w:ilvl="0">
      <w:lvlJc w:val="left"/>
      <w:lvlText w:val="(%1)"/>
      <w:numFmt w:val="lowerLetter"/>
      <w:start w:val="1"/>
    </w:lvl>
  </w:abstractNum>
  <w:abstractNum w:abstractNumId="7">
    <w:nsid w:val="8EDBDAB"/>
    <w:multiLevelType w:val="hybridMultilevel"/>
    <w:lvl w:ilvl="0">
      <w:lvlJc w:val="left"/>
      <w:lvlText w:val="(%1)"/>
      <w:numFmt w:val="lowerLetter"/>
      <w:start w:val="1"/>
    </w:lvl>
  </w:abstractNum>
  <w:abstractNum w:abstractNumId="8">
    <w:nsid w:val="79838CB2"/>
    <w:multiLevelType w:val="hybridMultilevel"/>
    <w:lvl w:ilvl="0">
      <w:lvlJc w:val="left"/>
      <w:lvlText w:val="(%1)"/>
      <w:numFmt w:val="lowerLetter"/>
      <w:start w:val="1"/>
    </w:lvl>
  </w:abstractNum>
  <w:abstractNum w:abstractNumId="9">
    <w:nsid w:val="4353D0CD"/>
    <w:multiLevelType w:val="hybridMultilevel"/>
    <w:lvl w:ilvl="0">
      <w:lvlJc w:val="left"/>
      <w:lvlText w:val="(%1)"/>
      <w:numFmt w:val="lowerLetter"/>
      <w:start w:val="1"/>
    </w:lvl>
  </w:abstractNum>
  <w:abstractNum w:abstractNumId="10">
    <w:nsid w:val="B03E0C6"/>
    <w:multiLevelType w:val="hybridMultilevel"/>
    <w:lvl w:ilvl="0">
      <w:lvlJc w:val="left"/>
      <w:lvlText w:val="(%1)"/>
      <w:numFmt w:val="lowerLetter"/>
      <w:start w:val="1"/>
    </w:lvl>
  </w:abstractNum>
  <w:abstractNum w:abstractNumId="11">
    <w:nsid w:val="189A769B"/>
    <w:multiLevelType w:val="hybridMultilevel"/>
    <w:lvl w:ilvl="0">
      <w:lvlJc w:val="left"/>
      <w:lvlText w:val="(%1)"/>
      <w:numFmt w:val="lowerLetter"/>
      <w:start w:val="1"/>
    </w:lvl>
  </w:abstractNum>
  <w:abstractNum w:abstractNumId="12">
    <w:nsid w:val="54E49EB4"/>
    <w:multiLevelType w:val="hybridMultilevel"/>
    <w:lvl w:ilvl="0">
      <w:lvlJc w:val="left"/>
      <w:lvlText w:val="(%1)"/>
      <w:numFmt w:val="lowerLetter"/>
      <w:start w:val="1"/>
    </w:lvl>
  </w:abstractNum>
  <w:abstractNum w:abstractNumId="13">
    <w:nsid w:val="71F32454"/>
    <w:multiLevelType w:val="hybridMultilevel"/>
    <w:lvl w:ilvl="0">
      <w:lvlJc w:val="left"/>
      <w:lvlText w:val="(%1)"/>
      <w:numFmt w:val="lowerLetter"/>
      <w:start w:val="1"/>
    </w:lvl>
  </w:abstractNum>
  <w:abstractNum w:abstractNumId="14">
    <w:nsid w:val="2CA88611"/>
    <w:multiLevelType w:val="hybridMultilevel"/>
    <w:lvl w:ilvl="0">
      <w:lvlJc w:val="left"/>
      <w:lvlText w:val="(%1)"/>
      <w:numFmt w:val="lowerLetter"/>
      <w:start w:val="1"/>
    </w:lvl>
  </w:abstractNum>
  <w:abstractNum w:abstractNumId="15">
    <w:nsid w:val="836C40E"/>
    <w:multiLevelType w:val="hybridMultilevel"/>
    <w:lvl w:ilvl="0">
      <w:lvlJc w:val="left"/>
      <w:lvlText w:val="(%1)"/>
      <w:numFmt w:val="lowerLetter"/>
      <w:start w:val="1"/>
    </w:lvl>
  </w:abstractNum>
  <w:abstractNum w:abstractNumId="16">
    <w:nsid w:val="2901D82"/>
    <w:multiLevelType w:val="hybridMultilevel"/>
    <w:lvl w:ilvl="0">
      <w:lvlJc w:val="left"/>
      <w:lvlText w:val="(%1)"/>
      <w:numFmt w:val="lowerLetter"/>
      <w:start w:val="1"/>
    </w:lvl>
  </w:abstractNum>
  <w:abstractNum w:abstractNumId="17">
    <w:nsid w:val="3A95F874"/>
    <w:multiLevelType w:val="hybridMultilevel"/>
    <w:lvl w:ilvl="0">
      <w:lvlJc w:val="left"/>
      <w:lvlText w:val="(%1)"/>
      <w:numFmt w:val="lowerLetter"/>
      <w:start w:val="1"/>
    </w:lvl>
  </w:abstractNum>
  <w:abstractNum w:abstractNumId="18">
    <w:nsid w:val="8138641"/>
    <w:multiLevelType w:val="hybridMultilevel"/>
    <w:lvl w:ilvl="0">
      <w:lvlJc w:val="left"/>
      <w:lvlText w:val="(%1)"/>
      <w:numFmt w:val="lowerLetter"/>
      <w:start w:val="1"/>
    </w:lvl>
  </w:abstractNum>
  <w:abstractNum w:abstractNumId="19">
    <w:nsid w:val="1E7FF521"/>
    <w:multiLevelType w:val="hybridMultilevel"/>
    <w:lvl w:ilvl="0">
      <w:lvlJc w:val="left"/>
      <w:lvlText w:val="(%1)"/>
      <w:numFmt w:val="lowerLetter"/>
      <w:start w:val="1"/>
    </w:lvl>
  </w:abstractNum>
  <w:abstractNum w:abstractNumId="20">
    <w:nsid w:val="7C3DBD3D"/>
    <w:multiLevelType w:val="hybridMultilevel"/>
    <w:lvl w:ilvl="0">
      <w:lvlJc w:val="left"/>
      <w:lvlText w:val="(%1)"/>
      <w:numFmt w:val="lowerLetter"/>
      <w:start w:val="1"/>
    </w:lvl>
  </w:abstractNum>
  <w:abstractNum w:abstractNumId="21">
    <w:nsid w:val="737B8DDC"/>
    <w:multiLevelType w:val="hybridMultilevel"/>
    <w:lvl w:ilvl="0">
      <w:lvlJc w:val="left"/>
      <w:lvlText w:val="(%1)"/>
      <w:numFmt w:val="lowerLetter"/>
      <w:start w:val="1"/>
    </w:lvl>
  </w:abstractNum>
  <w:abstractNum w:abstractNumId="22">
    <w:nsid w:val="6CEAF087"/>
    <w:multiLevelType w:val="hybridMultilevel"/>
    <w:lvl w:ilvl="0">
      <w:lvlJc w:val="left"/>
      <w:lvlText w:val="(%1)"/>
      <w:numFmt w:val="decimal"/>
      <w:start w:val="2"/>
    </w:lvl>
  </w:abstractNum>
  <w:abstractNum w:abstractNumId="23">
    <w:nsid w:val="22221A70"/>
    <w:multiLevelType w:val="hybridMultilevel"/>
    <w:lvl w:ilvl="0">
      <w:lvlJc w:val="left"/>
      <w:lvlText w:val="(%1)"/>
      <w:numFmt w:val="decimal"/>
      <w:start w:val="4"/>
    </w:lvl>
  </w:abstractNum>
  <w:abstractNum w:abstractNumId="24">
    <w:nsid w:val="4516DDE9"/>
    <w:multiLevelType w:val="hybridMultilevel"/>
    <w:lvl w:ilvl="0">
      <w:lvlJc w:val="left"/>
      <w:lvlText w:val="(%1)"/>
      <w:numFmt w:val="lowerLetter"/>
      <w:start w:val="1"/>
    </w:lvl>
  </w:abstractNum>
  <w:abstractNum w:abstractNumId="25">
    <w:nsid w:val="3006C83E"/>
    <w:multiLevelType w:val="hybridMultilevel"/>
    <w:lvl w:ilvl="0">
      <w:lvlJc w:val="left"/>
      <w:lvlText w:val="(%1)"/>
      <w:numFmt w:val="lowerLetter"/>
      <w:start w:val="1"/>
    </w:lvl>
  </w:abstractNum>
  <w:abstractNum w:abstractNumId="26">
    <w:nsid w:val="614FD4A1"/>
    <w:multiLevelType w:val="hybridMultilevel"/>
    <w:lvl w:ilvl="0">
      <w:lvlJc w:val="left"/>
      <w:lvlText w:val="(%1)"/>
      <w:numFmt w:val="lowerLetter"/>
      <w:start w:val="1"/>
    </w:lvl>
  </w:abstractNum>
  <w:abstractNum w:abstractNumId="27">
    <w:nsid w:val="419AC241"/>
    <w:multiLevelType w:val="hybridMultilevel"/>
    <w:lvl w:ilvl="0">
      <w:lvlJc w:val="left"/>
      <w:lvlText w:val="(%1)"/>
      <w:numFmt w:val="decimal"/>
      <w:start w:val="2"/>
    </w:lvl>
  </w:abstractNum>
  <w:abstractNum w:abstractNumId="28">
    <w:nsid w:val="5577F8E1"/>
    <w:multiLevelType w:val="hybridMultilevel"/>
    <w:lvl w:ilvl="0">
      <w:lvlJc w:val="left"/>
      <w:lvlText w:val="(%1)"/>
      <w:numFmt w:val="lowerLetter"/>
      <w:start w:val="1"/>
    </w:lvl>
  </w:abstractNum>
  <w:abstractNum w:abstractNumId="29">
    <w:nsid w:val="440BADFC"/>
    <w:multiLevelType w:val="hybridMultilevel"/>
    <w:lvl w:ilvl="0">
      <w:lvlJc w:val="left"/>
      <w:lvlText w:val="(%1)"/>
      <w:numFmt w:val="decimal"/>
      <w:start w:val="2"/>
    </w:lvl>
  </w:abstractNum>
  <w:abstractNum w:abstractNumId="30">
    <w:nsid w:val="5072367"/>
    <w:multiLevelType w:val="hybridMultilevel"/>
    <w:lvl w:ilvl="0">
      <w:lvlJc w:val="left"/>
      <w:lvlText w:val="(%1)"/>
      <w:numFmt w:val="lowerLetter"/>
      <w:start w:val="1"/>
    </w:lvl>
    <w:lvl w:ilvl="1">
      <w:lvlJc w:val="left"/>
      <w:lvlText w:val="*"/>
      <w:numFmt w:val="bullet"/>
      <w:start w:val="1"/>
    </w:lvl>
  </w:abstractNum>
  <w:abstractNum w:abstractNumId="31">
    <w:nsid w:val="3804823E"/>
    <w:multiLevelType w:val="hybridMultilevel"/>
    <w:lvl w:ilvl="0">
      <w:lvlJc w:val="left"/>
      <w:lvlText w:val="%1"/>
      <w:numFmt w:val="decimal"/>
      <w:start w:val="101"/>
    </w:lvl>
  </w:abstractNum>
  <w:abstractNum w:abstractNumId="32">
    <w:nsid w:val="77465F01"/>
    <w:multiLevelType w:val="hybridMultilevel"/>
    <w:lvl w:ilvl="0">
      <w:lvlJc w:val="left"/>
      <w:lvlText w:val="%1"/>
      <w:numFmt w:val="decimal"/>
      <w:start w:val="104"/>
    </w:lvl>
  </w:abstractNum>
  <w:abstractNum w:abstractNumId="33">
    <w:nsid w:val="7724C67E"/>
    <w:multiLevelType w:val="hybridMultilevel"/>
    <w:lvl w:ilvl="0">
      <w:lvlJc w:val="left"/>
      <w:lvlText w:val="*"/>
      <w:numFmt w:val="bullet"/>
      <w:start w:val="1"/>
    </w:lvl>
  </w:abstractNum>
  <w:abstractNum w:abstractNumId="34">
    <w:nsid w:val="5C482A97"/>
    <w:multiLevelType w:val="hybridMultilevel"/>
    <w:lvl w:ilvl="0">
      <w:lvlJc w:val="left"/>
      <w:lvlText w:val="•"/>
      <w:numFmt w:val="bullet"/>
      <w:start w:val="1"/>
    </w:lvl>
  </w:abstractNum>
  <w:abstractNum w:abstractNumId="35">
    <w:nsid w:val="2463B9EA"/>
    <w:multiLevelType w:val="hybridMultilevel"/>
    <w:lvl w:ilvl="0">
      <w:lvlJc w:val="left"/>
      <w:lvlText w:val="%1)"/>
      <w:numFmt w:val="lowerLetter"/>
      <w:start w:val="1"/>
    </w:lvl>
  </w:abstractNum>
  <w:abstractNum w:abstractNumId="36">
    <w:nsid w:val="5E884ADC"/>
    <w:multiLevelType w:val="hybridMultilevel"/>
    <w:lvl w:ilvl="0">
      <w:lvlJc w:val="left"/>
      <w:lvlText w:val="%1)"/>
      <w:numFmt w:val="lowerLetter"/>
      <w:start w:val="10"/>
    </w:lvl>
  </w:abstractNum>
  <w:abstractNum w:abstractNumId="37">
    <w:nsid w:val="51EAD36B"/>
    <w:multiLevelType w:val="hybridMultilevel"/>
    <w:lvl w:ilvl="0">
      <w:lvlJc w:val="left"/>
      <w:lvlText w:val="%1)"/>
      <w:numFmt w:val="lowerLetter"/>
      <w:start w:val="1"/>
    </w:lvl>
  </w:abstractNum>
  <w:abstractNum w:abstractNumId="38">
    <w:nsid w:val="2D517796"/>
    <w:multiLevelType w:val="hybridMultilevel"/>
    <w:lvl w:ilvl="0">
      <w:lvlJc w:val="left"/>
      <w:lvlText w:val="%1."/>
      <w:numFmt w:val="decimal"/>
      <w:start w:val="1"/>
    </w:lvl>
    <w:lvl w:ilvl="1">
      <w:lvlJc w:val="left"/>
      <w:lvlText w:val="%2)"/>
      <w:numFmt w:val="lowerLetter"/>
      <w:start w:val="1"/>
    </w:lvl>
  </w:abstractNum>
  <w:abstractNum w:abstractNumId="39">
    <w:nsid w:val="580BD78F"/>
    <w:multiLevelType w:val="hybridMultilevel"/>
    <w:lvl w:ilvl="0">
      <w:lvlJc w:val="left"/>
      <w:lvlText w:val="%1."/>
      <w:numFmt w:val="decimal"/>
      <w:start w:val="1"/>
    </w:lvl>
    <w:lvl w:ilvl="1">
      <w:lvlJc w:val="left"/>
      <w:lvlText w:val="%2)"/>
      <w:numFmt w:val="lowerLetter"/>
      <w:start w:val="1"/>
    </w:lvl>
  </w:abstractNum>
  <w:abstractNum w:abstractNumId="40">
    <w:nsid w:val="153EA438"/>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12" Type="http://schemas.openxmlformats.org/officeDocument/2006/relationships/image" Target="media/image101.png"/><Relationship Id="rId116" Type="http://schemas.openxmlformats.org/officeDocument/2006/relationships/image" Target="media/image102.png"/><Relationship Id="rId117" Type="http://schemas.openxmlformats.org/officeDocument/2006/relationships/image" Target="media/image103.png"/><Relationship Id="rId118" Type="http://schemas.openxmlformats.org/officeDocument/2006/relationships/image" Target="media/image104.png"/><Relationship Id="rId119" Type="http://schemas.openxmlformats.org/officeDocument/2006/relationships/image" Target="media/image105.png"/><Relationship Id="rId120" Type="http://schemas.openxmlformats.org/officeDocument/2006/relationships/image" Target="media/image106.png"/><Relationship Id="rId121" Type="http://schemas.openxmlformats.org/officeDocument/2006/relationships/image" Target="media/image107.png"/><Relationship Id="rId122" Type="http://schemas.openxmlformats.org/officeDocument/2006/relationships/image" Target="media/image108.png"/><Relationship Id="rId123" Type="http://schemas.openxmlformats.org/officeDocument/2006/relationships/image" Target="media/image109.png"/><Relationship Id="rId124" Type="http://schemas.openxmlformats.org/officeDocument/2006/relationships/image" Target="media/image110.png"/><Relationship Id="rId125" Type="http://schemas.openxmlformats.org/officeDocument/2006/relationships/image" Target="media/image111.png"/><Relationship Id="rId126" Type="http://schemas.openxmlformats.org/officeDocument/2006/relationships/image" Target="media/image112.png"/><Relationship Id="rId108" Type="http://schemas.openxmlformats.org/officeDocument/2006/relationships/hyperlink" Target="http://www.sec.gov/Archives/edgar/data/1467858/000119312510279214/dex32.htm" TargetMode="External"/><Relationship Id="rId109" Type="http://schemas.openxmlformats.org/officeDocument/2006/relationships/hyperlink" Target="http://www.sec.gov/Archives/edgar/data/1467858/000119312518252892/d595623dex31.htm" TargetMode="External"/><Relationship Id="rId110" Type="http://schemas.openxmlformats.org/officeDocument/2006/relationships/hyperlink" Target="https://www.sec.gov/Archives/edgar/data/1467858/000119312520140520/d893278dex42.htm" TargetMode="External"/><Relationship Id="rId111" Type="http://schemas.openxmlformats.org/officeDocument/2006/relationships/hyperlink" Target="https://www.sec.gov/Archives/edgar/data/1467858/000146785820000060/exhibit101.htm" TargetMode="External"/><Relationship Id="rId113" Type="http://schemas.openxmlformats.org/officeDocument/2006/relationships/hyperlink" Target="https://www.sec.gov/Archives/edgar/data/1467858/000146785820000062/exhibit101.htm" TargetMode="External"/><Relationship Id="rId114" Type="http://schemas.openxmlformats.org/officeDocument/2006/relationships/hyperlink" Target="https://www.sec.gov/Archives/edgar/data/1467858/000146785820000094/exhibit101-364xdayrevo.htm" TargetMode="External"/><Relationship Id="rId115" Type="http://schemas.openxmlformats.org/officeDocument/2006/relationships/hyperlink" Target="https://www.sec.gov/Archives/edgar/data/1467858/000119312520178815/d920608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2020-07-29T14:19:08Z</dcterms:created>
  <dcterms:modified xsi:type="dcterms:W3CDTF">2020-07-29T14:19:08Z</dcterms:modified>
</cp:coreProperties>
</file>