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14,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GM Global Sales Release and Chart Dated January 14, 2014</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January 14, 2014, General Motors Company issued a news release announcing 2013 GM global sales. The release and chart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GM Global Sales Release and Chart</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January 14,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280"/>
          </w:cols>
          <w:pgMar w:left="240" w:top="79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January 15, 2014</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Jan. 14,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Delivered 9.7 Million Vehicles Globally in 2013</w:t>
      </w:r>
    </w:p>
    <w:p>
      <w:pPr>
        <w:spacing w:after="0" w:line="28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dealers delivered 9,714,652 vehicles around the world in the 2013, up 4 percent compared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2012. Among GM’s top five global markets by volume, China and the United Kingdom posted the largest year-over-year sales increases on a percentage basis, with each up 11 percent. GM’s China sales set a new full-year record. Sales in the United States increased 7 percent.</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 healthy auto market in the United States and China, and very successful product launches at all of our brands worldwide drove GM’s growth in 2013 and helped us navigate difficult conditions in Europe and parts of South America and Asia,” said Dan Ammann, GM executive vice president and chief financial officer.</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Ammann, who has been named president of General Motors, will discuss the company’s outlook and strategy at the 2014 Global Auto Industry Conference hosted by Deutsche Bank on Wednesday, January 15, in Detroit. GM’s presentation will begin at approximately 7:30 a.m. EST followed by a Q&amp;A session.</w:t>
      </w:r>
    </w:p>
    <w:p>
      <w:pPr>
        <w:spacing w:after="0" w:line="186"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 xml:space="preserve">A live webcast of the presentation will be available at </w:t>
      </w:r>
      <w:r>
        <w:rPr>
          <w:rFonts w:ascii="Arial" w:cs="Arial" w:eastAsia="Arial" w:hAnsi="Arial"/>
          <w:sz w:val="18"/>
          <w:szCs w:val="18"/>
          <w:u w:val="single" w:color="auto"/>
          <w:color w:val="0000FF"/>
        </w:rPr>
        <w:t>http://www.media-server.com/m/p/ph2qb95h</w:t>
      </w:r>
      <w:r>
        <w:rPr>
          <w:rFonts w:ascii="Arial" w:cs="Arial" w:eastAsia="Arial" w:hAnsi="Arial"/>
          <w:sz w:val="20"/>
          <w:szCs w:val="20"/>
          <w:color w:val="auto"/>
        </w:rPr>
        <w:t>. Presentation materials will be posted in the Investor section of gm.com shortly before the webcast.</w:t>
      </w:r>
    </w:p>
    <w:p>
      <w:pPr>
        <w:spacing w:after="0" w:line="19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Going forward, GM plans to announce its global sales on a quarterly basis using this new template as part of the company’s effort to provide insightful and easily accessible information about its global growth strategy.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(vs. 2012)</w:t>
      </w:r>
    </w:p>
    <w:p>
      <w:pPr>
        <w:spacing w:after="0" w:line="22" w:lineRule="exact"/>
        <w:rPr>
          <w:sz w:val="20"/>
          <w:szCs w:val="20"/>
          <w:color w:val="auto"/>
        </w:rPr>
      </w:pPr>
    </w:p>
    <w:p>
      <w:pPr>
        <w:ind w:left="660" w:right="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sold a record 4,984,126 vehicles in 2013, an increase of 19,304 from the previous record set in 2012. Key product launches included the Silverado, which was named the 2014 North American Truck of the Year, and the Corvette Stingray, which was named the 2014 North American Car of the Year.</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Cadillac’s global sales were up 28 percent. The brand ended 2013 as the fastest-growing full-line luxury brand in the United States, with sales up 22 percent following the introductions of the all-new XTS and ATS. In China, Cadillac’s sales grew 67 percent to a record 50,005 vehicles. Cadillac broke ground on a new assembly plant in China last year and plans to add one new model per year in the country through 2016.</w:t>
      </w:r>
    </w:p>
    <w:p>
      <w:pPr>
        <w:spacing w:after="0" w:line="2"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Buick’s global sales were up 15 percent as it introduced redesigns of the LaCrosse and Regal in all of its major markets and added new models in North America, including the Encore crossover. Dealers delivered 1,032,331 vehicles for the best year in the brand’s 110-year history. The previous record of 1,003,345 vehicles sold was set in 1984, before the brand entered the China market.</w:t>
      </w:r>
    </w:p>
    <w:p>
      <w:pPr>
        <w:ind w:left="660" w:right="6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Opel/Vauxhall sold more than 1 million vehicles globally and delivered a slight increase in European market share to the mid-5 percent range, its first in 14 years, following the successful launches of the Mokka and ADAM.</w:t>
      </w:r>
    </w:p>
    <w:p>
      <w:pPr>
        <w:spacing w:after="0" w:line="19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ectPr>
          <w:pgSz w:w="11900" w:h="16838" w:orient="portrait"/>
          <w:cols w:equalWidth="0" w:num="1">
            <w:col w:w="11420"/>
          </w:cols>
          <w:pgMar w:left="240" w:top="81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2"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GM Global Sales: Fourth Quarter and Full Year 2013</w:t>
      </w:r>
    </w:p>
    <w:p>
      <w:pPr>
        <w:spacing w:after="0" w:line="200" w:lineRule="exact"/>
        <w:rPr>
          <w:sz w:val="20"/>
          <w:szCs w:val="20"/>
          <w:color w:val="auto"/>
        </w:rPr>
      </w:pPr>
    </w:p>
    <w:p>
      <w:pPr>
        <w:spacing w:after="0" w:line="34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GM Region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Q4</w:t>
            </w:r>
          </w:p>
        </w:tc>
        <w:tc>
          <w:tcPr>
            <w:tcW w:w="1600" w:type="dxa"/>
            <w:vAlign w:val="bottom"/>
          </w:tcPr>
          <w:p>
            <w:pPr>
              <w:ind w:left="300"/>
              <w:spacing w:after="0"/>
              <w:rPr>
                <w:sz w:val="20"/>
                <w:szCs w:val="20"/>
                <w:color w:val="auto"/>
              </w:rPr>
            </w:pPr>
            <w:r>
              <w:rPr>
                <w:rFonts w:ascii="Arial" w:cs="Arial" w:eastAsia="Arial" w:hAnsi="Arial"/>
                <w:sz w:val="18"/>
                <w:szCs w:val="18"/>
                <w:b w:val="1"/>
                <w:bCs w:val="1"/>
                <w:color w:val="auto"/>
              </w:rPr>
              <w:t>YOY Change</w:t>
            </w: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CYTD</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YOY Change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r>
      <w:tr>
        <w:trPr>
          <w:trHeight w:val="270"/>
        </w:trPr>
        <w:tc>
          <w:tcPr>
            <w:tcW w:w="2120" w:type="dxa"/>
            <w:vAlign w:val="bottom"/>
          </w:tcPr>
          <w:p>
            <w:pPr>
              <w:jc w:val="center"/>
              <w:ind w:right="270"/>
              <w:spacing w:after="0"/>
              <w:rPr>
                <w:sz w:val="20"/>
                <w:szCs w:val="20"/>
                <w:color w:val="auto"/>
              </w:rPr>
            </w:pPr>
            <w:r>
              <w:rPr>
                <w:rFonts w:ascii="Arial" w:cs="Arial" w:eastAsia="Arial" w:hAnsi="Arial"/>
                <w:sz w:val="18"/>
                <w:szCs w:val="18"/>
                <w:color w:val="auto"/>
                <w:w w:val="93"/>
              </w:rPr>
              <w:t>North America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784,832</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48,753</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3,234,275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214,793</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70"/>
        </w:trPr>
        <w:tc>
          <w:tcPr>
            <w:tcW w:w="2120" w:type="dxa"/>
            <w:vAlign w:val="bottom"/>
          </w:tcPr>
          <w:p>
            <w:pPr>
              <w:jc w:val="center"/>
              <w:ind w:right="270"/>
              <w:spacing w:after="0"/>
              <w:rPr>
                <w:sz w:val="20"/>
                <w:szCs w:val="20"/>
                <w:color w:val="auto"/>
              </w:rPr>
            </w:pPr>
            <w:r>
              <w:rPr>
                <w:rFonts w:ascii="Arial" w:cs="Arial" w:eastAsia="Arial" w:hAnsi="Arial"/>
                <w:sz w:val="18"/>
                <w:szCs w:val="18"/>
                <w:color w:val="auto"/>
                <w:w w:val="89"/>
              </w:rPr>
              <w:t>Europe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371,199</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(2,511)</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1,556,754</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(53,957)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70"/>
        </w:trPr>
        <w:tc>
          <w:tcPr>
            <w:tcW w:w="2120" w:type="dxa"/>
            <w:vAlign w:val="bottom"/>
          </w:tcPr>
          <w:p>
            <w:pPr>
              <w:jc w:val="center"/>
              <w:ind w:right="270"/>
              <w:spacing w:after="0"/>
              <w:rPr>
                <w:sz w:val="20"/>
                <w:szCs w:val="20"/>
                <w:color w:val="auto"/>
              </w:rPr>
            </w:pPr>
            <w:r>
              <w:rPr>
                <w:rFonts w:ascii="Arial" w:cs="Arial" w:eastAsia="Arial" w:hAnsi="Arial"/>
                <w:sz w:val="18"/>
                <w:szCs w:val="18"/>
                <w:color w:val="auto"/>
                <w:w w:val="91"/>
              </w:rPr>
              <w:t>South America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267,676</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2,798</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1,037,458</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(13,582)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0"/>
        </w:trPr>
        <w:tc>
          <w:tcPr>
            <w:tcW w:w="2120" w:type="dxa"/>
            <w:vAlign w:val="bottom"/>
          </w:tcPr>
          <w:p>
            <w:pPr>
              <w:jc w:val="center"/>
              <w:ind w:right="270"/>
              <w:spacing w:after="0"/>
              <w:rPr>
                <w:sz w:val="20"/>
                <w:szCs w:val="20"/>
                <w:color w:val="auto"/>
              </w:rPr>
            </w:pPr>
            <w:r>
              <w:rPr>
                <w:rFonts w:ascii="Arial" w:cs="Arial" w:eastAsia="Arial" w:hAnsi="Arial"/>
                <w:sz w:val="18"/>
                <w:szCs w:val="18"/>
                <w:color w:val="auto"/>
                <w:w w:val="91"/>
              </w:rPr>
              <w:t>International Operations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1,039,673</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72,093</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3,886,165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270,324</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70"/>
        </w:trPr>
        <w:tc>
          <w:tcPr>
            <w:tcW w:w="2120" w:type="dxa"/>
            <w:vAlign w:val="bottom"/>
          </w:tcPr>
          <w:p>
            <w:pPr>
              <w:jc w:val="center"/>
              <w:ind w:right="270"/>
              <w:spacing w:after="0"/>
              <w:rPr>
                <w:sz w:val="20"/>
                <w:szCs w:val="20"/>
                <w:color w:val="auto"/>
              </w:rPr>
            </w:pPr>
            <w:r>
              <w:rPr>
                <w:rFonts w:ascii="Arial" w:cs="Arial" w:eastAsia="Arial" w:hAnsi="Arial"/>
                <w:sz w:val="18"/>
                <w:szCs w:val="18"/>
                <w:color w:val="auto"/>
                <w:w w:val="89"/>
              </w:rPr>
              <w:t>Total</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2,463,380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121,133</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9,714,652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417,578</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1740" w:type="dxa"/>
            <w:vAlign w:val="bottom"/>
          </w:tcPr>
          <w:p>
            <w:pPr>
              <w:jc w:val="center"/>
              <w:ind w:right="450"/>
              <w:spacing w:after="0"/>
              <w:rPr>
                <w:sz w:val="20"/>
                <w:szCs w:val="20"/>
                <w:color w:val="auto"/>
              </w:rPr>
            </w:pPr>
            <w:r>
              <w:rPr>
                <w:rFonts w:ascii="Arial" w:cs="Arial" w:eastAsia="Arial" w:hAnsi="Arial"/>
                <w:sz w:val="18"/>
                <w:szCs w:val="18"/>
                <w:b w:val="1"/>
                <w:bCs w:val="1"/>
                <w:color w:val="auto"/>
                <w:w w:val="92"/>
              </w:rPr>
              <w:t>Country</w:t>
            </w:r>
          </w:p>
        </w:tc>
        <w:tc>
          <w:tcPr>
            <w:tcW w:w="146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Q4</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YOY Change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ind w:left="460"/>
              <w:spacing w:after="0"/>
              <w:rPr>
                <w:sz w:val="20"/>
                <w:szCs w:val="20"/>
                <w:color w:val="auto"/>
              </w:rPr>
            </w:pPr>
            <w:r>
              <w:rPr>
                <w:rFonts w:ascii="Arial" w:cs="Arial" w:eastAsia="Arial" w:hAnsi="Arial"/>
                <w:sz w:val="18"/>
                <w:szCs w:val="18"/>
                <w:b w:val="1"/>
                <w:bCs w:val="1"/>
                <w:color w:val="auto"/>
              </w:rPr>
              <w:t>CYTD</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YOY Change</w:t>
            </w:r>
          </w:p>
        </w:tc>
        <w:tc>
          <w:tcPr>
            <w:tcW w:w="1080" w:type="dxa"/>
            <w:vAlign w:val="bottom"/>
          </w:tcPr>
          <w:p>
            <w:pPr>
              <w:ind w:left="260"/>
              <w:spacing w:after="0"/>
              <w:rPr>
                <w:sz w:val="20"/>
                <w:szCs w:val="20"/>
                <w:color w:val="auto"/>
              </w:rPr>
            </w:pPr>
            <w:r>
              <w:rPr>
                <w:rFonts w:ascii="Arial" w:cs="Arial" w:eastAsia="Arial" w:hAnsi="Arial"/>
                <w:sz w:val="18"/>
                <w:szCs w:val="18"/>
                <w:b w:val="1"/>
                <w:bCs w:val="1"/>
                <w:color w:val="auto"/>
                <w:w w:val="91"/>
              </w:rPr>
              <w:t>% Change</w:t>
            </w:r>
          </w:p>
        </w:tc>
      </w:tr>
      <w:tr>
        <w:trPr>
          <w:trHeight w:val="270"/>
        </w:trPr>
        <w:tc>
          <w:tcPr>
            <w:tcW w:w="1740" w:type="dxa"/>
            <w:vAlign w:val="bottom"/>
          </w:tcPr>
          <w:p>
            <w:pPr>
              <w:jc w:val="center"/>
              <w:ind w:right="450"/>
              <w:spacing w:after="0"/>
              <w:rPr>
                <w:sz w:val="20"/>
                <w:szCs w:val="20"/>
                <w:color w:val="auto"/>
              </w:rPr>
            </w:pPr>
            <w:r>
              <w:rPr>
                <w:rFonts w:ascii="Arial" w:cs="Arial" w:eastAsia="Arial" w:hAnsi="Arial"/>
                <w:sz w:val="18"/>
                <w:szCs w:val="18"/>
                <w:color w:val="auto"/>
                <w:w w:val="93"/>
              </w:rPr>
              <w:t>China</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847,948</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93,632</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3,160,374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324,246</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11%</w:t>
            </w:r>
          </w:p>
        </w:tc>
      </w:tr>
      <w:tr>
        <w:trPr>
          <w:trHeight w:val="270"/>
        </w:trPr>
        <w:tc>
          <w:tcPr>
            <w:tcW w:w="1740" w:type="dxa"/>
            <w:vAlign w:val="bottom"/>
          </w:tcPr>
          <w:p>
            <w:pPr>
              <w:jc w:val="center"/>
              <w:ind w:right="450"/>
              <w:spacing w:after="0"/>
              <w:rPr>
                <w:sz w:val="20"/>
                <w:szCs w:val="20"/>
                <w:color w:val="auto"/>
              </w:rPr>
            </w:pPr>
            <w:r>
              <w:rPr>
                <w:rFonts w:ascii="Arial" w:cs="Arial" w:eastAsia="Arial" w:hAnsi="Arial"/>
                <w:sz w:val="18"/>
                <w:szCs w:val="18"/>
                <w:color w:val="auto"/>
                <w:w w:val="88"/>
              </w:rPr>
              <w:t>United States</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668,619</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40,617</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2,786,078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190,361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2"/>
              </w:rPr>
              <w:t>7%</w:t>
            </w:r>
          </w:p>
        </w:tc>
      </w:tr>
      <w:tr>
        <w:trPr>
          <w:trHeight w:val="270"/>
        </w:trPr>
        <w:tc>
          <w:tcPr>
            <w:tcW w:w="1740" w:type="dxa"/>
            <w:vAlign w:val="bottom"/>
          </w:tcPr>
          <w:p>
            <w:pPr>
              <w:jc w:val="center"/>
              <w:ind w:right="450"/>
              <w:spacing w:after="0"/>
              <w:rPr>
                <w:sz w:val="20"/>
                <w:szCs w:val="20"/>
                <w:color w:val="auto"/>
              </w:rPr>
            </w:pPr>
            <w:r>
              <w:rPr>
                <w:rFonts w:ascii="Arial" w:cs="Arial" w:eastAsia="Arial" w:hAnsi="Arial"/>
                <w:sz w:val="18"/>
                <w:szCs w:val="18"/>
                <w:color w:val="auto"/>
                <w:w w:val="97"/>
              </w:rPr>
              <w:t>Brazil</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89"/>
              </w:rPr>
              <w:t>173,525</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4,309</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649,849</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7,115</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2"/>
              </w:rPr>
              <w:t>1%</w:t>
            </w:r>
          </w:p>
        </w:tc>
      </w:tr>
      <w:tr>
        <w:trPr>
          <w:trHeight w:val="270"/>
        </w:trPr>
        <w:tc>
          <w:tcPr>
            <w:tcW w:w="1740" w:type="dxa"/>
            <w:vAlign w:val="bottom"/>
          </w:tcPr>
          <w:p>
            <w:pPr>
              <w:jc w:val="center"/>
              <w:ind w:right="430"/>
              <w:spacing w:after="0"/>
              <w:rPr>
                <w:sz w:val="20"/>
                <w:szCs w:val="20"/>
                <w:color w:val="auto"/>
              </w:rPr>
            </w:pPr>
            <w:r>
              <w:rPr>
                <w:rFonts w:ascii="Arial" w:cs="Arial" w:eastAsia="Arial" w:hAnsi="Arial"/>
                <w:sz w:val="18"/>
                <w:szCs w:val="18"/>
                <w:color w:val="auto"/>
                <w:w w:val="95"/>
              </w:rPr>
              <w:t>United Kingdom</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90"/>
              </w:rPr>
              <w:t>68,577</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8,543</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300,977</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28,649</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11%</w:t>
            </w:r>
          </w:p>
        </w:tc>
      </w:tr>
      <w:tr>
        <w:trPr>
          <w:trHeight w:val="270"/>
        </w:trPr>
        <w:tc>
          <w:tcPr>
            <w:tcW w:w="1740" w:type="dxa"/>
            <w:vAlign w:val="bottom"/>
          </w:tcPr>
          <w:p>
            <w:pPr>
              <w:jc w:val="center"/>
              <w:ind w:right="450"/>
              <w:spacing w:after="0"/>
              <w:rPr>
                <w:sz w:val="20"/>
                <w:szCs w:val="20"/>
                <w:color w:val="auto"/>
              </w:rPr>
            </w:pPr>
            <w:r>
              <w:rPr>
                <w:rFonts w:ascii="Arial" w:cs="Arial" w:eastAsia="Arial" w:hAnsi="Arial"/>
                <w:sz w:val="18"/>
                <w:szCs w:val="18"/>
                <w:color w:val="auto"/>
                <w:w w:val="87"/>
              </w:rPr>
              <w:t>Russia</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90"/>
              </w:rPr>
              <w:t>68,672</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(2,989)</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257,583</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(30,725)</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(11%)</w:t>
            </w:r>
          </w:p>
        </w:tc>
      </w:tr>
    </w:tbl>
    <w:p>
      <w:pPr>
        <w:spacing w:after="0" w:line="200" w:lineRule="exact"/>
        <w:rPr>
          <w:sz w:val="20"/>
          <w:szCs w:val="20"/>
          <w:color w:val="auto"/>
        </w:rPr>
      </w:pPr>
    </w:p>
    <w:p>
      <w:pPr>
        <w:spacing w:after="0" w:line="322"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1600" w:type="dxa"/>
            <w:vAlign w:val="bottom"/>
          </w:tcPr>
          <w:p>
            <w:pPr>
              <w:jc w:val="center"/>
              <w:ind w:right="450"/>
              <w:spacing w:after="0"/>
              <w:rPr>
                <w:sz w:val="20"/>
                <w:szCs w:val="20"/>
                <w:color w:val="auto"/>
              </w:rPr>
            </w:pPr>
            <w:r>
              <w:rPr>
                <w:rFonts w:ascii="Arial" w:cs="Arial" w:eastAsia="Arial" w:hAnsi="Arial"/>
                <w:sz w:val="18"/>
                <w:szCs w:val="18"/>
                <w:b w:val="1"/>
                <w:bCs w:val="1"/>
                <w:color w:val="auto"/>
                <w:w w:val="96"/>
              </w:rPr>
              <w:t>Brand</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Q4</w:t>
            </w:r>
          </w:p>
        </w:tc>
        <w:tc>
          <w:tcPr>
            <w:tcW w:w="1600" w:type="dxa"/>
            <w:vAlign w:val="bottom"/>
          </w:tcPr>
          <w:p>
            <w:pPr>
              <w:ind w:left="300"/>
              <w:spacing w:after="0"/>
              <w:rPr>
                <w:sz w:val="20"/>
                <w:szCs w:val="20"/>
                <w:color w:val="auto"/>
              </w:rPr>
            </w:pPr>
            <w:r>
              <w:rPr>
                <w:rFonts w:ascii="Arial" w:cs="Arial" w:eastAsia="Arial" w:hAnsi="Arial"/>
                <w:sz w:val="18"/>
                <w:szCs w:val="18"/>
                <w:b w:val="1"/>
                <w:bCs w:val="1"/>
                <w:color w:val="auto"/>
              </w:rPr>
              <w:t>YOY Change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ind w:left="460"/>
              <w:spacing w:after="0"/>
              <w:rPr>
                <w:sz w:val="20"/>
                <w:szCs w:val="20"/>
                <w:color w:val="auto"/>
              </w:rPr>
            </w:pPr>
            <w:r>
              <w:rPr>
                <w:rFonts w:ascii="Arial" w:cs="Arial" w:eastAsia="Arial" w:hAnsi="Arial"/>
                <w:sz w:val="18"/>
                <w:szCs w:val="18"/>
                <w:b w:val="1"/>
                <w:bCs w:val="1"/>
                <w:color w:val="auto"/>
              </w:rPr>
              <w:t>CYTD</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YOY Change</w:t>
            </w:r>
          </w:p>
        </w:tc>
        <w:tc>
          <w:tcPr>
            <w:tcW w:w="1080" w:type="dxa"/>
            <w:vAlign w:val="bottom"/>
          </w:tcPr>
          <w:p>
            <w:pPr>
              <w:ind w:left="260"/>
              <w:spacing w:after="0"/>
              <w:rPr>
                <w:sz w:val="20"/>
                <w:szCs w:val="20"/>
                <w:color w:val="auto"/>
              </w:rPr>
            </w:pPr>
            <w:r>
              <w:rPr>
                <w:rFonts w:ascii="Arial" w:cs="Arial" w:eastAsia="Arial" w:hAnsi="Arial"/>
                <w:sz w:val="18"/>
                <w:szCs w:val="18"/>
                <w:b w:val="1"/>
                <w:bCs w:val="1"/>
                <w:color w:val="auto"/>
                <w:w w:val="91"/>
              </w:rPr>
              <w:t>% Change</w:t>
            </w:r>
          </w:p>
        </w:tc>
      </w:tr>
      <w:tr>
        <w:trPr>
          <w:trHeight w:val="270"/>
        </w:trPr>
        <w:tc>
          <w:tcPr>
            <w:tcW w:w="1600" w:type="dxa"/>
            <w:vAlign w:val="bottom"/>
          </w:tcPr>
          <w:p>
            <w:pPr>
              <w:jc w:val="center"/>
              <w:ind w:right="470"/>
              <w:spacing w:after="0"/>
              <w:rPr>
                <w:sz w:val="20"/>
                <w:szCs w:val="20"/>
                <w:color w:val="auto"/>
              </w:rPr>
            </w:pPr>
            <w:r>
              <w:rPr>
                <w:rFonts w:ascii="Arial" w:cs="Arial" w:eastAsia="Arial" w:hAnsi="Arial"/>
                <w:sz w:val="18"/>
                <w:szCs w:val="18"/>
                <w:color w:val="auto"/>
                <w:w w:val="93"/>
              </w:rPr>
              <w:t>Chevrolet</w:t>
            </w: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1,236,442</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(9,406)</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4,984,126</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19,304</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2"/>
              </w:rPr>
              <w:t>0%</w:t>
            </w:r>
          </w:p>
        </w:tc>
      </w:tr>
      <w:tr>
        <w:trPr>
          <w:trHeight w:val="270"/>
        </w:trPr>
        <w:tc>
          <w:tcPr>
            <w:tcW w:w="1600" w:type="dxa"/>
            <w:vAlign w:val="bottom"/>
          </w:tcPr>
          <w:p>
            <w:pPr>
              <w:jc w:val="center"/>
              <w:ind w:right="470"/>
              <w:spacing w:after="0"/>
              <w:rPr>
                <w:sz w:val="20"/>
                <w:szCs w:val="20"/>
                <w:color w:val="auto"/>
              </w:rPr>
            </w:pPr>
            <w:r>
              <w:rPr>
                <w:rFonts w:ascii="Arial" w:cs="Arial" w:eastAsia="Arial" w:hAnsi="Arial"/>
                <w:sz w:val="18"/>
                <w:szCs w:val="18"/>
                <w:color w:val="auto"/>
                <w:w w:val="92"/>
              </w:rPr>
              <w:t>Opel/Vauxhall</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89"/>
              </w:rPr>
              <w:t>255,996</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16,207</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1,063,979</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(4,061)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4"/>
              </w:rPr>
              <w:t>(0%)</w:t>
            </w:r>
          </w:p>
        </w:tc>
      </w:tr>
      <w:tr>
        <w:trPr>
          <w:trHeight w:val="270"/>
        </w:trPr>
        <w:tc>
          <w:tcPr>
            <w:tcW w:w="1600" w:type="dxa"/>
            <w:vAlign w:val="bottom"/>
          </w:tcPr>
          <w:p>
            <w:pPr>
              <w:jc w:val="center"/>
              <w:ind w:right="470"/>
              <w:spacing w:after="0"/>
              <w:rPr>
                <w:sz w:val="20"/>
                <w:szCs w:val="20"/>
                <w:color w:val="auto"/>
              </w:rPr>
            </w:pPr>
            <w:r>
              <w:rPr>
                <w:rFonts w:ascii="Arial" w:cs="Arial" w:eastAsia="Arial" w:hAnsi="Arial"/>
                <w:sz w:val="18"/>
                <w:szCs w:val="18"/>
                <w:color w:val="auto"/>
                <w:w w:val="99"/>
              </w:rPr>
              <w:t>Buick</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89"/>
              </w:rPr>
              <w:t>255,833</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25,194</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1,032,331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137,198</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15%</w:t>
            </w:r>
          </w:p>
        </w:tc>
      </w:tr>
      <w:tr>
        <w:trPr>
          <w:trHeight w:val="270"/>
        </w:trPr>
        <w:tc>
          <w:tcPr>
            <w:tcW w:w="1600" w:type="dxa"/>
            <w:vAlign w:val="bottom"/>
          </w:tcPr>
          <w:p>
            <w:pPr>
              <w:jc w:val="center"/>
              <w:ind w:right="470"/>
              <w:spacing w:after="0"/>
              <w:rPr>
                <w:sz w:val="20"/>
                <w:szCs w:val="20"/>
                <w:color w:val="auto"/>
              </w:rPr>
            </w:pPr>
            <w:r>
              <w:rPr>
                <w:rFonts w:ascii="Arial" w:cs="Arial" w:eastAsia="Arial" w:hAnsi="Arial"/>
                <w:sz w:val="18"/>
                <w:szCs w:val="18"/>
                <w:color w:val="auto"/>
                <w:w w:val="93"/>
              </w:rPr>
              <w:t>Cadillac</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0"/>
              </w:rPr>
              <w:t>71,953</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12,909</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22%</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250,830</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55,218</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28%</w:t>
            </w:r>
          </w:p>
        </w:tc>
      </w:tr>
      <w:tr>
        <w:trPr>
          <w:trHeight w:val="270"/>
        </w:trPr>
        <w:tc>
          <w:tcPr>
            <w:tcW w:w="1600" w:type="dxa"/>
            <w:vAlign w:val="bottom"/>
          </w:tcPr>
          <w:p>
            <w:pPr>
              <w:jc w:val="center"/>
              <w:ind w:right="470"/>
              <w:spacing w:after="0"/>
              <w:rPr>
                <w:sz w:val="20"/>
                <w:szCs w:val="20"/>
                <w:color w:val="auto"/>
              </w:rPr>
            </w:pPr>
            <w:r>
              <w:rPr>
                <w:rFonts w:ascii="Arial" w:cs="Arial" w:eastAsia="Arial" w:hAnsi="Arial"/>
                <w:sz w:val="18"/>
                <w:szCs w:val="18"/>
                <w:color w:val="auto"/>
                <w:w w:val="96"/>
              </w:rPr>
              <w:t>All Others</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89"/>
              </w:rPr>
              <w:t>643,156</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76,229</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2,383,386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209,919</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10%</w:t>
            </w:r>
          </w:p>
        </w:tc>
      </w:tr>
    </w:tbl>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67" w:lineRule="exact"/>
        <w:rPr>
          <w:sz w:val="20"/>
          <w:szCs w:val="20"/>
          <w:color w:val="auto"/>
        </w:rPr>
      </w:pPr>
    </w:p>
    <w:p>
      <w:pPr>
        <w:ind w:left="120" w:right="4720"/>
        <w:spacing w:after="0" w:line="313" w:lineRule="auto"/>
        <w:rPr>
          <w:sz w:val="20"/>
          <w:szCs w:val="20"/>
          <w:color w:val="auto"/>
        </w:rPr>
      </w:pPr>
      <w:r>
        <w:rPr>
          <w:rFonts w:ascii="Arial" w:cs="Arial" w:eastAsia="Arial" w:hAnsi="Arial"/>
          <w:sz w:val="18"/>
          <w:szCs w:val="18"/>
          <w:color w:val="auto"/>
        </w:rPr>
        <w:t>GM North America = United States, Canada, Mexico, and other North American markets* GM Europe = Western, Central and Eastern Europe (includes Chevrolet Europe) GM International Operations = Asia-Pacific, Africa and the Middle East*</w:t>
      </w:r>
    </w:p>
    <w:p>
      <w:pPr>
        <w:ind w:left="120"/>
        <w:spacing w:after="0"/>
        <w:rPr>
          <w:sz w:val="20"/>
          <w:szCs w:val="20"/>
          <w:color w:val="auto"/>
        </w:rPr>
      </w:pPr>
      <w:r>
        <w:rPr>
          <w:rFonts w:ascii="Arial" w:cs="Arial" w:eastAsia="Arial" w:hAnsi="Arial"/>
          <w:sz w:val="18"/>
          <w:szCs w:val="18"/>
          <w:color w:val="auto"/>
        </w:rPr>
        <w:t>*Cuba, Iran, North Korea, Syria and Sudan are excluded from sales volume calculations.</w:t>
      </w:r>
    </w:p>
    <w:sectPr>
      <w:pgSz w:w="11900" w:h="16838" w:orient="portrait"/>
      <w:cols w:equalWidth="0" w:num="1">
        <w:col w:w="11380"/>
      </w:cols>
      <w:pgMar w:left="240" w:top="79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2019-12-07T21:02:05Z</dcterms:created>
  <dcterms:modified xsi:type="dcterms:W3CDTF">2019-12-07T21:02:05Z</dcterms:modified>
</cp:coreProperties>
</file>