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8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5267960</wp:posOffset>
            </wp:positionH>
            <wp:positionV relativeFrom="paragraph">
              <wp:posOffset>-593725</wp:posOffset>
            </wp:positionV>
            <wp:extent cx="8255" cy="594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436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-601980</wp:posOffset>
            </wp:positionV>
            <wp:extent cx="8255" cy="6026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261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-577850</wp:posOffset>
            </wp:positionV>
            <wp:extent cx="1268730" cy="554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55435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33655</wp:posOffset>
            </wp:positionV>
            <wp:extent cx="6971030" cy="1710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030" cy="171069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Barra Mary 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960"/>
        <w:spacing w:after="0" w:line="335" w:lineRule="auto"/>
        <w:rPr>
          <w:sz w:val="20"/>
          <w:szCs w:val="20"/>
          <w:color w:val="auto"/>
        </w:rPr>
      </w:pPr>
      <w:r>
        <w:rPr>
          <w:rFonts w:ascii="Times New Roman" w:cs="Times New Roman" w:eastAsia="Times New Roman" w:hAnsi="Times New Roman"/>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General Motors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11/16/2020</w:t>
      </w:r>
    </w:p>
    <w:p>
      <w:pPr>
        <w:spacing w:after="0" w:line="20" w:lineRule="exact"/>
        <w:rPr>
          <w:sz w:val="24"/>
          <w:szCs w:val="24"/>
          <w:color w:val="auto"/>
        </w:rPr>
      </w:pPr>
      <w:r>
        <w:rPr>
          <w:sz w:val="24"/>
          <w:szCs w:val="24"/>
          <w:color w:val="auto"/>
        </w:rPr>
        <w:br w:type="column"/>
      </w:r>
    </w:p>
    <w:p>
      <w:pPr>
        <w:ind w:left="-1" w:right="680" w:firstLine="1"/>
        <w:spacing w:after="0" w:line="256"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9"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4"/>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979"/>
        <w:spacing w:after="0"/>
        <w:rPr>
          <w:sz w:val="20"/>
          <w:szCs w:val="20"/>
          <w:color w:val="auto"/>
        </w:rPr>
      </w:pPr>
      <w:r>
        <w:rPr>
          <w:rFonts w:ascii="Times New Roman" w:cs="Times New Roman" w:eastAsia="Times New Roman" w:hAnsi="Times New Roman"/>
          <w:sz w:val="16"/>
          <w:szCs w:val="16"/>
          <w:color w:val="0000FF"/>
        </w:rPr>
        <w:t>Chairman &amp; CEO</w:t>
      </w:r>
    </w:p>
    <w:p>
      <w:pPr>
        <w:spacing w:after="0" w:line="393" w:lineRule="exact"/>
        <w:rPr>
          <w:sz w:val="24"/>
          <w:szCs w:val="24"/>
          <w:color w:val="auto"/>
        </w:rPr>
      </w:pPr>
    </w:p>
    <w:p>
      <w:pPr>
        <w:sectPr>
          <w:pgSz w:w="11900" w:h="16838" w:orient="portrait"/>
          <w:cols w:equalWidth="0" w:num="3">
            <w:col w:w="3180" w:space="720"/>
            <w:col w:w="3121" w:space="720"/>
            <w:col w:w="3339"/>
          </w:cols>
          <w:pgMar w:left="460" w:top="215" w:right="359" w:bottom="1440" w:gutter="0" w:footer="0" w:header="0"/>
          <w:type w:val="continuous"/>
        </w:sectPr>
      </w:pPr>
    </w:p>
    <w:p>
      <w:pPr>
        <w:spacing w:after="0" w:line="202" w:lineRule="exact"/>
        <w:rPr>
          <w:sz w:val="24"/>
          <w:szCs w:val="24"/>
          <w:color w:val="auto"/>
        </w:rPr>
      </w:pPr>
    </w:p>
    <w:tbl>
      <w:tblPr>
        <w:tblLayout w:type="fixed"/>
        <w:tblInd w:w="80" w:type="dxa"/>
        <w:tblCellMar>
          <w:top w:w="0" w:type="dxa"/>
          <w:left w:w="0" w:type="dxa"/>
          <w:bottom w:w="0" w:type="dxa"/>
          <w:right w:w="0" w:type="dxa"/>
        </w:tblCellMar>
      </w:tblPr>
      <w:tr>
        <w:trPr>
          <w:trHeight w:val="170"/>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DETROIT</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48265-3000</w:t>
            </w:r>
          </w:p>
        </w:tc>
      </w:tr>
      <w:tr>
        <w:trPr>
          <w:trHeight w:val="145"/>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40"/>
        <w:spacing w:after="0"/>
        <w:tabs>
          <w:tab w:leader="none" w:pos="436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79"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178435</wp:posOffset>
            </wp:positionV>
            <wp:extent cx="6971030" cy="1694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030" cy="1694815"/>
                    </a:xfrm>
                    <a:prstGeom prst="rect">
                      <a:avLst/>
                    </a:prstGeom>
                    <a:noFill/>
                  </pic:spPr>
                </pic:pic>
              </a:graphicData>
            </a:graphic>
          </wp:anchor>
        </w:drawing>
      </w:r>
    </w:p>
    <w:p>
      <w:pPr>
        <w:spacing w:after="0" w:line="338" w:lineRule="exact"/>
        <w:rPr>
          <w:sz w:val="24"/>
          <w:szCs w:val="24"/>
          <w:color w:val="auto"/>
        </w:rPr>
      </w:pPr>
    </w:p>
    <w:p>
      <w:pPr>
        <w:sectPr>
          <w:pgSz w:w="11900" w:h="16838" w:orient="portrait"/>
          <w:cols w:equalWidth="0" w:num="2">
            <w:col w:w="3760" w:space="14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20"/>
              <w:spacing w:after="0" w:line="122"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line="122"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tcPr>
          <w:p>
            <w:pPr>
              <w:jc w:val="center"/>
              <w:ind w:left="511"/>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11/16/2020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500,000</w:t>
            </w:r>
            <w:r>
              <w:rPr>
                <w:rFonts w:ascii="Times New Roman" w:cs="Times New Roman" w:eastAsia="Times New Roman" w:hAnsi="Times New Roman"/>
                <w:sz w:val="21"/>
                <w:szCs w:val="21"/>
                <w:color w:val="008000"/>
                <w:w w:val="96"/>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jc w:val="center"/>
              <w:ind w:left="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31.32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0000FF"/>
              </w:rPr>
              <w:t>1,808,329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11/16/2020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500,000</w:t>
            </w:r>
            <w:r>
              <w:rPr>
                <w:rFonts w:ascii="Times New Roman" w:cs="Times New Roman" w:eastAsia="Times New Roman" w:hAnsi="Times New Roman"/>
                <w:sz w:val="21"/>
                <w:szCs w:val="21"/>
                <w:color w:val="008000"/>
                <w:w w:val="96"/>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94"/>
              </w:rPr>
              <w:t>$</w:t>
            </w:r>
            <w:r>
              <w:rPr>
                <w:rFonts w:ascii="Times New Roman" w:cs="Times New Roman" w:eastAsia="Times New Roman" w:hAnsi="Times New Roman"/>
                <w:sz w:val="16"/>
                <w:szCs w:val="16"/>
                <w:color w:val="0000FF"/>
                <w:w w:val="94"/>
              </w:rPr>
              <w:t>42.03</w:t>
            </w:r>
            <w:r>
              <w:rPr>
                <w:rFonts w:ascii="Times New Roman" w:cs="Times New Roman" w:eastAsia="Times New Roman" w:hAnsi="Times New Roman"/>
                <w:sz w:val="21"/>
                <w:szCs w:val="21"/>
                <w:color w:val="008000"/>
                <w:w w:val="94"/>
                <w:vertAlign w:val="superscript"/>
              </w:rPr>
              <w:t>(2)</w:t>
            </w:r>
          </w:p>
        </w:tc>
        <w:tc>
          <w:tcPr>
            <w:tcW w:w="124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0000FF"/>
              </w:rPr>
              <w:t>1,308,329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11/16/2020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6"/>
              </w:rPr>
              <w:t>43,861</w:t>
            </w:r>
            <w:r>
              <w:rPr>
                <w:rFonts w:ascii="Times New Roman" w:cs="Times New Roman" w:eastAsia="Times New Roman" w:hAnsi="Times New Roman"/>
                <w:sz w:val="21"/>
                <w:szCs w:val="21"/>
                <w:color w:val="008000"/>
                <w:w w:val="96"/>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0000FF"/>
              </w:rPr>
              <w:t>1,264,468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31"/>
              <w:spacing w:after="0"/>
              <w:rPr>
                <w:sz w:val="20"/>
                <w:szCs w:val="20"/>
                <w:color w:val="auto"/>
              </w:rPr>
            </w:pPr>
            <w:r>
              <w:rPr>
                <w:rFonts w:ascii="Times New Roman" w:cs="Times New Roman" w:eastAsia="Times New Roman" w:hAnsi="Times New Roman"/>
                <w:sz w:val="16"/>
                <w:szCs w:val="16"/>
                <w:color w:val="0000FF"/>
              </w:rPr>
              <w:t>11/16/2020</w:t>
            </w: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w w:val="95"/>
              </w:rPr>
              <w:t>6,139</w:t>
            </w:r>
            <w:r>
              <w:rPr>
                <w:rFonts w:ascii="Times New Roman" w:cs="Times New Roman" w:eastAsia="Times New Roman" w:hAnsi="Times New Roman"/>
                <w:sz w:val="21"/>
                <w:szCs w:val="21"/>
                <w:color w:val="008000"/>
                <w:w w:val="95"/>
                <w:vertAlign w:val="superscript"/>
              </w:rPr>
              <w:t>(1)</w:t>
            </w: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620" w:type="dxa"/>
            <w:vAlign w:val="bottom"/>
            <w:tcBorders>
              <w:bottom w:val="single" w:sz="8" w:color="2C2C2C"/>
            </w:tcBorders>
          </w:tcPr>
          <w:p>
            <w:pPr>
              <w:jc w:val="center"/>
              <w:ind w:left="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42.03</w:t>
            </w:r>
          </w:p>
        </w:tc>
        <w:tc>
          <w:tcPr>
            <w:tcW w:w="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right"/>
              <w:ind w:right="222"/>
              <w:spacing w:after="0"/>
              <w:rPr>
                <w:sz w:val="20"/>
                <w:szCs w:val="20"/>
                <w:color w:val="auto"/>
              </w:rPr>
            </w:pPr>
            <w:r>
              <w:rPr>
                <w:rFonts w:ascii="Times New Roman" w:cs="Times New Roman" w:eastAsia="Times New Roman" w:hAnsi="Times New Roman"/>
                <w:sz w:val="16"/>
                <w:szCs w:val="16"/>
                <w:color w:val="0000FF"/>
              </w:rPr>
              <w:t>1,258,329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1060" w:type="dxa"/>
            <w:vAlign w:val="bottom"/>
            <w:tcBorders>
              <w:top w:val="single" w:sz="8" w:color="2C2C2C"/>
            </w:tcBorders>
          </w:tcPr>
          <w:p>
            <w:pPr>
              <w:spacing w:after="0"/>
              <w:rPr>
                <w:sz w:val="17"/>
                <w:szCs w:val="17"/>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56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w w:val="99"/>
              </w:rPr>
              <w:t>Expiration Date</w:t>
            </w: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  (D)</w:t>
            </w:r>
          </w:p>
        </w:tc>
        <w:tc>
          <w:tcPr>
            <w:tcW w:w="84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00" w:type="dxa"/>
            <w:vAlign w:val="bottom"/>
            <w:vMerge w:val="continue"/>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02/15/2020</w:t>
            </w:r>
            <w:r>
              <w:rPr>
                <w:rFonts w:ascii="Times New Roman" w:cs="Times New Roman" w:eastAsia="Times New Roman" w:hAnsi="Times New Roman"/>
                <w:sz w:val="21"/>
                <w:szCs w:val="21"/>
                <w:color w:val="008000"/>
                <w:vertAlign w:val="superscript"/>
              </w:rPr>
              <w:t>(3)</w:t>
            </w:r>
          </w:p>
        </w:tc>
        <w:tc>
          <w:tcPr>
            <w:tcW w:w="72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500,000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31.32</w:t>
            </w:r>
          </w:p>
        </w:tc>
        <w:tc>
          <w:tcPr>
            <w:tcW w:w="1060" w:type="dxa"/>
            <w:vAlign w:val="bottom"/>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11/16/2020</w:t>
            </w:r>
          </w:p>
        </w:tc>
        <w:tc>
          <w:tcPr>
            <w:tcW w:w="1060" w:type="dxa"/>
            <w:vAlign w:val="bottom"/>
          </w:tcPr>
          <w:p>
            <w:pPr>
              <w:spacing w:after="0"/>
              <w:rPr>
                <w:sz w:val="12"/>
                <w:szCs w:val="12"/>
                <w:color w:val="auto"/>
              </w:rPr>
            </w:pPr>
          </w:p>
        </w:tc>
        <w:tc>
          <w:tcPr>
            <w:tcW w:w="720" w:type="dxa"/>
            <w:vAlign w:val="bottom"/>
          </w:tcPr>
          <w:p>
            <w:pPr>
              <w:ind w:left="16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39" w:lineRule="exact"/>
              <w:rPr>
                <w:sz w:val="20"/>
                <w:szCs w:val="20"/>
                <w:color w:val="auto"/>
              </w:rPr>
            </w:pPr>
            <w:r>
              <w:rPr>
                <w:rFonts w:ascii="Times New Roman" w:cs="Times New Roman" w:eastAsia="Times New Roman" w:hAnsi="Times New Roman"/>
                <w:sz w:val="13"/>
                <w:szCs w:val="13"/>
                <w:color w:val="0000FF"/>
              </w:rPr>
              <w:t>500,000</w:t>
            </w:r>
          </w:p>
        </w:tc>
        <w:tc>
          <w:tcPr>
            <w:tcW w:w="840" w:type="dxa"/>
            <w:vAlign w:val="bottom"/>
            <w:gridSpan w:val="2"/>
            <w:vMerge w:val="continue"/>
          </w:tcPr>
          <w:p>
            <w:pPr>
              <w:spacing w:after="0"/>
              <w:rPr>
                <w:sz w:val="12"/>
                <w:szCs w:val="12"/>
                <w:color w:val="auto"/>
              </w:rPr>
            </w:pPr>
          </w:p>
        </w:tc>
        <w:tc>
          <w:tcPr>
            <w:tcW w:w="7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07/28/2025</w:t>
            </w:r>
          </w:p>
        </w:tc>
        <w:tc>
          <w:tcPr>
            <w:tcW w:w="6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39" w:lineRule="exact"/>
              <w:rPr>
                <w:sz w:val="20"/>
                <w:szCs w:val="20"/>
                <w:color w:val="auto"/>
              </w:rPr>
            </w:pPr>
            <w:r>
              <w:rPr>
                <w:rFonts w:ascii="Times New Roman" w:cs="Times New Roman" w:eastAsia="Times New Roman" w:hAnsi="Times New Roman"/>
                <w:sz w:val="13"/>
                <w:szCs w:val="13"/>
                <w:color w:val="0000FF"/>
              </w:rPr>
              <w:t>1,603,037</w:t>
            </w: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ind w:left="100"/>
              <w:spacing w:after="0" w:line="127"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-1766570</wp:posOffset>
            </wp:positionV>
            <wp:extent cx="7035165" cy="1903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190309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in this Form 4 were effected pursuant to a Rule 10b5-1 trading plan.</w:t>
      </w:r>
    </w:p>
    <w:p>
      <w:pPr>
        <w:spacing w:after="0" w:line="40" w:lineRule="exact"/>
        <w:rPr>
          <w:rFonts w:ascii="Times New Roman" w:cs="Times New Roman" w:eastAsia="Times New Roman" w:hAnsi="Times New Roman"/>
          <w:sz w:val="13"/>
          <w:szCs w:val="13"/>
          <w:color w:val="008000"/>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$42.00 to $42.13, inclusive. The Reporting Person undertakes to provide to the SEC, GM and any security holder, upon request, full information regarding the number of shares sold at each price point within the ranges set forth in this footnote.</w:t>
      </w:r>
    </w:p>
    <w:p>
      <w:pPr>
        <w:spacing w:after="0" w:line="21" w:lineRule="exact"/>
        <w:rPr>
          <w:rFonts w:ascii="Times New Roman" w:cs="Times New Roman" w:eastAsia="Times New Roman" w:hAnsi="Times New Roman"/>
          <w:sz w:val="13"/>
          <w:szCs w:val="13"/>
          <w:color w:val="008000"/>
        </w:rPr>
      </w:pPr>
    </w:p>
    <w:p>
      <w:pPr>
        <w:ind w:left="40" w:right="5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July 28, 2015, under the Company's 2014 Long-Term Incentive Plan. Forty percent of the options became exercisable on February 15, 2017; the remaining 60% became exercisable in three equal installments on February 15, 2018, February 15, 2019, and February 15, 2020.</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4" w:lineRule="auto"/>
        <w:rPr>
          <w:sz w:val="20"/>
          <w:szCs w:val="20"/>
          <w:color w:val="auto"/>
        </w:rPr>
      </w:pPr>
      <w:r>
        <w:rPr>
          <w:rFonts w:ascii="Times New Roman" w:cs="Times New Roman" w:eastAsia="Times New Roman" w:hAnsi="Times New Roman"/>
          <w:sz w:val="16"/>
          <w:szCs w:val="16"/>
          <w:color w:val="0000FF"/>
        </w:rPr>
        <w:t xml:space="preserve">/s/ Tia Y. Turk, Attorney-In-Fact </w:t>
      </w:r>
      <w:r>
        <w:rPr>
          <w:rFonts w:ascii="Times New Roman" w:cs="Times New Roman" w:eastAsia="Times New Roman" w:hAnsi="Times New Roman"/>
          <w:sz w:val="32"/>
          <w:szCs w:val="32"/>
          <w:color w:val="0000FF"/>
          <w:vertAlign w:val="subscript"/>
        </w:rPr>
        <w:t>11/18/2020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95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565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6515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1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2020-11-18T18:12:17Z</dcterms:created>
  <dcterms:modified xsi:type="dcterms:W3CDTF">2020-11-18T18:12:17Z</dcterms:modified>
</cp:coreProperties>
</file>