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October 31, 2018</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GENERAL MOTORS COMPANY</w:t>
      </w:r>
    </w:p>
    <w:p>
      <w:pPr>
        <w:spacing w:after="0" w:line="1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4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40" w:type="dxa"/>
            <w:vAlign w:val="bottom"/>
          </w:tcPr>
          <w:p>
            <w:pPr>
              <w:jc w:val="center"/>
              <w:ind w:right="1150"/>
              <w:spacing w:after="0"/>
              <w:rPr>
                <w:sz w:val="20"/>
                <w:szCs w:val="20"/>
                <w:color w:val="auto"/>
              </w:rPr>
            </w:pPr>
            <w:r>
              <w:rPr>
                <w:rFonts w:ascii="Arial" w:cs="Arial" w:eastAsia="Arial" w:hAnsi="Arial"/>
                <w:sz w:val="18"/>
                <w:szCs w:val="18"/>
                <w:b w:val="1"/>
                <w:bCs w:val="1"/>
                <w:color w:val="auto"/>
                <w:w w:val="98"/>
              </w:rPr>
              <w:t>DELAWARE</w:t>
            </w:r>
          </w:p>
        </w:tc>
        <w:tc>
          <w:tcPr>
            <w:tcW w:w="254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3"/>
              </w:rPr>
              <w:t>(State or other jurisdiction of</w:t>
            </w:r>
          </w:p>
        </w:tc>
        <w:tc>
          <w:tcPr>
            <w:tcW w:w="254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40" w:type="dxa"/>
            <w:vAlign w:val="bottom"/>
          </w:tcPr>
          <w:p>
            <w:pPr>
              <w:jc w:val="center"/>
              <w:ind w:right="1150"/>
              <w:spacing w:after="0"/>
              <w:rPr>
                <w:sz w:val="20"/>
                <w:szCs w:val="20"/>
                <w:color w:val="auto"/>
              </w:rPr>
            </w:pPr>
            <w:r>
              <w:rPr>
                <w:rFonts w:ascii="Arial" w:cs="Arial" w:eastAsia="Arial" w:hAnsi="Arial"/>
                <w:sz w:val="18"/>
                <w:szCs w:val="18"/>
                <w:color w:val="auto"/>
                <w:w w:val="92"/>
              </w:rPr>
              <w:t>incorporation)</w:t>
            </w:r>
          </w:p>
        </w:tc>
        <w:tc>
          <w:tcPr>
            <w:tcW w:w="2540" w:type="dxa"/>
            <w:vAlign w:val="bottom"/>
          </w:tcPr>
          <w:p>
            <w:pPr>
              <w:jc w:val="center"/>
              <w:ind w:right="41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40" w:type="dxa"/>
            <w:vAlign w:val="bottom"/>
          </w:tcPr>
          <w:p>
            <w:pPr>
              <w:jc w:val="center"/>
              <w:ind w:left="3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667-1500</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22"/>
          <w:szCs w:val="22"/>
          <w:color w:val="auto"/>
        </w:rPr>
        <w:t>__________________</w:t>
      </w:r>
    </w:p>
    <w:p>
      <w:pPr>
        <w:spacing w:after="0" w:line="210"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62"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57"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6"/>
          <w:szCs w:val="16"/>
          <w:color w:val="auto"/>
        </w:rPr>
        <w:t>☐</w:t>
      </w:r>
    </w:p>
    <w:p>
      <w:pPr>
        <w:spacing w:after="0" w:line="182" w:lineRule="exact"/>
        <w:rPr>
          <w:sz w:val="24"/>
          <w:szCs w:val="24"/>
          <w:color w:val="auto"/>
        </w:rPr>
      </w:pPr>
    </w:p>
    <w:p>
      <w:pPr>
        <w:ind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143"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On October 31, 2018 General Motors Company (GM) issued a news release and supplemental materials on the subject of its 2018 third quarter earnings.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news release and supplemental materials are attached as Exhibit 99.1 and Exhibit 99.2.</w:t>
      </w:r>
    </w:p>
    <w:p>
      <w:pPr>
        <w:spacing w:after="0" w:line="21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Charts furnished to securities analysts in connection with GM's 2018 third quarter earnings release are available on GM's website at www.gm.com/investors/earnings-releases.html.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EXHIBIT</w:t>
            </w:r>
          </w:p>
        </w:tc>
        <w:tc>
          <w:tcPr>
            <w:tcW w:w="40" w:type="dxa"/>
            <w:vAlign w:val="bottom"/>
          </w:tcPr>
          <w:p>
            <w:pPr>
              <w:spacing w:after="0"/>
              <w:rPr>
                <w:sz w:val="17"/>
                <w:szCs w:val="17"/>
                <w:color w:val="auto"/>
              </w:rPr>
            </w:pP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240" w:type="dxa"/>
            <w:vAlign w:val="bottom"/>
            <w:gridSpan w:val="5"/>
          </w:tcPr>
          <w:p>
            <w:pPr>
              <w:spacing w:after="0"/>
              <w:rPr>
                <w:sz w:val="20"/>
                <w:szCs w:val="20"/>
                <w:color w:val="auto"/>
              </w:rPr>
            </w:pPr>
            <w:r>
              <w:rPr>
                <w:rFonts w:ascii="Arial" w:cs="Arial" w:eastAsia="Arial" w:hAnsi="Arial"/>
                <w:sz w:val="18"/>
                <w:szCs w:val="18"/>
                <w:color w:val="auto"/>
              </w:rPr>
              <w:t>Description</w:t>
            </w:r>
          </w:p>
        </w:tc>
      </w:tr>
      <w:tr>
        <w:trPr>
          <w:trHeight w:val="20"/>
        </w:trPr>
        <w:tc>
          <w:tcPr>
            <w:tcW w:w="52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574"/>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3240" w:type="dxa"/>
            <w:vAlign w:val="bottom"/>
            <w:gridSpan w:val="5"/>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News Release Dated October 31, 2018</w:t>
              </w:r>
            </w:hyperlink>
          </w:p>
        </w:tc>
      </w:tr>
      <w:tr>
        <w:trPr>
          <w:trHeight w:val="20"/>
        </w:trPr>
        <w:tc>
          <w:tcPr>
            <w:tcW w:w="2860" w:type="dxa"/>
            <w:vAlign w:val="bottom"/>
            <w:gridSpan w:val="2"/>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r>
      <w:tr>
        <w:trPr>
          <w:trHeight w:val="250"/>
        </w:trPr>
        <w:tc>
          <w:tcPr>
            <w:tcW w:w="2860" w:type="dxa"/>
            <w:vAlign w:val="bottom"/>
            <w:gridSpan w:val="2"/>
          </w:tcPr>
          <w:p>
            <w:pPr>
              <w:spacing w:after="0"/>
              <w:rPr>
                <w:sz w:val="20"/>
                <w:szCs w:val="20"/>
                <w:color w:val="auto"/>
              </w:rPr>
            </w:pPr>
            <w:r>
              <w:rPr>
                <w:rFonts w:ascii="Arial" w:cs="Arial" w:eastAsia="Arial" w:hAnsi="Arial"/>
                <w:sz w:val="18"/>
                <w:szCs w:val="18"/>
                <w:color w:val="auto"/>
              </w:rPr>
              <w:t>Exhibit 99.2</w:t>
            </w:r>
          </w:p>
        </w:tc>
        <w:tc>
          <w:tcPr>
            <w:tcW w:w="324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8">
              <w:r>
                <w:rPr>
                  <w:rFonts w:ascii="Arial" w:cs="Arial" w:eastAsia="Arial" w:hAnsi="Arial"/>
                  <w:sz w:val="18"/>
                  <w:szCs w:val="18"/>
                  <w:color w:val="0000FF"/>
                  <w:w w:val="91"/>
                </w:rPr>
                <w:t>Financial Highlights Dated October 31, 2018</w:t>
              </w:r>
            </w:hyperlink>
          </w:p>
        </w:tc>
      </w:tr>
    </w:tbl>
    <w:p>
      <w:pPr>
        <w:sectPr>
          <w:pgSz w:w="11900" w:h="16838" w:orient="portrait"/>
          <w:cols w:equalWidth="0" w:num="1">
            <w:col w:w="11420"/>
          </w:cols>
          <w:pgMar w:left="240" w:top="58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GENERAL MOTORS COMPANY (Registrant)</w:t>
            </w:r>
          </w:p>
        </w:tc>
        <w:tc>
          <w:tcPr>
            <w:tcW w:w="0" w:type="dxa"/>
            <w:vAlign w:val="bottom"/>
          </w:tcPr>
          <w:p>
            <w:pPr>
              <w:spacing w:after="0"/>
              <w:rPr>
                <w:sz w:val="1"/>
                <w:szCs w:val="1"/>
                <w:color w:val="auto"/>
              </w:rPr>
            </w:pPr>
          </w:p>
        </w:tc>
      </w:tr>
      <w:tr>
        <w:trPr>
          <w:trHeight w:val="702"/>
        </w:trPr>
        <w:tc>
          <w:tcPr>
            <w:tcW w:w="6140" w:type="dxa"/>
            <w:vAlign w:val="bottom"/>
          </w:tcPr>
          <w:p>
            <w:pPr>
              <w:ind w:left="5480"/>
              <w:spacing w:after="0"/>
              <w:rPr>
                <w:sz w:val="20"/>
                <w:szCs w:val="20"/>
                <w:color w:val="auto"/>
              </w:rPr>
            </w:pPr>
            <w:r>
              <w:rPr>
                <w:rFonts w:ascii="Arial" w:cs="Arial" w:eastAsia="Arial" w:hAnsi="Arial"/>
                <w:sz w:val="18"/>
                <w:szCs w:val="18"/>
                <w:color w:val="auto"/>
              </w:rPr>
              <w:t>By:</w:t>
            </w:r>
          </w:p>
        </w:tc>
        <w:tc>
          <w:tcPr>
            <w:tcW w:w="5240" w:type="dxa"/>
            <w:vAlign w:val="bottom"/>
          </w:tcPr>
          <w:p>
            <w:pPr>
              <w:ind w:left="20"/>
              <w:spacing w:after="0"/>
              <w:rPr>
                <w:sz w:val="20"/>
                <w:szCs w:val="20"/>
                <w:color w:val="auto"/>
              </w:rPr>
            </w:pPr>
            <w:r>
              <w:rPr>
                <w:rFonts w:ascii="Arial" w:cs="Arial" w:eastAsia="Arial" w:hAnsi="Arial"/>
                <w:sz w:val="18"/>
                <w:szCs w:val="18"/>
                <w:color w:val="auto"/>
              </w:rPr>
              <w:t>/s/ CHRISTOPHER T. HATTO</w:t>
            </w:r>
          </w:p>
        </w:tc>
        <w:tc>
          <w:tcPr>
            <w:tcW w:w="0" w:type="dxa"/>
            <w:vAlign w:val="bottom"/>
          </w:tcPr>
          <w:p>
            <w:pPr>
              <w:spacing w:after="0"/>
              <w:rPr>
                <w:sz w:val="1"/>
                <w:szCs w:val="1"/>
                <w:color w:val="auto"/>
              </w:rPr>
            </w:pPr>
          </w:p>
        </w:tc>
      </w:tr>
      <w:tr>
        <w:trPr>
          <w:trHeight w:val="27"/>
        </w:trPr>
        <w:tc>
          <w:tcPr>
            <w:tcW w:w="6140" w:type="dxa"/>
            <w:vAlign w:val="bottom"/>
            <w:vMerge w:val="restart"/>
          </w:tcPr>
          <w:p>
            <w:pPr>
              <w:spacing w:after="0"/>
              <w:rPr>
                <w:sz w:val="20"/>
                <w:szCs w:val="20"/>
                <w:color w:val="auto"/>
              </w:rPr>
            </w:pPr>
            <w:r>
              <w:rPr>
                <w:rFonts w:ascii="Arial" w:cs="Arial" w:eastAsia="Arial" w:hAnsi="Arial"/>
                <w:sz w:val="18"/>
                <w:szCs w:val="18"/>
                <w:color w:val="auto"/>
              </w:rPr>
              <w:t>Date: October 31, 2018</w:t>
            </w:r>
          </w:p>
        </w:tc>
        <w:tc>
          <w:tcPr>
            <w:tcW w:w="5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6140" w:type="dxa"/>
            <w:vAlign w:val="bottom"/>
            <w:vMerge w:val="continue"/>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w w:val="94"/>
              </w:rPr>
              <w:t>Christopher T. Hatto, Vice President, Controller and Chief Accounting</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554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63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87515" cy="8963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jc w:val="right"/>
        <w:spacing w:after="0"/>
        <w:rPr>
          <w:sz w:val="20"/>
          <w:szCs w:val="20"/>
          <w:color w:val="auto"/>
        </w:rPr>
      </w:pPr>
      <w:r>
        <w:rPr>
          <w:rFonts w:ascii="Arial" w:cs="Arial" w:eastAsia="Arial" w:hAnsi="Arial"/>
          <w:sz w:val="20"/>
          <w:szCs w:val="20"/>
          <w:b w:val="1"/>
          <w:bCs w:val="1"/>
          <w:color w:val="auto"/>
        </w:rPr>
        <w:t>Exhibit 99.2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jc w:val="both"/>
        <w:ind w:firstLine="162"/>
        <w:spacing w:after="0" w:line="249" w:lineRule="auto"/>
        <w:rPr>
          <w:sz w:val="20"/>
          <w:szCs w:val="20"/>
          <w:color w:val="auto"/>
        </w:rPr>
      </w:pPr>
      <w:r>
        <w:rPr>
          <w:rFonts w:ascii="Arial" w:cs="Arial" w:eastAsia="Arial" w:hAnsi="Arial"/>
          <w:sz w:val="16"/>
          <w:szCs w:val="16"/>
          <w:color w:val="auto"/>
        </w:rPr>
        <w:t>Unless otherwise indicated, General Motors Company's (GM) non-GAAP measures are related to our continuing operations and not our discontinued operations. GM's non-GAAP measures include earnings before interest and taxes (EBIT)-adjusted, presented net of noncontrolling interests, Core EBIT-adjusted, earnings per share (EPS)-diluted-adjusted, effective tax rate-adjusted (ETR-adjusted), return on invested capital-adjusted (ROIC-adjusted) and adjusted automotive free cash flow. GM's calculation of these non-GAAP measures may not be comparable to similarly titled measures of other companies due to potential differences between companies in the method of calculation. As a result, the use of these non-GAAP measures has limitations and should not be considered superior to, in isolation from, or as a substitute for, related U.S. GAAP measures.</w:t>
      </w:r>
    </w:p>
    <w:p>
      <w:pPr>
        <w:spacing w:after="0" w:line="178" w:lineRule="exact"/>
        <w:rPr>
          <w:sz w:val="20"/>
          <w:szCs w:val="20"/>
          <w:color w:val="auto"/>
        </w:rPr>
      </w:pPr>
    </w:p>
    <w:p>
      <w:pPr>
        <w:jc w:val="both"/>
        <w:ind w:firstLine="162"/>
        <w:spacing w:after="0" w:line="248" w:lineRule="auto"/>
        <w:rPr>
          <w:sz w:val="20"/>
          <w:szCs w:val="20"/>
          <w:color w:val="auto"/>
        </w:rPr>
      </w:pPr>
      <w:r>
        <w:rPr>
          <w:rFonts w:ascii="Arial" w:cs="Arial" w:eastAsia="Arial" w:hAnsi="Arial"/>
          <w:sz w:val="16"/>
          <w:szCs w:val="16"/>
          <w:color w:val="auto"/>
        </w:rPr>
        <w:t>These non-GAAP measures allow management and investors to view operating trends, perform analytical comparisons and benchmark performance between periods and among geographic regions to understand operating performance without regard to items we do not consider a component of our core operating performance. Furthermore, these non-GAAP measures allow investors the opportunity to measure and monitor our performance against our externally communicated targets and evaluate the investment decisions being made by management to improve ROIC-adjusted. Management uses these measures in its financial, investment and operational decision-making processes, for internal reporting and as part of its forecasting and budgeting processes. Further, our Board of Directors uses certain of these and other measures as key metrics to determine management performance under our performance-based compensation plans. For these reasons we believe these non-GAAP measures are useful for our investors.</w:t>
      </w:r>
    </w:p>
    <w:p>
      <w:pPr>
        <w:spacing w:after="0" w:line="162" w:lineRule="exact"/>
        <w:rPr>
          <w:sz w:val="20"/>
          <w:szCs w:val="20"/>
          <w:color w:val="auto"/>
        </w:rPr>
      </w:pPr>
    </w:p>
    <w:p>
      <w:pPr>
        <w:jc w:val="both"/>
        <w:ind w:firstLine="162"/>
        <w:spacing w:after="0" w:line="254" w:lineRule="auto"/>
        <w:rPr>
          <w:sz w:val="20"/>
          <w:szCs w:val="20"/>
          <w:color w:val="auto"/>
        </w:rPr>
      </w:pPr>
      <w:r>
        <w:rPr>
          <w:rFonts w:ascii="Arial" w:cs="Arial" w:eastAsia="Arial" w:hAnsi="Arial"/>
          <w:sz w:val="16"/>
          <w:szCs w:val="16"/>
          <w:b w:val="1"/>
          <w:bCs w:val="1"/>
          <w:i w:val="1"/>
          <w:iCs w:val="1"/>
          <w:color w:val="auto"/>
        </w:rPr>
        <w:t xml:space="preserve">EBIT-adjusted </w:t>
      </w:r>
      <w:r>
        <w:rPr>
          <w:rFonts w:ascii="Arial" w:cs="Arial" w:eastAsia="Arial" w:hAnsi="Arial"/>
          <w:sz w:val="16"/>
          <w:szCs w:val="16"/>
          <w:color w:val="auto"/>
        </w:rPr>
        <w:t>EBIT-adjusted is presented net of noncontrolling interests and is used by management and can be used by investors to review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consolidated operating results because it excludes automotive interest income, automotive interest expense and income taxes as well as certain additional adjustments that are not considered part of our core operations. Examples of adjustments to EBIT include but are not limited to impairment charges on long-lived assets and other exit costs resulting from strategic shifts in our operations or discrete market and business conditions and costs arising from the ignition switch recall and related legal matters. For EBIT-adjusted and our other non-GAAP measures, once we have made an adjustment in the current period for an item, we will also adjust the related non-GAAP measure in any future periods in which there is a significant impact from the item.</w:t>
      </w:r>
    </w:p>
    <w:p>
      <w:pPr>
        <w:spacing w:after="0" w:line="155"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b w:val="1"/>
          <w:bCs w:val="1"/>
          <w:i w:val="1"/>
          <w:iCs w:val="1"/>
          <w:color w:val="auto"/>
        </w:rPr>
        <w:t xml:space="preserve">Core EBIT-adjusted </w:t>
      </w:r>
      <w:r>
        <w:rPr>
          <w:rFonts w:ascii="Arial" w:cs="Arial" w:eastAsia="Arial" w:hAnsi="Arial"/>
          <w:sz w:val="16"/>
          <w:szCs w:val="16"/>
          <w:color w:val="auto"/>
        </w:rPr>
        <w:t>Core EBIT-adjusted is used by management and can be used by investors to review our core consolidated operating results. Core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EBIT-adjusted begins with EBIT-adjusted and excludes the EBIT-adjusted results of GM Cruise. Prior to the three months ended June 30, 2018, Core EBIT-adjusted excluded the EBIT-adjusted results of autonomous vehicle operations, including GM Cruise, Maven and our investment in Lyft. The measure was changed to align with segment reporting. All periods presented have been recast to reflect the changes.</w:t>
      </w:r>
    </w:p>
    <w:p>
      <w:pPr>
        <w:spacing w:after="0" w:line="151"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6"/>
          <w:szCs w:val="16"/>
          <w:b w:val="1"/>
          <w:bCs w:val="1"/>
          <w:i w:val="1"/>
          <w:iCs w:val="1"/>
          <w:color w:val="auto"/>
        </w:rPr>
        <w:t xml:space="preserve">EPS-diluted-adjusted </w:t>
      </w:r>
      <w:r>
        <w:rPr>
          <w:rFonts w:ascii="Arial" w:cs="Arial" w:eastAsia="Arial" w:hAnsi="Arial"/>
          <w:sz w:val="16"/>
          <w:szCs w:val="16"/>
          <w:color w:val="auto"/>
        </w:rPr>
        <w:t>EPS-diluted-adjusted is used by management and can be used by investors to review our consolidated diluted EPS results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EPS-diluted-adjusted is calculated as net income attributable to common stockholders-diluted less income (loss) from discontinued operations on an after-tax basis, adjustments noted above for EBIT-adjusted and certain income tax adjustments divided by weighted-average common shares outstanding-diluted. Examples of income tax adjustments include the establishment or reversal of significant deferred tax asset valuation allowances.</w:t>
      </w:r>
    </w:p>
    <w:p>
      <w:pPr>
        <w:spacing w:after="0" w:line="151" w:lineRule="exact"/>
        <w:rPr>
          <w:sz w:val="20"/>
          <w:szCs w:val="20"/>
          <w:color w:val="auto"/>
        </w:rPr>
      </w:pPr>
    </w:p>
    <w:p>
      <w:pPr>
        <w:jc w:val="both"/>
        <w:ind w:firstLine="162"/>
        <w:spacing w:after="0" w:line="266" w:lineRule="auto"/>
        <w:rPr>
          <w:sz w:val="20"/>
          <w:szCs w:val="20"/>
          <w:color w:val="auto"/>
        </w:rPr>
      </w:pPr>
      <w:r>
        <w:rPr>
          <w:rFonts w:ascii="Arial" w:cs="Arial" w:eastAsia="Arial" w:hAnsi="Arial"/>
          <w:sz w:val="16"/>
          <w:szCs w:val="16"/>
          <w:b w:val="1"/>
          <w:bCs w:val="1"/>
          <w:i w:val="1"/>
          <w:iCs w:val="1"/>
          <w:color w:val="auto"/>
        </w:rPr>
        <w:t xml:space="preserve">ETR-adjusted </w:t>
      </w:r>
      <w:r>
        <w:rPr>
          <w:rFonts w:ascii="Arial" w:cs="Arial" w:eastAsia="Arial" w:hAnsi="Arial"/>
          <w:sz w:val="16"/>
          <w:szCs w:val="16"/>
          <w:color w:val="auto"/>
        </w:rPr>
        <w:t>ETR-adjusted is used by management and can be used by investors to review the consolidated effective tax rate for our core operations on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basis. ETR-adjusted is calculated as Income tax expense less the income tax related to the adjustments noted above for EBIT-adjusted and the income tax adjustments noted above for EPS-diluted-adjusted divided by Income before income taxes less adjustments.</w:t>
      </w:r>
    </w:p>
    <w:p>
      <w:pPr>
        <w:spacing w:after="0" w:line="145" w:lineRule="exact"/>
        <w:rPr>
          <w:sz w:val="20"/>
          <w:szCs w:val="20"/>
          <w:color w:val="auto"/>
        </w:rPr>
      </w:pPr>
    </w:p>
    <w:p>
      <w:pPr>
        <w:jc w:val="both"/>
        <w:ind w:firstLine="162"/>
        <w:spacing w:after="0" w:line="256" w:lineRule="auto"/>
        <w:rPr>
          <w:sz w:val="20"/>
          <w:szCs w:val="20"/>
          <w:color w:val="auto"/>
        </w:rPr>
      </w:pPr>
      <w:r>
        <w:rPr>
          <w:rFonts w:ascii="Arial" w:cs="Arial" w:eastAsia="Arial" w:hAnsi="Arial"/>
          <w:sz w:val="16"/>
          <w:szCs w:val="16"/>
          <w:b w:val="1"/>
          <w:bCs w:val="1"/>
          <w:i w:val="1"/>
          <w:iCs w:val="1"/>
          <w:color w:val="auto"/>
        </w:rPr>
        <w:t xml:space="preserve">ROIC-adjusted </w:t>
      </w:r>
      <w:r>
        <w:rPr>
          <w:rFonts w:ascii="Arial" w:cs="Arial" w:eastAsia="Arial" w:hAnsi="Arial"/>
          <w:sz w:val="16"/>
          <w:szCs w:val="16"/>
          <w:color w:val="auto"/>
        </w:rPr>
        <w:t>ROIC-adjusted is used by management and can be used by investors to review our investment and capital allocation decisions. We define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ROIC-adjusted as EBIT-adjusted for the trailing four quarters divided by ROIC-adjusted average net assets, which is considered to be the average equity balances adjusted for average automotive debt and interest liabilities, exclusive of capital leases; average net pension and OPEB liabilities; and average automotive and other net income tax assets during the same period. Adjustments to the average equity balances exclude assets and liabilities classified as either assets held for sale or liabilities held for sale.</w:t>
      </w:r>
    </w:p>
    <w:p>
      <w:pPr>
        <w:spacing w:after="0" w:line="153" w:lineRule="exact"/>
        <w:rPr>
          <w:sz w:val="20"/>
          <w:szCs w:val="20"/>
          <w:color w:val="auto"/>
        </w:rPr>
      </w:pPr>
    </w:p>
    <w:p>
      <w:pPr>
        <w:jc w:val="both"/>
        <w:ind w:firstLine="162"/>
        <w:spacing w:after="0" w:line="256" w:lineRule="auto"/>
        <w:rPr>
          <w:sz w:val="20"/>
          <w:szCs w:val="20"/>
          <w:color w:val="auto"/>
        </w:rPr>
      </w:pPr>
      <w:r>
        <w:rPr>
          <w:rFonts w:ascii="Arial" w:cs="Arial" w:eastAsia="Arial" w:hAnsi="Arial"/>
          <w:sz w:val="16"/>
          <w:szCs w:val="16"/>
          <w:b w:val="1"/>
          <w:bCs w:val="1"/>
          <w:i w:val="1"/>
          <w:iCs w:val="1"/>
          <w:color w:val="auto"/>
        </w:rPr>
        <w:t xml:space="preserve">Adjusted automotive free cash flow </w:t>
      </w:r>
      <w:r>
        <w:rPr>
          <w:rFonts w:ascii="Arial" w:cs="Arial" w:eastAsia="Arial" w:hAnsi="Arial"/>
          <w:sz w:val="16"/>
          <w:szCs w:val="16"/>
          <w:color w:val="auto"/>
        </w:rPr>
        <w:t>Adjusted automotive free cash flow is used by management and can be used by investors to review the liquidity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automotive operations and to measure and monitor our performance against our capital allocation program and evaluate our automotive liquidity against the substantial cash requirements of our automotive operations. We measure adjusted automotive free cash flow as automotive operating cash flow from continuing operations less capital expenditures adjusted for management actions. Management actions can include voluntary events such as discretionary contributions to employee benefit plans or nonrecurring specific events such as a plant closure that are considered special for EBIT-adjusted purposes.</w:t>
      </w:r>
    </w:p>
    <w:p>
      <w:pPr>
        <w:spacing w:after="0" w:line="200" w:lineRule="exact"/>
        <w:rPr>
          <w:sz w:val="20"/>
          <w:szCs w:val="20"/>
          <w:color w:val="auto"/>
        </w:rPr>
      </w:pPr>
    </w:p>
    <w:p>
      <w:pPr>
        <w:spacing w:after="0" w:line="216"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segment profit (loss) to Net income (loss) attributable to stockholders under U.S. GAAP (dollars in millions):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3"/>
                <w:szCs w:val="13"/>
                <w:b w:val="1"/>
                <w:bCs w:val="1"/>
                <w:color w:val="auto"/>
              </w:rPr>
              <w:t>Three Months Ended</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3"/>
                <w:szCs w:val="13"/>
                <w:b w:val="1"/>
                <w:bCs w:val="1"/>
                <w:color w:val="auto"/>
              </w:rPr>
              <w:t>Nine Months Ended</w:t>
            </w:r>
          </w:p>
        </w:tc>
        <w:tc>
          <w:tcPr>
            <w:tcW w:w="7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2018</w:t>
            </w:r>
          </w:p>
        </w:tc>
        <w:tc>
          <w:tcPr>
            <w:tcW w:w="1460" w:type="dxa"/>
            <w:vAlign w:val="bottom"/>
            <w:gridSpan w:val="3"/>
          </w:tcPr>
          <w:p>
            <w:pPr>
              <w:ind w:left="80"/>
              <w:spacing w:after="0"/>
              <w:rPr>
                <w:sz w:val="20"/>
                <w:szCs w:val="20"/>
                <w:color w:val="auto"/>
              </w:rPr>
            </w:pPr>
            <w:r>
              <w:rPr>
                <w:rFonts w:ascii="Arial" w:cs="Arial" w:eastAsia="Arial" w:hAnsi="Arial"/>
                <w:sz w:val="13"/>
                <w:szCs w:val="13"/>
                <w:b w:val="1"/>
                <w:bCs w:val="1"/>
                <w:color w:val="auto"/>
              </w:rPr>
              <w:t>September 30, 2017</w:t>
            </w:r>
          </w:p>
        </w:tc>
        <w:tc>
          <w:tcPr>
            <w:tcW w:w="148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2018</w:t>
            </w:r>
          </w:p>
        </w:tc>
        <w:tc>
          <w:tcPr>
            <w:tcW w:w="1360" w:type="dxa"/>
            <w:vAlign w:val="bottom"/>
            <w:gridSpan w:val="2"/>
          </w:tcPr>
          <w:p>
            <w:pPr>
              <w:jc w:val="right"/>
              <w:ind w:right="19"/>
              <w:spacing w:after="0"/>
              <w:rPr>
                <w:sz w:val="20"/>
                <w:szCs w:val="20"/>
                <w:color w:val="auto"/>
              </w:rPr>
            </w:pPr>
            <w:r>
              <w:rPr>
                <w:rFonts w:ascii="Arial" w:cs="Arial" w:eastAsia="Arial" w:hAnsi="Arial"/>
                <w:sz w:val="13"/>
                <w:szCs w:val="13"/>
                <w:b w:val="1"/>
                <w:bCs w:val="1"/>
                <w:color w:val="auto"/>
              </w:rPr>
              <w:t>September 30, 2017</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Operating segments</w:t>
            </w:r>
          </w:p>
        </w:tc>
        <w:tc>
          <w:tcPr>
            <w:tcW w:w="46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 North America (GMNA)</w:t>
            </w: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2,825</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2,068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65"/>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7,728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45"/>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9,014</w:t>
            </w:r>
          </w:p>
        </w:tc>
        <w:tc>
          <w:tcPr>
            <w:tcW w:w="0" w:type="dxa"/>
            <w:vAlign w:val="bottom"/>
          </w:tcPr>
          <w:p>
            <w:pPr>
              <w:spacing w:after="0"/>
              <w:rPr>
                <w:sz w:val="1"/>
                <w:szCs w:val="1"/>
                <w:color w:val="auto"/>
              </w:rPr>
            </w:pPr>
          </w:p>
        </w:tc>
      </w:tr>
      <w:tr>
        <w:trPr>
          <w:trHeight w:val="260"/>
        </w:trPr>
        <w:tc>
          <w:tcPr>
            <w:tcW w:w="5620" w:type="dxa"/>
            <w:vAlign w:val="bottom"/>
          </w:tcPr>
          <w:p>
            <w:pPr>
              <w:ind w:left="180"/>
              <w:spacing w:after="0"/>
              <w:rPr>
                <w:sz w:val="20"/>
                <w:szCs w:val="20"/>
                <w:color w:val="auto"/>
              </w:rPr>
            </w:pPr>
            <w:r>
              <w:rPr>
                <w:rFonts w:ascii="Arial" w:cs="Arial" w:eastAsia="Arial" w:hAnsi="Arial"/>
                <w:sz w:val="16"/>
                <w:szCs w:val="16"/>
                <w:color w:val="auto"/>
              </w:rPr>
              <w:t>GM International (GMI)</w:t>
            </w:r>
          </w:p>
        </w:tc>
        <w:tc>
          <w:tcPr>
            <w:tcW w:w="46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471</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884</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 Cruise</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General Motors Financial Company, Inc. (GM Financial)(a)</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498</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1,477</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895</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operating segments</w:t>
            </w: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3,248</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2,602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9,142</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10,338</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Corporate and eliminations(b)</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EBIT-adjusted</w:t>
            </w: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3,153</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2,523</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8,955</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9,759</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Adjustments</w:t>
            </w:r>
          </w:p>
        </w:tc>
        <w:tc>
          <w:tcPr>
            <w:tcW w:w="4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GMI restructuring(c)</w:t>
            </w:r>
          </w:p>
        </w:tc>
        <w:tc>
          <w:tcPr>
            <w:tcW w:w="46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Ignition switch recall and related legal matters(d)</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adjustments</w:t>
            </w: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0" w:type="dxa"/>
            <w:vAlign w:val="bottom"/>
          </w:tcPr>
          <w:p>
            <w:pPr>
              <w:spacing w:after="0"/>
              <w:rPr>
                <w:sz w:val="1"/>
                <w:szCs w:val="1"/>
                <w:color w:val="auto"/>
              </w:rPr>
            </w:pP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Automotive interest income</w:t>
            </w:r>
          </w:p>
        </w:tc>
        <w:tc>
          <w:tcPr>
            <w:tcW w:w="460" w:type="dxa"/>
            <w:vAlign w:val="bottom"/>
          </w:tcPr>
          <w:p>
            <w:pPr>
              <w:spacing w:after="0"/>
              <w:rPr>
                <w:sz w:val="22"/>
                <w:szCs w:val="22"/>
                <w:color w:val="auto"/>
              </w:rPr>
            </w:pPr>
          </w:p>
        </w:tc>
        <w:tc>
          <w:tcPr>
            <w:tcW w:w="920" w:type="dxa"/>
            <w:vAlign w:val="bottom"/>
          </w:tcPr>
          <w:p>
            <w:pPr>
              <w:jc w:val="right"/>
              <w:ind w:right="20"/>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0" w:type="dxa"/>
            <w:vAlign w:val="bottom"/>
          </w:tcPr>
          <w:p>
            <w:pPr>
              <w:spacing w:after="0"/>
              <w:rPr>
                <w:sz w:val="1"/>
                <w:szCs w:val="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Automotive interest expense</w:t>
            </w:r>
          </w:p>
        </w:tc>
        <w:tc>
          <w:tcPr>
            <w:tcW w:w="4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 expense(e)</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(2,316)</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(3,637)</w:t>
            </w: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from continuing operations(f)</w:t>
            </w:r>
          </w:p>
        </w:tc>
        <w:tc>
          <w:tcPr>
            <w:tcW w:w="46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2,534</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6,040</w:t>
            </w:r>
          </w:p>
        </w:tc>
        <w:tc>
          <w:tcPr>
            <w:tcW w:w="12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5,222</w:t>
            </w:r>
          </w:p>
        </w:tc>
        <w:tc>
          <w:tcPr>
            <w:tcW w:w="0" w:type="dxa"/>
            <w:vAlign w:val="bottom"/>
          </w:tcPr>
          <w:p>
            <w:pPr>
              <w:spacing w:after="0"/>
              <w:rPr>
                <w:sz w:val="1"/>
                <w:szCs w:val="1"/>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Loss from discontinued operations, net of tax(g)</w:t>
            </w:r>
          </w:p>
        </w:tc>
        <w:tc>
          <w:tcPr>
            <w:tcW w:w="46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2"/>
                <w:szCs w:val="22"/>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3,096</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jc w:val="right"/>
              <w:ind w:right="19"/>
              <w:spacing w:after="0"/>
              <w:rPr>
                <w:sz w:val="20"/>
                <w:szCs w:val="20"/>
                <w:color w:val="auto"/>
              </w:rPr>
            </w:pPr>
            <w:r>
              <w:rPr>
                <w:rFonts w:ascii="Arial" w:cs="Arial" w:eastAsia="Arial" w:hAnsi="Arial"/>
                <w:sz w:val="16"/>
                <w:szCs w:val="16"/>
                <w:color w:val="auto"/>
              </w:rPr>
              <w:t>3,935</w:t>
            </w:r>
          </w:p>
        </w:tc>
        <w:tc>
          <w:tcPr>
            <w:tcW w:w="0" w:type="dxa"/>
            <w:vAlign w:val="bottom"/>
          </w:tcPr>
          <w:p>
            <w:pPr>
              <w:spacing w:after="0"/>
              <w:rPr>
                <w:sz w:val="1"/>
                <w:szCs w:val="1"/>
                <w:color w:val="auto"/>
              </w:rPr>
            </w:pPr>
          </w:p>
        </w:tc>
      </w:tr>
      <w:tr>
        <w:trPr>
          <w:trHeight w:val="24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 attributable to stockholders</w:t>
            </w:r>
          </w:p>
        </w:tc>
        <w:tc>
          <w:tcPr>
            <w:tcW w:w="46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2,534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65"/>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5,970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40" w:type="dxa"/>
            <w:vAlign w:val="bottom"/>
            <w:tcBorders>
              <w:top w:val="single" w:sz="8" w:color="auto"/>
              <w:bottom w:val="single" w:sz="8" w:color="auto"/>
            </w:tcBorders>
            <w:shd w:val="clear" w:color="auto" w:fill="CCEEFF"/>
          </w:tcPr>
          <w:p>
            <w:pPr>
              <w:jc w:val="right"/>
              <w:ind w:right="445"/>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1,287</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6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 Financial amounts represent earnings before income taxes-adjusted.</w:t>
      </w:r>
    </w:p>
    <w:p>
      <w:pPr>
        <w:spacing w:after="0" w:line="1" w:lineRule="exact"/>
        <w:rPr>
          <w:rFonts w:ascii="Arial" w:cs="Arial" w:eastAsia="Arial" w:hAnsi="Arial"/>
          <w:sz w:val="14"/>
          <w:szCs w:val="14"/>
          <w:color w:val="auto"/>
        </w:rPr>
      </w:pPr>
    </w:p>
    <w:p>
      <w:pPr>
        <w:jc w:val="both"/>
        <w:ind w:left="340" w:hanging="332"/>
        <w:spacing w:after="0" w:line="243"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GM's automotive operations' interest income and interest expense, Maven, legacy costs from the Opel and Vauxhall businesses and certain other assets in Europe (the Opel/Vauxhall Business), which are primarily pension costs, corporate expenditures and certain nonsegment specific revenues and expenses are recorded centrally in Corporate.</w:t>
      </w:r>
    </w:p>
    <w:p>
      <w:pPr>
        <w:spacing w:after="0" w:line="160" w:lineRule="exact"/>
        <w:rPr>
          <w:rFonts w:ascii="Arial" w:cs="Arial" w:eastAsia="Arial" w:hAnsi="Arial"/>
          <w:sz w:val="14"/>
          <w:szCs w:val="14"/>
          <w:color w:val="auto"/>
        </w:rPr>
      </w:pPr>
    </w:p>
    <w:p>
      <w:pPr>
        <w:jc w:val="both"/>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adjustments were excluded because of a strategic decision to rationalize our core operations by exiting or significantly reducing our presence in various international markets to focus resources on opportunities expected to deliver higher returns. The adjustments in the nine months ended September 30, 2018 primarily consist of non-cash asset impairments, employee separation and other charges related to restructuring in Korea. The adjustment in the nine months ended September 30, 2017 primarily consists of asset impairments and other restructuring actions in India, South Africa and Venezuela.</w:t>
      </w:r>
    </w:p>
    <w:p>
      <w:pPr>
        <w:spacing w:after="0" w:line="1" w:lineRule="exact"/>
        <w:rPr>
          <w:rFonts w:ascii="Arial" w:cs="Arial" w:eastAsia="Arial" w:hAnsi="Arial"/>
          <w:sz w:val="14"/>
          <w:szCs w:val="14"/>
          <w:color w:val="auto"/>
        </w:rPr>
      </w:pPr>
    </w:p>
    <w:p>
      <w:pPr>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These adjustments were excluded because of the unique events associated with the ignition switch recall. These events included various investigations, inquiries, and complaints from constituents.</w:t>
      </w:r>
    </w:p>
    <w:p>
      <w:pPr>
        <w:jc w:val="both"/>
        <w:ind w:left="340" w:hanging="332"/>
        <w:spacing w:after="0" w:line="241"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Income tax expense includes an adjustment of $157 million in tax benefit in the three and nine months ended September 30, 2018 related to U.S. tax reform and $1.8 billion in the three and nine months ended September 30, 2017 related to the establishment of a valuation allowance on deferred tax assets that will no longer be realizable as a result of the sale of the Opel/Vauxhall Business, partially offset by tax benefits related to tax settlements.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Net of Net (income) loss attributable to noncontrolling interests.</w:t>
      </w:r>
    </w:p>
    <w:p>
      <w:pPr>
        <w:spacing w:after="0" w:line="1" w:lineRule="exact"/>
        <w:rPr>
          <w:rFonts w:ascii="Arial" w:cs="Arial" w:eastAsia="Arial" w:hAnsi="Arial"/>
          <w:sz w:val="14"/>
          <w:szCs w:val="14"/>
          <w:color w:val="auto"/>
        </w:rPr>
      </w:pPr>
    </w:p>
    <w:p>
      <w:pPr>
        <w:ind w:left="340" w:right="20" w:hanging="332"/>
        <w:spacing w:after="0" w:line="258" w:lineRule="auto"/>
        <w:tabs>
          <w:tab w:leader="none" w:pos="34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Represents the results of the Opel/Vauxhall Business and our European financing subsidiaries and branches (the Fincos, and together with the Opel/Vauxhall Business, the European Business).</w:t>
      </w:r>
    </w:p>
    <w:p>
      <w:pPr>
        <w:spacing w:after="0" w:line="200" w:lineRule="exact"/>
        <w:rPr>
          <w:sz w:val="20"/>
          <w:szCs w:val="20"/>
          <w:color w:val="auto"/>
        </w:rPr>
      </w:pPr>
    </w:p>
    <w:p>
      <w:pPr>
        <w:spacing w:after="0" w:line="342"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5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Net income (loss) attributable to stockholders under U.S. GAAP to EBIT-adjusted (dollars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6"/>
          </w:tcPr>
          <w:p>
            <w:pPr>
              <w:ind w:left="60"/>
              <w:spacing w:after="0"/>
              <w:rPr>
                <w:sz w:val="20"/>
                <w:szCs w:val="20"/>
                <w:color w:val="auto"/>
              </w:rPr>
            </w:pPr>
            <w:r>
              <w:rPr>
                <w:rFonts w:ascii="Arial" w:cs="Arial" w:eastAsia="Arial" w:hAnsi="Arial"/>
                <w:sz w:val="13"/>
                <w:szCs w:val="13"/>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gridSpan w:val="5"/>
          </w:tcPr>
          <w:p>
            <w:pPr>
              <w:ind w:left="180"/>
              <w:spacing w:after="0"/>
              <w:rPr>
                <w:sz w:val="20"/>
                <w:szCs w:val="20"/>
                <w:color w:val="auto"/>
              </w:rPr>
            </w:pPr>
            <w:r>
              <w:rPr>
                <w:rFonts w:ascii="Arial" w:cs="Arial" w:eastAsia="Arial" w:hAnsi="Arial"/>
                <w:sz w:val="13"/>
                <w:szCs w:val="13"/>
                <w:b w:val="1"/>
                <w:bCs w:val="1"/>
                <w:color w:val="auto"/>
              </w:rPr>
              <w:t>September 30,</w:t>
            </w:r>
          </w:p>
        </w:tc>
        <w:tc>
          <w:tcPr>
            <w:tcW w:w="160" w:type="dxa"/>
            <w:vAlign w:val="bottom"/>
          </w:tcPr>
          <w:p>
            <w:pPr>
              <w:spacing w:after="0"/>
              <w:rPr>
                <w:sz w:val="22"/>
                <w:szCs w:val="22"/>
                <w:color w:val="auto"/>
              </w:rPr>
            </w:pPr>
          </w:p>
        </w:tc>
        <w:tc>
          <w:tcPr>
            <w:tcW w:w="880" w:type="dxa"/>
            <w:vAlign w:val="bottom"/>
            <w:gridSpan w:val="3"/>
          </w:tcPr>
          <w:p>
            <w:pPr>
              <w:ind w:left="360"/>
              <w:spacing w:after="0"/>
              <w:rPr>
                <w:sz w:val="20"/>
                <w:szCs w:val="20"/>
                <w:color w:val="auto"/>
              </w:rPr>
            </w:pPr>
            <w:r>
              <w:rPr>
                <w:rFonts w:ascii="Arial" w:cs="Arial" w:eastAsia="Arial" w:hAnsi="Arial"/>
                <w:sz w:val="13"/>
                <w:szCs w:val="13"/>
                <w:b w:val="1"/>
                <w:bCs w:val="1"/>
                <w:color w:val="auto"/>
                <w:w w:val="96"/>
              </w:rPr>
              <w:t>June 30,</w:t>
            </w: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5"/>
          </w:tcPr>
          <w:p>
            <w:pPr>
              <w:ind w:left="30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22"/>
                <w:szCs w:val="22"/>
                <w:color w:val="auto"/>
              </w:rPr>
            </w:pPr>
          </w:p>
        </w:tc>
        <w:tc>
          <w:tcPr>
            <w:tcW w:w="1300" w:type="dxa"/>
            <w:vAlign w:val="bottom"/>
            <w:gridSpan w:val="4"/>
          </w:tcPr>
          <w:p>
            <w:pPr>
              <w:jc w:val="right"/>
              <w:ind w:right="209"/>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top w:val="single" w:sz="8" w:color="auto"/>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89"/>
              </w:rPr>
              <w:t>2017</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2018</w:t>
            </w:r>
          </w:p>
        </w:tc>
        <w:tc>
          <w:tcPr>
            <w:tcW w:w="10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2017</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3"/>
                <w:szCs w:val="13"/>
                <w:b w:val="1"/>
                <w:bCs w:val="1"/>
                <w:color w:val="auto"/>
              </w:rPr>
              <w:t>2017</w:t>
            </w:r>
          </w:p>
        </w:tc>
        <w:tc>
          <w:tcPr>
            <w:tcW w:w="100" w:type="dxa"/>
            <w:vAlign w:val="bottom"/>
            <w:tcBorders>
              <w:top w:val="single" w:sz="8" w:color="auto"/>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stockholders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2,534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(2,981)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2,390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96"/>
              </w:rPr>
              <w:t>1,660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2,608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1,835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Loss from discontinued operations, net of tax</w:t>
            </w:r>
          </w:p>
        </w:tc>
        <w:tc>
          <w:tcPr>
            <w:tcW w:w="1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3,096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7,896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Automotive interest expense</w:t>
            </w:r>
          </w:p>
        </w:tc>
        <w:tc>
          <w:tcPr>
            <w:tcW w:w="16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ind w:right="49"/>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jc w:val="right"/>
              <w:ind w:right="49"/>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ind w:right="50"/>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ind w:right="50"/>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29"/>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Automotive interest income</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GMI restructuring(a)</w:t>
            </w: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Ignition switch recall and related legal matters(a)</w:t>
            </w: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440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adjustments</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440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942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40" w:type="dxa"/>
            <w:vAlign w:val="bottom"/>
          </w:tcPr>
          <w:p>
            <w:pPr>
              <w:ind w:left="20"/>
              <w:spacing w:after="0"/>
              <w:rPr>
                <w:sz w:val="20"/>
                <w:szCs w:val="20"/>
                <w:color w:val="auto"/>
              </w:rPr>
            </w:pPr>
            <w:r>
              <w:rPr>
                <w:rFonts w:ascii="Arial" w:cs="Arial" w:eastAsia="Arial" w:hAnsi="Arial"/>
                <w:sz w:val="14"/>
                <w:szCs w:val="14"/>
                <w:color w:val="auto"/>
              </w:rPr>
              <w:t>EBIT-adjusted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3,153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2,523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3,192</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96"/>
              </w:rPr>
              <w:t>3,682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2,610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3,554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3,085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2,598</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jc w:val="right"/>
              <w:ind w:right="4448"/>
              <w:spacing w:after="0"/>
              <w:rPr>
                <w:sz w:val="20"/>
                <w:szCs w:val="20"/>
                <w:color w:val="auto"/>
              </w:rPr>
            </w:pPr>
            <w:r>
              <w:rPr>
                <w:rFonts w:ascii="Arial" w:cs="Arial" w:eastAsia="Arial" w:hAnsi="Arial"/>
                <w:sz w:val="14"/>
                <w:szCs w:val="14"/>
                <w:color w:val="auto"/>
                <w:w w:val="99"/>
              </w:rPr>
              <w:t>________</w:t>
            </w: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right="20" w:hanging="332"/>
        <w:spacing w:after="0" w:line="249"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Refer to the reconciliation of segment profit (loss) to Net income (loss) attributable to stockholders under U.S. GAAP within the previous section for the details of the adjustments.</w:t>
      </w:r>
    </w:p>
    <w:p>
      <w:pPr>
        <w:spacing w:after="0" w:line="200" w:lineRule="exact"/>
        <w:rPr>
          <w:sz w:val="20"/>
          <w:szCs w:val="20"/>
          <w:color w:val="auto"/>
        </w:rPr>
      </w:pPr>
    </w:p>
    <w:p>
      <w:pPr>
        <w:spacing w:after="0" w:line="31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EBIT-adjusted to Core EBIT-adjusted:</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3"/>
                <w:szCs w:val="13"/>
                <w:b w:val="1"/>
                <w:bCs w:val="1"/>
                <w:color w:val="auto"/>
              </w:rPr>
              <w:t>Three Months Ended</w:t>
            </w:r>
          </w:p>
        </w:tc>
        <w:tc>
          <w:tcPr>
            <w:tcW w:w="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3"/>
                <w:szCs w:val="13"/>
                <w:b w:val="1"/>
                <w:bCs w:val="1"/>
                <w:color w:val="auto"/>
              </w:rPr>
              <w:t>Nine Months Ended</w:t>
            </w:r>
          </w:p>
        </w:tc>
        <w:tc>
          <w:tcPr>
            <w:tcW w:w="720" w:type="dxa"/>
            <w:vAlign w:val="bottom"/>
            <w:tcBorders>
              <w:bottom w:val="single" w:sz="8" w:color="auto"/>
            </w:tcBorders>
          </w:tcPr>
          <w:p>
            <w:pPr>
              <w:spacing w:after="0"/>
              <w:rPr>
                <w:sz w:val="15"/>
                <w:szCs w:val="15"/>
                <w:color w:val="auto"/>
              </w:rPr>
            </w:pPr>
          </w:p>
        </w:tc>
      </w:tr>
      <w:tr>
        <w:trPr>
          <w:trHeight w:val="264"/>
        </w:trPr>
        <w:tc>
          <w:tcPr>
            <w:tcW w:w="5620" w:type="dxa"/>
            <w:vAlign w:val="bottom"/>
          </w:tcPr>
          <w:p>
            <w:pPr>
              <w:spacing w:after="0"/>
              <w:rPr>
                <w:sz w:val="22"/>
                <w:szCs w:val="22"/>
                <w:color w:val="auto"/>
              </w:rPr>
            </w:pPr>
          </w:p>
        </w:tc>
        <w:tc>
          <w:tcPr>
            <w:tcW w:w="150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2018</w:t>
            </w:r>
          </w:p>
        </w:tc>
        <w:tc>
          <w:tcPr>
            <w:tcW w:w="1460" w:type="dxa"/>
            <w:vAlign w:val="bottom"/>
            <w:gridSpan w:val="3"/>
          </w:tcPr>
          <w:p>
            <w:pPr>
              <w:ind w:left="80"/>
              <w:spacing w:after="0"/>
              <w:rPr>
                <w:sz w:val="20"/>
                <w:szCs w:val="20"/>
                <w:color w:val="auto"/>
              </w:rPr>
            </w:pPr>
            <w:r>
              <w:rPr>
                <w:rFonts w:ascii="Arial" w:cs="Arial" w:eastAsia="Arial" w:hAnsi="Arial"/>
                <w:sz w:val="13"/>
                <w:szCs w:val="13"/>
                <w:b w:val="1"/>
                <w:bCs w:val="1"/>
                <w:color w:val="auto"/>
              </w:rPr>
              <w:t>September 30, 2017</w:t>
            </w:r>
          </w:p>
        </w:tc>
        <w:tc>
          <w:tcPr>
            <w:tcW w:w="148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2018</w:t>
            </w:r>
          </w:p>
        </w:tc>
        <w:tc>
          <w:tcPr>
            <w:tcW w:w="1360" w:type="dxa"/>
            <w:vAlign w:val="bottom"/>
            <w:gridSpan w:val="2"/>
          </w:tcPr>
          <w:p>
            <w:pPr>
              <w:jc w:val="right"/>
              <w:ind w:right="19"/>
              <w:spacing w:after="0"/>
              <w:rPr>
                <w:sz w:val="20"/>
                <w:szCs w:val="20"/>
                <w:color w:val="auto"/>
              </w:rPr>
            </w:pPr>
            <w:r>
              <w:rPr>
                <w:rFonts w:ascii="Arial" w:cs="Arial" w:eastAsia="Arial" w:hAnsi="Arial"/>
                <w:sz w:val="13"/>
                <w:szCs w:val="13"/>
                <w:b w:val="1"/>
                <w:bCs w:val="1"/>
                <w:color w:val="auto"/>
              </w:rPr>
              <w:t>September 30, 2017</w:t>
            </w:r>
          </w:p>
        </w:tc>
      </w:tr>
      <w:tr>
        <w:trPr>
          <w:trHeight w:val="257"/>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EBIT-adjusted(a)</w:t>
            </w:r>
          </w:p>
        </w:tc>
        <w:tc>
          <w:tcPr>
            <w:tcW w:w="46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3,153</w:t>
            </w:r>
          </w:p>
        </w:tc>
        <w:tc>
          <w:tcPr>
            <w:tcW w:w="120" w:type="dxa"/>
            <w:vAlign w:val="bottom"/>
            <w:tcBorders>
              <w:top w:val="single" w:sz="8" w:color="CCEEFF"/>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jc w:val="right"/>
              <w:ind w:right="525"/>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2,523</w:t>
            </w:r>
          </w:p>
        </w:tc>
        <w:tc>
          <w:tcPr>
            <w:tcW w:w="10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8,955</w:t>
            </w:r>
          </w:p>
        </w:tc>
        <w:tc>
          <w:tcPr>
            <w:tcW w:w="120" w:type="dxa"/>
            <w:vAlign w:val="bottom"/>
            <w:tcBorders>
              <w:top w:val="single" w:sz="8" w:color="CCEEFF"/>
            </w:tcBorders>
            <w:shd w:val="clear" w:color="auto" w:fill="CCEEFF"/>
          </w:tcPr>
          <w:p>
            <w:pPr>
              <w:spacing w:after="0"/>
              <w:rPr>
                <w:sz w:val="22"/>
                <w:szCs w:val="22"/>
                <w:color w:val="auto"/>
              </w:rPr>
            </w:pPr>
          </w:p>
        </w:tc>
        <w:tc>
          <w:tcPr>
            <w:tcW w:w="640" w:type="dxa"/>
            <w:vAlign w:val="bottom"/>
            <w:tcBorders>
              <w:top w:val="single" w:sz="8" w:color="auto"/>
            </w:tcBorders>
            <w:shd w:val="clear" w:color="auto" w:fill="CCEEFF"/>
          </w:tcPr>
          <w:p>
            <w:pPr>
              <w:jc w:val="right"/>
              <w:ind w:right="445"/>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9,759</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EBIT loss-adjusted – GM Cruise</w:t>
            </w:r>
          </w:p>
        </w:tc>
        <w:tc>
          <w:tcPr>
            <w:tcW w:w="4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214</w:t>
            </w:r>
          </w:p>
        </w:tc>
        <w:tc>
          <w:tcPr>
            <w:tcW w:w="120" w:type="dxa"/>
            <w:vAlign w:val="bottom"/>
            <w:tcBorders>
              <w:bottom w:val="single" w:sz="8" w:color="CCEEFF"/>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534</w:t>
            </w:r>
          </w:p>
        </w:tc>
        <w:tc>
          <w:tcPr>
            <w:tcW w:w="12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455</w:t>
            </w: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Core EBIT-adjusted</w:t>
            </w:r>
          </w:p>
        </w:tc>
        <w:tc>
          <w:tcPr>
            <w:tcW w:w="46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3,367</w:t>
            </w: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2,688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85"/>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9,489</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45"/>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10,214</w:t>
            </w:r>
          </w:p>
        </w:tc>
      </w:tr>
      <w:tr>
        <w:trPr>
          <w:trHeight w:val="20"/>
        </w:trPr>
        <w:tc>
          <w:tcPr>
            <w:tcW w:w="5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________</w:t>
      </w:r>
    </w:p>
    <w:p>
      <w:pPr>
        <w:spacing w:after="0" w:line="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under U.S. GAAP to EBIT-adjusted.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55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diluted earnings (loss) per common share under U.S. GAAP to EPS-diluted-adjusted (dollars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ind w:left="180"/>
              <w:spacing w:after="0"/>
              <w:rPr>
                <w:sz w:val="20"/>
                <w:szCs w:val="20"/>
                <w:color w:val="auto"/>
              </w:rPr>
            </w:pPr>
            <w:r>
              <w:rPr>
                <w:rFonts w:ascii="Arial" w:cs="Arial" w:eastAsia="Arial" w:hAnsi="Arial"/>
                <w:sz w:val="11"/>
                <w:szCs w:val="11"/>
                <w:b w:val="1"/>
                <w:bCs w:val="1"/>
                <w:color w:val="auto"/>
              </w:rPr>
              <w:t>Three Months Ended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ind w:left="240"/>
              <w:spacing w:after="0"/>
              <w:rPr>
                <w:sz w:val="20"/>
                <w:szCs w:val="20"/>
                <w:color w:val="auto"/>
              </w:rPr>
            </w:pPr>
            <w:r>
              <w:rPr>
                <w:rFonts w:ascii="Arial" w:cs="Arial" w:eastAsia="Arial" w:hAnsi="Arial"/>
                <w:sz w:val="11"/>
                <w:szCs w:val="11"/>
                <w:b w:val="1"/>
                <w:bCs w:val="1"/>
                <w:color w:val="auto"/>
              </w:rPr>
              <w:t>Nine Months Ended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5"/>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4"/>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gridSpan w:val="5"/>
          </w:tcPr>
          <w:p>
            <w:pPr>
              <w:ind w:left="220"/>
              <w:spacing w:after="0"/>
              <w:rPr>
                <w:sz w:val="20"/>
                <w:szCs w:val="20"/>
                <w:color w:val="auto"/>
              </w:rPr>
            </w:pPr>
            <w:r>
              <w:rPr>
                <w:rFonts w:ascii="Arial" w:cs="Arial" w:eastAsia="Arial" w:hAnsi="Arial"/>
                <w:sz w:val="11"/>
                <w:szCs w:val="11"/>
                <w:b w:val="1"/>
                <w:bCs w:val="1"/>
                <w:color w:val="auto"/>
              </w:rPr>
              <w:t>September 30, 2018</w:t>
            </w:r>
          </w:p>
        </w:tc>
        <w:tc>
          <w:tcPr>
            <w:tcW w:w="160" w:type="dxa"/>
            <w:vAlign w:val="bottom"/>
          </w:tcPr>
          <w:p>
            <w:pPr>
              <w:spacing w:after="0"/>
              <w:rPr>
                <w:sz w:val="19"/>
                <w:szCs w:val="19"/>
                <w:color w:val="auto"/>
              </w:rPr>
            </w:pPr>
          </w:p>
        </w:tc>
        <w:tc>
          <w:tcPr>
            <w:tcW w:w="1640" w:type="dxa"/>
            <w:vAlign w:val="bottom"/>
            <w:gridSpan w:val="5"/>
          </w:tcPr>
          <w:p>
            <w:pPr>
              <w:ind w:left="200"/>
              <w:spacing w:after="0"/>
              <w:rPr>
                <w:sz w:val="20"/>
                <w:szCs w:val="20"/>
                <w:color w:val="auto"/>
              </w:rPr>
            </w:pPr>
            <w:r>
              <w:rPr>
                <w:rFonts w:ascii="Arial" w:cs="Arial" w:eastAsia="Arial" w:hAnsi="Arial"/>
                <w:sz w:val="11"/>
                <w:szCs w:val="11"/>
                <w:b w:val="1"/>
                <w:bCs w:val="1"/>
                <w:color w:val="auto"/>
              </w:rPr>
              <w:t>September 30, 2017</w:t>
            </w:r>
          </w:p>
        </w:tc>
        <w:tc>
          <w:tcPr>
            <w:tcW w:w="160" w:type="dxa"/>
            <w:vAlign w:val="bottom"/>
          </w:tcPr>
          <w:p>
            <w:pPr>
              <w:spacing w:after="0"/>
              <w:rPr>
                <w:sz w:val="19"/>
                <w:szCs w:val="19"/>
                <w:color w:val="auto"/>
              </w:rPr>
            </w:pPr>
          </w:p>
        </w:tc>
        <w:tc>
          <w:tcPr>
            <w:tcW w:w="1660" w:type="dxa"/>
            <w:vAlign w:val="bottom"/>
            <w:gridSpan w:val="5"/>
          </w:tcPr>
          <w:p>
            <w:pPr>
              <w:ind w:left="200"/>
              <w:spacing w:after="0"/>
              <w:rPr>
                <w:sz w:val="20"/>
                <w:szCs w:val="20"/>
                <w:color w:val="auto"/>
              </w:rPr>
            </w:pPr>
            <w:r>
              <w:rPr>
                <w:rFonts w:ascii="Arial" w:cs="Arial" w:eastAsia="Arial" w:hAnsi="Arial"/>
                <w:sz w:val="11"/>
                <w:szCs w:val="11"/>
                <w:b w:val="1"/>
                <w:bCs w:val="1"/>
                <w:color w:val="auto"/>
              </w:rPr>
              <w:t>September 30, 2018</w:t>
            </w:r>
          </w:p>
        </w:tc>
        <w:tc>
          <w:tcPr>
            <w:tcW w:w="160" w:type="dxa"/>
            <w:vAlign w:val="bottom"/>
          </w:tcPr>
          <w:p>
            <w:pPr>
              <w:spacing w:after="0"/>
              <w:rPr>
                <w:sz w:val="19"/>
                <w:szCs w:val="19"/>
                <w:color w:val="auto"/>
              </w:rPr>
            </w:pPr>
          </w:p>
        </w:tc>
        <w:tc>
          <w:tcPr>
            <w:tcW w:w="1540" w:type="dxa"/>
            <w:vAlign w:val="bottom"/>
            <w:gridSpan w:val="4"/>
          </w:tcPr>
          <w:p>
            <w:pPr>
              <w:jc w:val="right"/>
              <w:ind w:right="263"/>
              <w:spacing w:after="0"/>
              <w:rPr>
                <w:sz w:val="20"/>
                <w:szCs w:val="20"/>
                <w:color w:val="auto"/>
              </w:rPr>
            </w:pPr>
            <w:r>
              <w:rPr>
                <w:rFonts w:ascii="Arial" w:cs="Arial" w:eastAsia="Arial" w:hAnsi="Arial"/>
                <w:sz w:val="11"/>
                <w:szCs w:val="11"/>
                <w:b w:val="1"/>
                <w:bCs w:val="1"/>
                <w:color w:val="auto"/>
              </w:rPr>
              <w:t>September 30, 2017</w:t>
            </w:r>
          </w:p>
        </w:tc>
        <w:tc>
          <w:tcPr>
            <w:tcW w:w="0" w:type="dxa"/>
            <w:vAlign w:val="bottom"/>
          </w:tcPr>
          <w:p>
            <w:pPr>
              <w:spacing w:after="0"/>
              <w:rPr>
                <w:sz w:val="1"/>
                <w:szCs w:val="1"/>
                <w:color w:val="auto"/>
              </w:rPr>
            </w:pPr>
          </w:p>
        </w:tc>
      </w:tr>
      <w:tr>
        <w:trPr>
          <w:trHeight w:val="22"/>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4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Per Share</w:t>
            </w:r>
          </w:p>
        </w:tc>
        <w:tc>
          <w:tcPr>
            <w:tcW w:w="160" w:type="dxa"/>
            <w:vAlign w:val="bottom"/>
          </w:tcPr>
          <w:p>
            <w:pPr>
              <w:spacing w:after="0"/>
              <w:rPr>
                <w:sz w:val="21"/>
                <w:szCs w:val="2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21"/>
                <w:szCs w:val="2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Per Share</w:t>
            </w:r>
          </w:p>
        </w:tc>
        <w:tc>
          <w:tcPr>
            <w:tcW w:w="160" w:type="dxa"/>
            <w:vAlign w:val="bottom"/>
          </w:tcPr>
          <w:p>
            <w:pPr>
              <w:spacing w:after="0"/>
              <w:rPr>
                <w:sz w:val="21"/>
                <w:szCs w:val="2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21"/>
                <w:szCs w:val="2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Per Share</w:t>
            </w:r>
          </w:p>
        </w:tc>
        <w:tc>
          <w:tcPr>
            <w:tcW w:w="160" w:type="dxa"/>
            <w:vAlign w:val="bottom"/>
          </w:tcPr>
          <w:p>
            <w:pPr>
              <w:spacing w:after="0"/>
              <w:rPr>
                <w:sz w:val="21"/>
                <w:szCs w:val="21"/>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21"/>
                <w:szCs w:val="21"/>
                <w:color w:val="auto"/>
              </w:rPr>
            </w:pPr>
          </w:p>
        </w:tc>
        <w:tc>
          <w:tcPr>
            <w:tcW w:w="660" w:type="dxa"/>
            <w:vAlign w:val="bottom"/>
          </w:tcPr>
          <w:p>
            <w:pPr>
              <w:jc w:val="right"/>
              <w:ind w:right="63"/>
              <w:spacing w:after="0"/>
              <w:rPr>
                <w:sz w:val="20"/>
                <w:szCs w:val="20"/>
                <w:color w:val="auto"/>
              </w:rPr>
            </w:pPr>
            <w:r>
              <w:rPr>
                <w:rFonts w:ascii="Arial" w:cs="Arial" w:eastAsia="Arial" w:hAnsi="Arial"/>
                <w:sz w:val="11"/>
                <w:szCs w:val="11"/>
                <w:b w:val="1"/>
                <w:bCs w:val="1"/>
                <w:color w:val="auto"/>
                <w:w w:val="97"/>
              </w:rPr>
              <w:t>Per Share</w:t>
            </w:r>
          </w:p>
        </w:tc>
        <w:tc>
          <w:tcPr>
            <w:tcW w:w="0" w:type="dxa"/>
            <w:vAlign w:val="bottom"/>
          </w:tcPr>
          <w:p>
            <w:pPr>
              <w:spacing w:after="0"/>
              <w:rPr>
                <w:sz w:val="1"/>
                <w:szCs w:val="1"/>
                <w:color w:val="auto"/>
              </w:rPr>
            </w:pPr>
          </w:p>
        </w:tc>
      </w:tr>
      <w:tr>
        <w:trPr>
          <w:trHeight w:val="22"/>
        </w:trPr>
        <w:tc>
          <w:tcPr>
            <w:tcW w:w="4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Diluted earnings (loss)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2,503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5,910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4.13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1,285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Diluted loss per common share – discontinued operations</w:t>
            </w:r>
          </w:p>
        </w:tc>
        <w:tc>
          <w:tcPr>
            <w:tcW w:w="16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640" w:type="dxa"/>
            <w:vAlign w:val="bottom"/>
          </w:tcPr>
          <w:p>
            <w:pPr>
              <w:jc w:val="right"/>
              <w:ind w:right="46"/>
              <w:spacing w:after="0"/>
              <w:rPr>
                <w:sz w:val="20"/>
                <w:szCs w:val="20"/>
                <w:color w:val="auto"/>
              </w:rPr>
            </w:pPr>
            <w:r>
              <w:rPr>
                <w:rFonts w:ascii="Arial" w:cs="Arial" w:eastAsia="Arial" w:hAnsi="Arial"/>
                <w:sz w:val="16"/>
                <w:szCs w:val="16"/>
                <w:color w:val="auto"/>
              </w:rPr>
              <w:t>3,096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2.11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26"/>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46"/>
              <w:spacing w:after="0"/>
              <w:rPr>
                <w:sz w:val="20"/>
                <w:szCs w:val="20"/>
                <w:color w:val="auto"/>
              </w:rPr>
            </w:pPr>
            <w:r>
              <w:rPr>
                <w:rFonts w:ascii="Arial" w:cs="Arial" w:eastAsia="Arial" w:hAnsi="Arial"/>
                <w:sz w:val="16"/>
                <w:szCs w:val="16"/>
                <w:color w:val="auto"/>
              </w:rPr>
              <w:t>0.05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ind w:right="46"/>
              <w:spacing w:after="0"/>
              <w:rPr>
                <w:sz w:val="20"/>
                <w:szCs w:val="20"/>
                <w:color w:val="auto"/>
              </w:rPr>
            </w:pPr>
            <w:r>
              <w:rPr>
                <w:rFonts w:ascii="Arial" w:cs="Arial" w:eastAsia="Arial" w:hAnsi="Arial"/>
                <w:sz w:val="16"/>
                <w:szCs w:val="16"/>
                <w:color w:val="auto"/>
              </w:rPr>
              <w:t>3,935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ind w:right="23"/>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Adjustments(a)</w:t>
            </w:r>
          </w:p>
        </w:tc>
        <w:tc>
          <w:tcPr>
            <w:tcW w:w="1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0.31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26"/>
              <w:spacing w:after="0"/>
              <w:rPr>
                <w:sz w:val="20"/>
                <w:szCs w:val="20"/>
                <w:color w:val="auto"/>
              </w:rPr>
            </w:pPr>
            <w:r>
              <w:rPr>
                <w:rFonts w:ascii="Arial" w:cs="Arial" w:eastAsia="Arial" w:hAnsi="Arial"/>
                <w:sz w:val="16"/>
                <w:szCs w:val="16"/>
                <w:color w:val="auto"/>
              </w:rPr>
              <w:t>1,578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6"/>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0.43</w:t>
            </w:r>
          </w:p>
        </w:tc>
        <w:tc>
          <w:tcPr>
            <w:tcW w:w="0" w:type="dxa"/>
            <w:vAlign w:val="bottom"/>
          </w:tcPr>
          <w:p>
            <w:pPr>
              <w:spacing w:after="0"/>
              <w:rPr>
                <w:sz w:val="1"/>
                <w:szCs w:val="1"/>
                <w:color w:val="auto"/>
              </w:rPr>
            </w:pP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Tax effect on adjustment(b)</w:t>
            </w:r>
          </w:p>
        </w:tc>
        <w:tc>
          <w:tcPr>
            <w:tcW w:w="160" w:type="dxa"/>
            <w:vAlign w:val="bottom"/>
          </w:tcPr>
          <w:p>
            <w:pPr>
              <w:spacing w:after="0"/>
              <w:rPr>
                <w:sz w:val="22"/>
                <w:szCs w:val="22"/>
                <w:color w:val="auto"/>
              </w:rPr>
            </w:pPr>
          </w:p>
        </w:tc>
        <w:tc>
          <w:tcPr>
            <w:tcW w:w="680" w:type="dxa"/>
            <w:vAlign w:val="bottom"/>
          </w:tcPr>
          <w:p>
            <w:pPr>
              <w:jc w:val="right"/>
              <w:ind w:right="6"/>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73"/>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adjustment(c)</w:t>
            </w: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1,828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6"/>
                <w:szCs w:val="16"/>
                <w:color w:val="auto"/>
              </w:rPr>
              <w:t>1,828</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237"/>
        </w:trPr>
        <w:tc>
          <w:tcPr>
            <w:tcW w:w="4240" w:type="dxa"/>
            <w:vAlign w:val="bottom"/>
          </w:tcPr>
          <w:p>
            <w:pPr>
              <w:ind w:left="40"/>
              <w:spacing w:after="0"/>
              <w:rPr>
                <w:sz w:val="20"/>
                <w:szCs w:val="20"/>
                <w:color w:val="auto"/>
              </w:rPr>
            </w:pPr>
            <w:r>
              <w:rPr>
                <w:rFonts w:ascii="Arial" w:cs="Arial" w:eastAsia="Arial" w:hAnsi="Arial"/>
                <w:sz w:val="16"/>
                <w:szCs w:val="16"/>
                <w:color w:val="auto"/>
              </w:rPr>
              <w:t>EPS-diluted-adjusted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2,677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1.87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1,941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6"/>
                <w:szCs w:val="16"/>
                <w:color w:val="auto"/>
              </w:rPr>
              <w:t>7,312</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5.11</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7,494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4"/>
                <w:szCs w:val="14"/>
                <w:color w:val="auto"/>
              </w:rPr>
              <w:t>________</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42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20" w:hanging="332"/>
        <w:spacing w:after="0" w:line="241"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Refer to the reconciliation of segment profit (loss) to Net income (loss) attributable to stockholders under U.S. GAAP within the previous section for the details of the adjustments.</w:t>
      </w:r>
    </w:p>
    <w:p>
      <w:pPr>
        <w:spacing w:after="0" w:line="162" w:lineRule="exact"/>
        <w:rPr>
          <w:rFonts w:ascii="Arial" w:cs="Arial" w:eastAsia="Arial" w:hAnsi="Arial"/>
          <w:sz w:val="14"/>
          <w:szCs w:val="14"/>
          <w:color w:val="auto"/>
        </w:rPr>
      </w:pPr>
    </w:p>
    <w:p>
      <w:pPr>
        <w:ind w:left="340" w:hanging="332"/>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1" w:lineRule="exact"/>
        <w:rPr>
          <w:rFonts w:ascii="Arial" w:cs="Arial" w:eastAsia="Arial" w:hAnsi="Arial"/>
          <w:sz w:val="14"/>
          <w:szCs w:val="14"/>
          <w:color w:val="auto"/>
        </w:rPr>
      </w:pPr>
    </w:p>
    <w:p>
      <w:pPr>
        <w:jc w:val="both"/>
        <w:ind w:left="340" w:hanging="332"/>
        <w:spacing w:after="0" w:line="250" w:lineRule="auto"/>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 the three and nine months ended September 30, 2018, this adjustment consists of a tax benefit related to U.S. tax reform. In the three and nine months ended September 30, 2017, these adjustments consist of a tax expense related to the establishment of a valuation allowance on deferred tax assets that will no longer be realizable as a result of the sale of the Opel/Vauxhall Business, partially offset by tax benefits related to tax settlements.</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reconciles our effective tax rate under U.S. GAAP to ETR-adjusted (dollars in millions):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ind w:right="78"/>
              <w:spacing w:after="0"/>
              <w:rPr>
                <w:sz w:val="20"/>
                <w:szCs w:val="20"/>
                <w:color w:val="auto"/>
              </w:rPr>
            </w:pPr>
            <w:r>
              <w:rPr>
                <w:rFonts w:ascii="Arial" w:cs="Arial" w:eastAsia="Arial" w:hAnsi="Arial"/>
                <w:sz w:val="11"/>
                <w:szCs w:val="11"/>
                <w:b w:val="1"/>
                <w:bCs w:val="1"/>
                <w:color w:val="auto"/>
              </w:rPr>
              <w:t>Three Months Ended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tcPr>
          <w:p>
            <w:pPr>
              <w:ind w:left="280"/>
              <w:spacing w:after="0"/>
              <w:rPr>
                <w:sz w:val="20"/>
                <w:szCs w:val="20"/>
                <w:color w:val="auto"/>
              </w:rPr>
            </w:pPr>
            <w:r>
              <w:rPr>
                <w:rFonts w:ascii="Arial" w:cs="Arial" w:eastAsia="Arial" w:hAnsi="Arial"/>
                <w:sz w:val="11"/>
                <w:szCs w:val="11"/>
                <w:b w:val="1"/>
                <w:bCs w:val="1"/>
                <w:color w:val="auto"/>
              </w:rPr>
              <w:t>Nine Months Ended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7"/>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7"/>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gridSpan w:val="6"/>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20" w:type="dxa"/>
            <w:vAlign w:val="bottom"/>
            <w:gridSpan w:val="7"/>
          </w:tcPr>
          <w:p>
            <w:pPr>
              <w:ind w:left="60"/>
              <w:spacing w:after="0"/>
              <w:rPr>
                <w:sz w:val="20"/>
                <w:szCs w:val="20"/>
                <w:color w:val="auto"/>
              </w:rPr>
            </w:pPr>
            <w:r>
              <w:rPr>
                <w:rFonts w:ascii="Arial" w:cs="Arial" w:eastAsia="Arial" w:hAnsi="Arial"/>
                <w:sz w:val="11"/>
                <w:szCs w:val="11"/>
                <w:b w:val="1"/>
                <w:bCs w:val="1"/>
                <w:color w:val="auto"/>
              </w:rPr>
              <w:t>September 30, 2018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gridSpan w:val="7"/>
          </w:tcPr>
          <w:p>
            <w:pPr>
              <w:ind w:left="40"/>
              <w:spacing w:after="0"/>
              <w:rPr>
                <w:sz w:val="20"/>
                <w:szCs w:val="20"/>
                <w:color w:val="auto"/>
              </w:rPr>
            </w:pPr>
            <w:r>
              <w:rPr>
                <w:rFonts w:ascii="Arial" w:cs="Arial" w:eastAsia="Arial" w:hAnsi="Arial"/>
                <w:sz w:val="11"/>
                <w:szCs w:val="11"/>
                <w:b w:val="1"/>
                <w:bCs w:val="1"/>
                <w:color w:val="auto"/>
              </w:rPr>
              <w:t>September 30, 2017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gridSpan w:val="7"/>
          </w:tcPr>
          <w:p>
            <w:pPr>
              <w:ind w:left="40"/>
              <w:spacing w:after="0"/>
              <w:rPr>
                <w:sz w:val="20"/>
                <w:szCs w:val="20"/>
                <w:color w:val="auto"/>
              </w:rPr>
            </w:pPr>
            <w:r>
              <w:rPr>
                <w:rFonts w:ascii="Arial" w:cs="Arial" w:eastAsia="Arial" w:hAnsi="Arial"/>
                <w:sz w:val="11"/>
                <w:szCs w:val="11"/>
                <w:b w:val="1"/>
                <w:bCs w:val="1"/>
                <w:color w:val="auto"/>
              </w:rPr>
              <w:t>September 30, 2018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80" w:type="dxa"/>
            <w:vAlign w:val="bottom"/>
            <w:gridSpan w:val="6"/>
          </w:tcPr>
          <w:p>
            <w:pPr>
              <w:jc w:val="right"/>
              <w:ind w:right="566"/>
              <w:spacing w:after="0"/>
              <w:rPr>
                <w:sz w:val="20"/>
                <w:szCs w:val="20"/>
                <w:color w:val="auto"/>
              </w:rPr>
            </w:pPr>
            <w:r>
              <w:rPr>
                <w:rFonts w:ascii="Arial" w:cs="Arial" w:eastAsia="Arial" w:hAnsi="Arial"/>
                <w:sz w:val="11"/>
                <w:szCs w:val="11"/>
                <w:b w:val="1"/>
                <w:bCs w:val="1"/>
                <w:color w:val="auto"/>
              </w:rPr>
              <w:t>September 30, 2017</w:t>
            </w:r>
          </w:p>
        </w:tc>
        <w:tc>
          <w:tcPr>
            <w:tcW w:w="0" w:type="dxa"/>
            <w:vAlign w:val="bottom"/>
          </w:tcPr>
          <w:p>
            <w:pPr>
              <w:spacing w:after="0"/>
              <w:rPr>
                <w:sz w:val="1"/>
                <w:szCs w:val="1"/>
                <w:color w:val="auto"/>
              </w:rPr>
            </w:pPr>
          </w:p>
        </w:tc>
      </w:tr>
      <w:tr>
        <w:trPr>
          <w:trHeight w:val="22"/>
        </w:trPr>
        <w:tc>
          <w:tcPr>
            <w:tcW w:w="1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7"/>
        </w:trPr>
        <w:tc>
          <w:tcPr>
            <w:tcW w:w="1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98"/>
              </w:rPr>
              <w:t>Income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98"/>
              </w:rPr>
              <w:t>Income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before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before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before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before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Income tax</w:t>
            </w:r>
          </w:p>
        </w:tc>
        <w:tc>
          <w:tcPr>
            <w:tcW w:w="100" w:type="dxa"/>
            <w:vAlign w:val="bottom"/>
          </w:tcPr>
          <w:p>
            <w:pPr>
              <w:spacing w:after="0"/>
              <w:rPr>
                <w:sz w:val="10"/>
                <w:szCs w:val="10"/>
                <w:color w:val="auto"/>
              </w:rPr>
            </w:pP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Effective tax</w:t>
            </w:r>
          </w:p>
        </w:tc>
        <w:tc>
          <w:tcPr>
            <w:tcW w:w="12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income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Income tax</w:t>
            </w:r>
          </w:p>
        </w:tc>
        <w:tc>
          <w:tcPr>
            <w:tcW w:w="120" w:type="dxa"/>
            <w:vAlign w:val="bottom"/>
          </w:tcPr>
          <w:p>
            <w:pPr>
              <w:spacing w:after="0"/>
              <w:rPr>
                <w:sz w:val="10"/>
                <w:szCs w:val="10"/>
                <w:color w:val="auto"/>
              </w:rPr>
            </w:pP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Effective tax</w:t>
            </w:r>
          </w:p>
        </w:tc>
        <w:tc>
          <w:tcPr>
            <w:tcW w:w="120" w:type="dxa"/>
            <w:vAlign w:val="bottom"/>
          </w:tcPr>
          <w:p>
            <w:pPr>
              <w:spacing w:after="0"/>
              <w:rPr>
                <w:sz w:val="10"/>
                <w:szCs w:val="10"/>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income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Income tax</w:t>
            </w:r>
          </w:p>
        </w:tc>
        <w:tc>
          <w:tcPr>
            <w:tcW w:w="120" w:type="dxa"/>
            <w:vAlign w:val="bottom"/>
          </w:tcPr>
          <w:p>
            <w:pPr>
              <w:spacing w:after="0"/>
              <w:rPr>
                <w:sz w:val="10"/>
                <w:szCs w:val="10"/>
                <w:color w:val="auto"/>
              </w:rPr>
            </w:pPr>
          </w:p>
        </w:tc>
        <w:tc>
          <w:tcPr>
            <w:tcW w:w="8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Effective tax</w:t>
            </w:r>
          </w:p>
        </w:tc>
        <w:tc>
          <w:tcPr>
            <w:tcW w:w="120" w:type="dxa"/>
            <w:vAlign w:val="bottom"/>
          </w:tcPr>
          <w:p>
            <w:pPr>
              <w:spacing w:after="0"/>
              <w:rPr>
                <w:sz w:val="10"/>
                <w:szCs w:val="10"/>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income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b w:val="1"/>
                <w:bCs w:val="1"/>
                <w:color w:val="auto"/>
              </w:rPr>
              <w:t>Income tax</w:t>
            </w:r>
          </w:p>
        </w:tc>
        <w:tc>
          <w:tcPr>
            <w:tcW w:w="12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Effective tax</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99"/>
              </w:rPr>
              <w:t>taxes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52"/>
              <w:spacing w:after="0"/>
              <w:rPr>
                <w:sz w:val="20"/>
                <w:szCs w:val="20"/>
                <w:color w:val="auto"/>
              </w:rPr>
            </w:pPr>
            <w:r>
              <w:rPr>
                <w:rFonts w:ascii="Arial" w:cs="Arial" w:eastAsia="Arial" w:hAnsi="Arial"/>
                <w:sz w:val="11"/>
                <w:szCs w:val="11"/>
                <w:b w:val="1"/>
                <w:bCs w:val="1"/>
                <w:color w:val="auto"/>
                <w:w w:val="95"/>
              </w:rPr>
              <w:t>expense</w:t>
            </w:r>
          </w:p>
        </w:tc>
        <w:tc>
          <w:tcPr>
            <w:tcW w:w="10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rate</w:t>
            </w:r>
          </w:p>
        </w:tc>
        <w:tc>
          <w:tcPr>
            <w:tcW w:w="120" w:type="dxa"/>
            <w:vAlign w:val="bottom"/>
          </w:tcPr>
          <w:p>
            <w:pPr>
              <w:spacing w:after="0"/>
              <w:rPr>
                <w:sz w:val="12"/>
                <w:szCs w:val="12"/>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92"/>
              </w:rPr>
              <w:t>taxes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32"/>
              <w:spacing w:after="0"/>
              <w:rPr>
                <w:sz w:val="20"/>
                <w:szCs w:val="20"/>
                <w:color w:val="auto"/>
              </w:rPr>
            </w:pPr>
            <w:r>
              <w:rPr>
                <w:rFonts w:ascii="Arial" w:cs="Arial" w:eastAsia="Arial" w:hAnsi="Arial"/>
                <w:sz w:val="11"/>
                <w:szCs w:val="11"/>
                <w:b w:val="1"/>
                <w:bCs w:val="1"/>
                <w:color w:val="auto"/>
                <w:w w:val="95"/>
              </w:rPr>
              <w:t>expense</w:t>
            </w:r>
          </w:p>
        </w:tc>
        <w:tc>
          <w:tcPr>
            <w:tcW w:w="12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rate</w:t>
            </w:r>
          </w:p>
        </w:tc>
        <w:tc>
          <w:tcPr>
            <w:tcW w:w="120" w:type="dxa"/>
            <w:vAlign w:val="bottom"/>
          </w:tcPr>
          <w:p>
            <w:pPr>
              <w:spacing w:after="0"/>
              <w:rPr>
                <w:sz w:val="12"/>
                <w:szCs w:val="12"/>
                <w:color w:val="auto"/>
              </w:rPr>
            </w:pP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taxes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32"/>
              <w:spacing w:after="0"/>
              <w:rPr>
                <w:sz w:val="20"/>
                <w:szCs w:val="20"/>
                <w:color w:val="auto"/>
              </w:rPr>
            </w:pPr>
            <w:r>
              <w:rPr>
                <w:rFonts w:ascii="Arial" w:cs="Arial" w:eastAsia="Arial" w:hAnsi="Arial"/>
                <w:sz w:val="11"/>
                <w:szCs w:val="11"/>
                <w:b w:val="1"/>
                <w:bCs w:val="1"/>
                <w:color w:val="auto"/>
                <w:w w:val="95"/>
              </w:rPr>
              <w:t>expense</w:t>
            </w:r>
          </w:p>
        </w:tc>
        <w:tc>
          <w:tcPr>
            <w:tcW w:w="120" w:type="dxa"/>
            <w:vAlign w:val="bottom"/>
          </w:tcPr>
          <w:p>
            <w:pPr>
              <w:spacing w:after="0"/>
              <w:rPr>
                <w:sz w:val="12"/>
                <w:szCs w:val="12"/>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8"/>
              </w:rPr>
              <w:t>rate</w:t>
            </w:r>
          </w:p>
        </w:tc>
        <w:tc>
          <w:tcPr>
            <w:tcW w:w="120" w:type="dxa"/>
            <w:vAlign w:val="bottom"/>
          </w:tcPr>
          <w:p>
            <w:pPr>
              <w:spacing w:after="0"/>
              <w:rPr>
                <w:sz w:val="12"/>
                <w:szCs w:val="12"/>
                <w:color w:val="auto"/>
              </w:rPr>
            </w:pPr>
          </w:p>
        </w:tc>
        <w:tc>
          <w:tcPr>
            <w:tcW w:w="460" w:type="dxa"/>
            <w:vAlign w:val="bottom"/>
          </w:tcPr>
          <w:p>
            <w:pPr>
              <w:jc w:val="center"/>
              <w:spacing w:after="0"/>
              <w:rPr>
                <w:sz w:val="20"/>
                <w:szCs w:val="20"/>
                <w:color w:val="auto"/>
              </w:rPr>
            </w:pPr>
            <w:r>
              <w:rPr>
                <w:rFonts w:ascii="Arial" w:cs="Arial" w:eastAsia="Arial" w:hAnsi="Arial"/>
                <w:sz w:val="11"/>
                <w:szCs w:val="11"/>
                <w:b w:val="1"/>
                <w:bCs w:val="1"/>
                <w:color w:val="auto"/>
                <w:w w:val="99"/>
              </w:rPr>
              <w:t>taxes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52"/>
              <w:spacing w:after="0"/>
              <w:rPr>
                <w:sz w:val="20"/>
                <w:szCs w:val="20"/>
                <w:color w:val="auto"/>
              </w:rPr>
            </w:pPr>
            <w:r>
              <w:rPr>
                <w:rFonts w:ascii="Arial" w:cs="Arial" w:eastAsia="Arial" w:hAnsi="Arial"/>
                <w:sz w:val="11"/>
                <w:szCs w:val="11"/>
                <w:b w:val="1"/>
                <w:bCs w:val="1"/>
                <w:color w:val="auto"/>
                <w:w w:val="90"/>
              </w:rPr>
              <w:t>expense</w:t>
            </w:r>
          </w:p>
        </w:tc>
        <w:tc>
          <w:tcPr>
            <w:tcW w:w="120" w:type="dxa"/>
            <w:vAlign w:val="bottom"/>
          </w:tcPr>
          <w:p>
            <w:pPr>
              <w:spacing w:after="0"/>
              <w:rPr>
                <w:sz w:val="12"/>
                <w:szCs w:val="12"/>
                <w:color w:val="auto"/>
              </w:rPr>
            </w:pPr>
          </w:p>
        </w:tc>
        <w:tc>
          <w:tcPr>
            <w:tcW w:w="720" w:type="dxa"/>
            <w:vAlign w:val="bottom"/>
          </w:tcPr>
          <w:p>
            <w:pPr>
              <w:jc w:val="right"/>
              <w:ind w:right="206"/>
              <w:spacing w:after="0"/>
              <w:rPr>
                <w:sz w:val="20"/>
                <w:szCs w:val="20"/>
                <w:color w:val="auto"/>
              </w:rPr>
            </w:pPr>
            <w:r>
              <w:rPr>
                <w:rFonts w:ascii="Arial" w:cs="Arial" w:eastAsia="Arial" w:hAnsi="Arial"/>
                <w:sz w:val="11"/>
                <w:szCs w:val="11"/>
                <w:b w:val="1"/>
                <w:bCs w:val="1"/>
                <w:color w:val="auto"/>
              </w:rPr>
              <w:t>rate</w:t>
            </w:r>
          </w:p>
        </w:tc>
        <w:tc>
          <w:tcPr>
            <w:tcW w:w="0" w:type="dxa"/>
            <w:vAlign w:val="bottom"/>
          </w:tcPr>
          <w:p>
            <w:pPr>
              <w:spacing w:after="0"/>
              <w:rPr>
                <w:sz w:val="1"/>
                <w:szCs w:val="1"/>
                <w:color w:val="auto"/>
              </w:rPr>
            </w:pPr>
          </w:p>
        </w:tc>
      </w:tr>
      <w:tr>
        <w:trPr>
          <w:trHeight w:val="22"/>
        </w:trPr>
        <w:tc>
          <w:tcPr>
            <w:tcW w:w="1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Effective tax rate</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100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2,316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95.3%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60"/>
              <w:spacing w:after="0"/>
              <w:rPr>
                <w:sz w:val="20"/>
                <w:szCs w:val="20"/>
                <w:color w:val="auto"/>
              </w:rPr>
            </w:pPr>
            <w:r>
              <w:rPr>
                <w:rFonts w:ascii="Arial" w:cs="Arial" w:eastAsia="Arial" w:hAnsi="Arial"/>
                <w:sz w:val="14"/>
                <w:szCs w:val="14"/>
                <w:color w:val="auto"/>
              </w:rPr>
              <w:t>7,091</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1,085</w:t>
            </w:r>
          </w:p>
        </w:tc>
        <w:tc>
          <w:tcPr>
            <w:tcW w:w="84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8,870</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3,637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64"/>
        </w:trPr>
        <w:tc>
          <w:tcPr>
            <w:tcW w:w="1960" w:type="dxa"/>
            <w:vAlign w:val="bottom"/>
          </w:tcPr>
          <w:p>
            <w:pPr>
              <w:ind w:left="40"/>
              <w:spacing w:after="0"/>
              <w:rPr>
                <w:sz w:val="20"/>
                <w:szCs w:val="20"/>
                <w:color w:val="auto"/>
              </w:rPr>
            </w:pPr>
            <w:r>
              <w:rPr>
                <w:rFonts w:ascii="Arial" w:cs="Arial" w:eastAsia="Arial" w:hAnsi="Arial"/>
                <w:sz w:val="16"/>
                <w:szCs w:val="16"/>
                <w:color w:val="auto"/>
              </w:rPr>
              <w:t>Adjustments(a)(b)</w:t>
            </w:r>
          </w:p>
        </w:tc>
        <w:tc>
          <w:tcPr>
            <w:tcW w:w="12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440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109</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ind w:left="60"/>
              <w:spacing w:after="0"/>
              <w:rPr>
                <w:sz w:val="20"/>
                <w:szCs w:val="20"/>
                <w:color w:val="auto"/>
              </w:rPr>
            </w:pPr>
            <w:r>
              <w:rPr>
                <w:rFonts w:ascii="Arial" w:cs="Arial" w:eastAsia="Arial" w:hAnsi="Arial"/>
                <w:sz w:val="14"/>
                <w:szCs w:val="14"/>
                <w:color w:val="auto"/>
              </w:rPr>
              <w:t>1,619</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654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Tax adjustment(c)</w:t>
            </w:r>
          </w:p>
        </w:tc>
        <w:tc>
          <w:tcPr>
            <w:tcW w:w="1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(1,828)</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6"/>
                <w:szCs w:val="16"/>
                <w:color w:val="auto"/>
              </w:rPr>
              <w:t>ETR-adjusted</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3,070</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52"/>
              <w:spacing w:after="0"/>
              <w:rPr>
                <w:sz w:val="20"/>
                <w:szCs w:val="20"/>
                <w:color w:val="auto"/>
              </w:rPr>
            </w:pPr>
            <w:r>
              <w:rPr>
                <w:rFonts w:ascii="Arial" w:cs="Arial" w:eastAsia="Arial" w:hAnsi="Arial"/>
                <w:sz w:val="14"/>
                <w:szCs w:val="14"/>
                <w:color w:val="auto"/>
              </w:rPr>
              <w:t>366</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2,430</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488</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tcPr>
          <w:p>
            <w:pPr>
              <w:ind w:left="60"/>
              <w:spacing w:after="0"/>
              <w:rPr>
                <w:sz w:val="20"/>
                <w:szCs w:val="20"/>
                <w:color w:val="auto"/>
              </w:rPr>
            </w:pPr>
            <w:r>
              <w:rPr>
                <w:rFonts w:ascii="Arial" w:cs="Arial" w:eastAsia="Arial" w:hAnsi="Arial"/>
                <w:sz w:val="14"/>
                <w:szCs w:val="14"/>
                <w:color w:val="auto"/>
              </w:rPr>
              <w:t>8,710</w:t>
            </w: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1,331</w:t>
            </w:r>
          </w:p>
        </w:tc>
        <w:tc>
          <w:tcPr>
            <w:tcW w:w="840" w:type="dxa"/>
            <w:vAlign w:val="bottom"/>
            <w:gridSpan w:val="2"/>
          </w:tcPr>
          <w:p>
            <w:pPr>
              <w:ind w:left="400"/>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9,524</w:t>
            </w:r>
          </w:p>
        </w:tc>
        <w:tc>
          <w:tcPr>
            <w:tcW w:w="3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rPr>
                <w:sz w:val="20"/>
                <w:szCs w:val="20"/>
                <w:color w:val="auto"/>
              </w:rPr>
            </w:pPr>
            <w:r>
              <w:rPr>
                <w:rFonts w:ascii="Arial" w:cs="Arial" w:eastAsia="Arial" w:hAnsi="Arial"/>
                <w:sz w:val="14"/>
                <w:szCs w:val="14"/>
                <w:color w:val="auto"/>
              </w:rPr>
              <w:t>2,017</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21.2%</w:t>
            </w:r>
          </w:p>
        </w:tc>
        <w:tc>
          <w:tcPr>
            <w:tcW w:w="0" w:type="dxa"/>
            <w:vAlign w:val="bottom"/>
          </w:tcPr>
          <w:p>
            <w:pPr>
              <w:spacing w:after="0"/>
              <w:rPr>
                <w:sz w:val="1"/>
                <w:szCs w:val="1"/>
                <w:color w:val="auto"/>
              </w:rPr>
            </w:pPr>
          </w:p>
        </w:tc>
      </w:tr>
      <w:tr>
        <w:trPr>
          <w:trHeight w:val="20"/>
        </w:trPr>
        <w:tc>
          <w:tcPr>
            <w:tcW w:w="1960" w:type="dxa"/>
            <w:vAlign w:val="bottom"/>
            <w:vMerge w:val="restart"/>
          </w:tcPr>
          <w:p>
            <w:pPr>
              <w:spacing w:after="0"/>
              <w:rPr>
                <w:sz w:val="20"/>
                <w:szCs w:val="20"/>
                <w:color w:val="auto"/>
              </w:rPr>
            </w:pPr>
            <w:r>
              <w:rPr>
                <w:rFonts w:ascii="Arial" w:cs="Arial" w:eastAsia="Arial" w:hAnsi="Arial"/>
                <w:sz w:val="14"/>
                <w:szCs w:val="14"/>
                <w:color w:val="auto"/>
              </w:rPr>
              <w:t>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340" w:hanging="332"/>
        <w:spacing w:after="0" w:line="241"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under U.S. GAAP to EBIT-adjusted within the previous section for details of the adjustments. Net income attributable to noncontrolling interests for these adjustments of $41 million are included in the nine months ended September 30, 2018.</w:t>
      </w: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tax effect of each adjustment is determined based on the tax laws and valuation allowance status of the jurisdiction to which the adjustment relates.</w:t>
      </w:r>
    </w:p>
    <w:p>
      <w:pPr>
        <w:spacing w:after="0" w:line="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Refer to the reconciliation of diluted earnings (loss) per common share under U.S. GAAP to EPS-diluted-adjusted within the previous section for adjustment details. We are assessing potential material tax benefits that may arise in the three months ending December 31, 2018 as a result of operational considerations and tax reform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55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jc w:val="both"/>
        <w:ind w:right="20" w:firstLine="162"/>
        <w:spacing w:after="0" w:line="253" w:lineRule="auto"/>
        <w:rPr>
          <w:sz w:val="20"/>
          <w:szCs w:val="20"/>
          <w:color w:val="auto"/>
        </w:rPr>
      </w:pPr>
      <w:r>
        <w:rPr>
          <w:rFonts w:ascii="Arial" w:cs="Arial" w:eastAsia="Arial" w:hAnsi="Arial"/>
          <w:sz w:val="16"/>
          <w:szCs w:val="16"/>
          <w:color w:val="auto"/>
        </w:rPr>
        <w:t>We define return on equity (ROE) as Net income (loss) attributable to stockholders for the trailing four quarters divided by average equity for the same period. Management uses average equity to provide comparable amounts in the calculation of ROE. The following table summarizes the calculation of ROE (dollars in billions):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4"/>
          </w:tcPr>
          <w:p>
            <w:pPr>
              <w:jc w:val="right"/>
              <w:ind w:right="983"/>
              <w:spacing w:after="0"/>
              <w:rPr>
                <w:sz w:val="20"/>
                <w:szCs w:val="20"/>
                <w:color w:val="auto"/>
              </w:rPr>
            </w:pPr>
            <w:r>
              <w:rPr>
                <w:rFonts w:ascii="Arial" w:cs="Arial" w:eastAsia="Arial" w:hAnsi="Arial"/>
                <w:sz w:val="13"/>
                <w:szCs w:val="13"/>
                <w:b w:val="1"/>
                <w:bCs w:val="1"/>
                <w:color w:val="auto"/>
              </w:rPr>
              <w:t>Four Quarters Ended</w:t>
            </w:r>
          </w:p>
        </w:tc>
      </w:tr>
      <w:tr>
        <w:trPr>
          <w:trHeight w:val="264"/>
        </w:trPr>
        <w:tc>
          <w:tcPr>
            <w:tcW w:w="20" w:type="dxa"/>
            <w:vAlign w:val="bottom"/>
          </w:tcPr>
          <w:p>
            <w:pPr>
              <w:spacing w:after="0"/>
              <w:rPr>
                <w:sz w:val="22"/>
                <w:szCs w:val="22"/>
                <w:color w:val="auto"/>
              </w:rPr>
            </w:pPr>
          </w:p>
        </w:tc>
        <w:tc>
          <w:tcPr>
            <w:tcW w:w="7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Arial" w:cs="Arial" w:eastAsia="Arial" w:hAnsi="Arial"/>
                <w:sz w:val="13"/>
                <w:szCs w:val="13"/>
                <w:b w:val="1"/>
                <w:bCs w:val="1"/>
                <w:color w:val="auto"/>
              </w:rPr>
              <w:t>September 30, 2018</w:t>
            </w:r>
          </w:p>
        </w:tc>
        <w:tc>
          <w:tcPr>
            <w:tcW w:w="180" w:type="dxa"/>
            <w:vAlign w:val="bottom"/>
          </w:tcPr>
          <w:p>
            <w:pPr>
              <w:spacing w:after="0"/>
              <w:rPr>
                <w:sz w:val="22"/>
                <w:szCs w:val="22"/>
                <w:color w:val="auto"/>
              </w:rPr>
            </w:pPr>
          </w:p>
        </w:tc>
        <w:tc>
          <w:tcPr>
            <w:tcW w:w="1480" w:type="dxa"/>
            <w:vAlign w:val="bottom"/>
          </w:tcPr>
          <w:p>
            <w:pPr>
              <w:jc w:val="right"/>
              <w:ind w:right="163"/>
              <w:spacing w:after="0"/>
              <w:rPr>
                <w:sz w:val="20"/>
                <w:szCs w:val="20"/>
                <w:color w:val="auto"/>
              </w:rPr>
            </w:pPr>
            <w:r>
              <w:rPr>
                <w:rFonts w:ascii="Arial" w:cs="Arial" w:eastAsia="Arial" w:hAnsi="Arial"/>
                <w:sz w:val="13"/>
                <w:szCs w:val="13"/>
                <w:b w:val="1"/>
                <w:bCs w:val="1"/>
                <w:color w:val="auto"/>
              </w:rPr>
              <w:t>September 30, 2017</w:t>
            </w:r>
          </w:p>
        </w:tc>
      </w:tr>
      <w:tr>
        <w:trPr>
          <w:trHeight w:val="257"/>
        </w:trPr>
        <w:tc>
          <w:tcPr>
            <w:tcW w:w="20" w:type="dxa"/>
            <w:vAlign w:val="bottom"/>
          </w:tcPr>
          <w:p>
            <w:pPr>
              <w:spacing w:after="0"/>
              <w:rPr>
                <w:sz w:val="22"/>
                <w:szCs w:val="22"/>
                <w:color w:val="auto"/>
              </w:rPr>
            </w:pPr>
          </w:p>
        </w:tc>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stockholders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0.8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3.1</w:t>
            </w:r>
          </w:p>
        </w:tc>
      </w:tr>
      <w:tr>
        <w:trPr>
          <w:trHeight w:val="260"/>
        </w:trPr>
        <w:tc>
          <w:tcPr>
            <w:tcW w:w="20" w:type="dxa"/>
            <w:vAlign w:val="bottom"/>
          </w:tcPr>
          <w:p>
            <w:pPr>
              <w:spacing w:after="0"/>
              <w:rPr>
                <w:sz w:val="22"/>
                <w:szCs w:val="22"/>
                <w:color w:val="auto"/>
              </w:rPr>
            </w:pPr>
          </w:p>
        </w:tc>
        <w:tc>
          <w:tcPr>
            <w:tcW w:w="7960" w:type="dxa"/>
            <w:vAlign w:val="bottom"/>
          </w:tcPr>
          <w:p>
            <w:pPr>
              <w:ind w:left="20"/>
              <w:spacing w:after="0"/>
              <w:rPr>
                <w:sz w:val="20"/>
                <w:szCs w:val="20"/>
                <w:color w:val="auto"/>
              </w:rPr>
            </w:pPr>
            <w:r>
              <w:rPr>
                <w:rFonts w:ascii="Arial" w:cs="Arial" w:eastAsia="Arial" w:hAnsi="Arial"/>
                <w:sz w:val="16"/>
                <w:szCs w:val="16"/>
                <w:color w:val="auto"/>
              </w:rPr>
              <w:t>Average equity(a)</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06"/>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83"/>
              <w:spacing w:after="0"/>
              <w:rPr>
                <w:sz w:val="20"/>
                <w:szCs w:val="20"/>
                <w:color w:val="auto"/>
              </w:rPr>
            </w:pPr>
            <w:r>
              <w:rPr>
                <w:rFonts w:ascii="Arial" w:cs="Arial" w:eastAsia="Arial" w:hAnsi="Arial"/>
                <w:sz w:val="16"/>
                <w:szCs w:val="16"/>
                <w:color w:val="auto"/>
              </w:rPr>
              <w:t>44.5</w:t>
            </w:r>
          </w:p>
        </w:tc>
      </w:tr>
      <w:tr>
        <w:trPr>
          <w:trHeight w:val="280"/>
        </w:trPr>
        <w:tc>
          <w:tcPr>
            <w:tcW w:w="20" w:type="dxa"/>
            <w:vAlign w:val="bottom"/>
          </w:tcPr>
          <w:p>
            <w:pPr>
              <w:spacing w:after="0"/>
              <w:rPr>
                <w:sz w:val="24"/>
                <w:szCs w:val="24"/>
                <w:color w:val="auto"/>
              </w:rPr>
            </w:pPr>
          </w:p>
        </w:tc>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ROE</w:t>
            </w: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r>
      <w:tr>
        <w:trPr>
          <w:trHeight w:val="167"/>
        </w:trPr>
        <w:tc>
          <w:tcPr>
            <w:tcW w:w="7980" w:type="dxa"/>
            <w:vAlign w:val="bottom"/>
            <w:gridSpan w:val="2"/>
          </w:tcPr>
          <w:p>
            <w:pPr>
              <w:jc w:val="right"/>
              <w:ind w:right="7259"/>
              <w:spacing w:after="0"/>
              <w:rPr>
                <w:sz w:val="20"/>
                <w:szCs w:val="20"/>
                <w:color w:val="auto"/>
              </w:rPr>
            </w:pPr>
            <w:r>
              <w:rPr>
                <w:rFonts w:ascii="Arial" w:cs="Arial" w:eastAsia="Arial" w:hAnsi="Arial"/>
                <w:sz w:val="14"/>
                <w:szCs w:val="14"/>
                <w:color w:val="auto"/>
                <w:w w:val="99"/>
              </w:rPr>
              <w:t>________</w:t>
            </w: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r>
    </w:tbl>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3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calculation of ROIC-adjusted (dollars in billions):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gridSpan w:val="4"/>
          </w:tcPr>
          <w:p>
            <w:pPr>
              <w:jc w:val="right"/>
              <w:ind w:right="1001"/>
              <w:spacing w:after="0"/>
              <w:rPr>
                <w:sz w:val="20"/>
                <w:szCs w:val="20"/>
                <w:color w:val="auto"/>
              </w:rPr>
            </w:pPr>
            <w:r>
              <w:rPr>
                <w:rFonts w:ascii="Arial" w:cs="Arial" w:eastAsia="Arial" w:hAnsi="Arial"/>
                <w:sz w:val="13"/>
                <w:szCs w:val="13"/>
                <w:b w:val="1"/>
                <w:bCs w:val="1"/>
                <w:color w:val="auto"/>
              </w:rPr>
              <w:t>Four Quarters Ended</w:t>
            </w:r>
          </w:p>
        </w:tc>
      </w:tr>
      <w:tr>
        <w:trPr>
          <w:trHeight w:val="264"/>
        </w:trPr>
        <w:tc>
          <w:tcPr>
            <w:tcW w:w="7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2018</w:t>
            </w:r>
          </w:p>
        </w:tc>
        <w:tc>
          <w:tcPr>
            <w:tcW w:w="180" w:type="dxa"/>
            <w:vAlign w:val="bottom"/>
          </w:tcPr>
          <w:p>
            <w:pPr>
              <w:spacing w:after="0"/>
              <w:rPr>
                <w:sz w:val="22"/>
                <w:szCs w:val="22"/>
                <w:color w:val="auto"/>
              </w:rPr>
            </w:pPr>
          </w:p>
        </w:tc>
        <w:tc>
          <w:tcPr>
            <w:tcW w:w="1480" w:type="dxa"/>
            <w:vAlign w:val="bottom"/>
          </w:tcPr>
          <w:p>
            <w:pPr>
              <w:jc w:val="right"/>
              <w:ind w:right="161"/>
              <w:spacing w:after="0"/>
              <w:rPr>
                <w:sz w:val="20"/>
                <w:szCs w:val="20"/>
                <w:color w:val="auto"/>
              </w:rPr>
            </w:pPr>
            <w:r>
              <w:rPr>
                <w:rFonts w:ascii="Arial" w:cs="Arial" w:eastAsia="Arial" w:hAnsi="Arial"/>
                <w:sz w:val="13"/>
                <w:szCs w:val="13"/>
                <w:b w:val="1"/>
                <w:bCs w:val="1"/>
                <w:color w:val="auto"/>
              </w:rPr>
              <w:t>September 30, 2017</w:t>
            </w:r>
          </w:p>
        </w:tc>
      </w:tr>
      <w:tr>
        <w:trPr>
          <w:trHeight w:val="243"/>
        </w:trPr>
        <w:tc>
          <w:tcPr>
            <w:tcW w:w="7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EBIT-adjusted(a)</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6"/>
                <w:szCs w:val="16"/>
                <w:color w:val="auto"/>
              </w:rPr>
              <w:t>12.0</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12.4</w:t>
            </w:r>
          </w:p>
        </w:tc>
      </w:tr>
      <w:tr>
        <w:trPr>
          <w:trHeight w:val="233"/>
        </w:trPr>
        <w:tc>
          <w:tcPr>
            <w:tcW w:w="7980" w:type="dxa"/>
            <w:vAlign w:val="bottom"/>
          </w:tcPr>
          <w:p>
            <w:pPr>
              <w:ind w:left="40"/>
              <w:spacing w:after="0"/>
              <w:rPr>
                <w:sz w:val="20"/>
                <w:szCs w:val="20"/>
                <w:color w:val="auto"/>
              </w:rPr>
            </w:pPr>
            <w:r>
              <w:rPr>
                <w:rFonts w:ascii="Arial" w:cs="Arial" w:eastAsia="Arial" w:hAnsi="Arial"/>
                <w:sz w:val="16"/>
                <w:szCs w:val="16"/>
                <w:color w:val="auto"/>
              </w:rPr>
              <w:t>Average equity(b)</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03"/>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01"/>
              <w:spacing w:after="0"/>
              <w:rPr>
                <w:sz w:val="20"/>
                <w:szCs w:val="20"/>
                <w:color w:val="auto"/>
              </w:rPr>
            </w:pPr>
            <w:r>
              <w:rPr>
                <w:rFonts w:ascii="Arial" w:cs="Arial" w:eastAsia="Arial" w:hAnsi="Arial"/>
                <w:sz w:val="16"/>
                <w:szCs w:val="16"/>
                <w:color w:val="auto"/>
              </w:rPr>
              <w:t>44.5</w:t>
            </w:r>
          </w:p>
        </w:tc>
      </w:tr>
      <w:tr>
        <w:trPr>
          <w:trHeight w:val="253"/>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Average automotive debt and interest liabilities (excluding capital leases)</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10.8</w:t>
            </w:r>
          </w:p>
        </w:tc>
      </w:tr>
      <w:tr>
        <w:trPr>
          <w:trHeight w:val="233"/>
        </w:trPr>
        <w:tc>
          <w:tcPr>
            <w:tcW w:w="7980" w:type="dxa"/>
            <w:vAlign w:val="bottom"/>
          </w:tcPr>
          <w:p>
            <w:pPr>
              <w:ind w:left="40"/>
              <w:spacing w:after="0"/>
              <w:rPr>
                <w:sz w:val="20"/>
                <w:szCs w:val="20"/>
                <w:color w:val="auto"/>
              </w:rPr>
            </w:pPr>
            <w:r>
              <w:rPr>
                <w:rFonts w:ascii="Arial" w:cs="Arial" w:eastAsia="Arial" w:hAnsi="Arial"/>
                <w:sz w:val="16"/>
                <w:szCs w:val="16"/>
                <w:color w:val="auto"/>
              </w:rPr>
              <w:t>Add: Average automotive net pension &amp; OPEB liability</w:t>
            </w:r>
          </w:p>
        </w:tc>
        <w:tc>
          <w:tcPr>
            <w:tcW w:w="180" w:type="dxa"/>
            <w:vAlign w:val="bottom"/>
          </w:tcPr>
          <w:p>
            <w:pPr>
              <w:spacing w:after="0"/>
              <w:rPr>
                <w:sz w:val="20"/>
                <w:szCs w:val="20"/>
                <w:color w:val="auto"/>
              </w:rPr>
            </w:pPr>
          </w:p>
        </w:tc>
        <w:tc>
          <w:tcPr>
            <w:tcW w:w="1500" w:type="dxa"/>
            <w:vAlign w:val="bottom"/>
          </w:tcPr>
          <w:p>
            <w:pPr>
              <w:jc w:val="right"/>
              <w:ind w:right="103"/>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01"/>
              <w:spacing w:after="0"/>
              <w:rPr>
                <w:sz w:val="20"/>
                <w:szCs w:val="20"/>
                <w:color w:val="auto"/>
              </w:rPr>
            </w:pPr>
            <w:r>
              <w:rPr>
                <w:rFonts w:ascii="Arial" w:cs="Arial" w:eastAsia="Arial" w:hAnsi="Arial"/>
                <w:sz w:val="16"/>
                <w:szCs w:val="16"/>
                <w:color w:val="auto"/>
              </w:rPr>
              <w:t>21.2</w:t>
            </w:r>
          </w:p>
        </w:tc>
      </w:tr>
      <w:tr>
        <w:trPr>
          <w:trHeight w:val="246"/>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Average automotive and other net income tax asset</w:t>
            </w: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(31.7)</w:t>
            </w:r>
          </w:p>
        </w:tc>
      </w:tr>
      <w:tr>
        <w:trPr>
          <w:trHeight w:val="280"/>
        </w:trPr>
        <w:tc>
          <w:tcPr>
            <w:tcW w:w="7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ROIC-adjusted average net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47.1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44.8</w:t>
            </w:r>
          </w:p>
        </w:tc>
      </w:tr>
      <w:tr>
        <w:trPr>
          <w:trHeight w:val="227"/>
        </w:trPr>
        <w:tc>
          <w:tcPr>
            <w:tcW w:w="7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ROIC-adjusted</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167"/>
        </w:trPr>
        <w:tc>
          <w:tcPr>
            <w:tcW w:w="7980" w:type="dxa"/>
            <w:vAlign w:val="bottom"/>
          </w:tcPr>
          <w:p>
            <w:pPr>
              <w:spacing w:after="0"/>
              <w:rPr>
                <w:sz w:val="20"/>
                <w:szCs w:val="20"/>
                <w:color w:val="auto"/>
              </w:rPr>
            </w:pPr>
            <w:r>
              <w:rPr>
                <w:rFonts w:ascii="Arial" w:cs="Arial" w:eastAsia="Arial" w:hAnsi="Arial"/>
                <w:sz w:val="14"/>
                <w:szCs w:val="14"/>
                <w:color w:val="auto"/>
              </w:rPr>
              <w:t>________</w:t>
            </w: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r>
    </w:tbl>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Refer to the reconciliation of Net income (loss) attributable to stockholders under U.S. GAAP to EBIT-adjusted within a previous section.</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equity of noncontrolling interests where the corresponding earnings (loss) are included in EBIT-adjusted.</w:t>
      </w:r>
    </w:p>
    <w:p>
      <w:pPr>
        <w:spacing w:after="0" w:line="200" w:lineRule="exact"/>
        <w:rPr>
          <w:sz w:val="20"/>
          <w:szCs w:val="20"/>
          <w:color w:val="auto"/>
        </w:rPr>
      </w:pPr>
    </w:p>
    <w:p>
      <w:pPr>
        <w:spacing w:after="0" w:line="284" w:lineRule="exact"/>
        <w:rPr>
          <w:sz w:val="20"/>
          <w:szCs w:val="20"/>
          <w:color w:val="auto"/>
        </w:rPr>
      </w:pPr>
    </w:p>
    <w:p>
      <w:pPr>
        <w:ind w:right="60" w:firstLine="162"/>
        <w:spacing w:after="0" w:line="260" w:lineRule="auto"/>
        <w:rPr>
          <w:sz w:val="20"/>
          <w:szCs w:val="20"/>
          <w:color w:val="auto"/>
        </w:rPr>
      </w:pPr>
      <w:r>
        <w:rPr>
          <w:rFonts w:ascii="Arial" w:cs="Arial" w:eastAsia="Arial" w:hAnsi="Arial"/>
          <w:sz w:val="16"/>
          <w:szCs w:val="16"/>
          <w:color w:val="auto"/>
        </w:rPr>
        <w:t>The following table reconciles Net automotive cash provided by operating activities from continuing operations under U.S. GAAP to adjusted automotive free cash flow (dollars in millions):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3"/>
          </w:tcPr>
          <w:p>
            <w:pPr>
              <w:ind w:left="300"/>
              <w:spacing w:after="0"/>
              <w:rPr>
                <w:sz w:val="20"/>
                <w:szCs w:val="20"/>
                <w:color w:val="auto"/>
              </w:rPr>
            </w:pPr>
            <w:r>
              <w:rPr>
                <w:rFonts w:ascii="Arial" w:cs="Arial" w:eastAsia="Arial" w:hAnsi="Arial"/>
                <w:sz w:val="13"/>
                <w:szCs w:val="13"/>
                <w:b w:val="1"/>
                <w:bCs w:val="1"/>
                <w:color w:val="auto"/>
                <w:w w:val="99"/>
              </w:rPr>
              <w:t>Three Months Ended</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rPr>
              <w:t>Nine Months Ended</w:t>
            </w:r>
          </w:p>
        </w:tc>
        <w:tc>
          <w:tcPr>
            <w:tcW w:w="640" w:type="dxa"/>
            <w:vAlign w:val="bottom"/>
            <w:tcBorders>
              <w:bottom w:val="single" w:sz="8" w:color="auto"/>
            </w:tcBorders>
          </w:tcPr>
          <w:p>
            <w:pPr>
              <w:spacing w:after="0"/>
              <w:rPr>
                <w:sz w:val="15"/>
                <w:szCs w:val="15"/>
                <w:color w:val="auto"/>
              </w:rPr>
            </w:pPr>
          </w:p>
        </w:tc>
      </w:tr>
      <w:tr>
        <w:trPr>
          <w:trHeight w:val="264"/>
        </w:trPr>
        <w:tc>
          <w:tcPr>
            <w:tcW w:w="6060" w:type="dxa"/>
            <w:vAlign w:val="bottom"/>
          </w:tcPr>
          <w:p>
            <w:pPr>
              <w:spacing w:after="0"/>
              <w:rPr>
                <w:sz w:val="22"/>
                <w:szCs w:val="22"/>
                <w:color w:val="auto"/>
              </w:rPr>
            </w:pPr>
          </w:p>
        </w:tc>
        <w:tc>
          <w:tcPr>
            <w:tcW w:w="138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 2018</w:t>
            </w:r>
          </w:p>
        </w:tc>
        <w:tc>
          <w:tcPr>
            <w:tcW w:w="136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 2017</w:t>
            </w:r>
          </w:p>
        </w:tc>
        <w:tc>
          <w:tcPr>
            <w:tcW w:w="1360" w:type="dxa"/>
            <w:vAlign w:val="bottom"/>
            <w:gridSpan w:val="3"/>
          </w:tcPr>
          <w:p>
            <w:pPr>
              <w:ind w:left="40"/>
              <w:spacing w:after="0"/>
              <w:rPr>
                <w:sz w:val="20"/>
                <w:szCs w:val="20"/>
                <w:color w:val="auto"/>
              </w:rPr>
            </w:pPr>
            <w:r>
              <w:rPr>
                <w:rFonts w:ascii="Arial" w:cs="Arial" w:eastAsia="Arial" w:hAnsi="Arial"/>
                <w:sz w:val="13"/>
                <w:szCs w:val="13"/>
                <w:b w:val="1"/>
                <w:bCs w:val="1"/>
                <w:color w:val="auto"/>
              </w:rPr>
              <w:t>September 30, 2018</w:t>
            </w:r>
          </w:p>
        </w:tc>
        <w:tc>
          <w:tcPr>
            <w:tcW w:w="1260" w:type="dxa"/>
            <w:vAlign w:val="bottom"/>
            <w:gridSpan w:val="2"/>
          </w:tcPr>
          <w:p>
            <w:pPr>
              <w:ind w:left="40"/>
              <w:spacing w:after="0"/>
              <w:rPr>
                <w:sz w:val="20"/>
                <w:szCs w:val="20"/>
                <w:color w:val="auto"/>
              </w:rPr>
            </w:pPr>
            <w:r>
              <w:rPr>
                <w:rFonts w:ascii="Arial" w:cs="Arial" w:eastAsia="Arial" w:hAnsi="Arial"/>
                <w:sz w:val="13"/>
                <w:szCs w:val="13"/>
                <w:b w:val="1"/>
                <w:bCs w:val="1"/>
                <w:color w:val="auto"/>
                <w:w w:val="98"/>
              </w:rPr>
              <w:t>September 30, 2017</w:t>
            </w:r>
          </w:p>
        </w:tc>
      </w:tr>
      <w:tr>
        <w:trPr>
          <w:trHeight w:val="257"/>
        </w:trPr>
        <w:tc>
          <w:tcPr>
            <w:tcW w:w="60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automotive cash provided by operating activities – continuing operations</w:t>
            </w: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2,515</w:t>
            </w:r>
          </w:p>
        </w:tc>
        <w:tc>
          <w:tcPr>
            <w:tcW w:w="12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1,214</w:t>
            </w:r>
          </w:p>
        </w:tc>
        <w:tc>
          <w:tcPr>
            <w:tcW w:w="100" w:type="dxa"/>
            <w:vAlign w:val="bottom"/>
            <w:tcBorders>
              <w:top w:val="single" w:sz="8" w:color="CCEEFF"/>
            </w:tcBorders>
            <w:shd w:val="clear" w:color="auto" w:fill="CCEEFF"/>
          </w:tcPr>
          <w:p>
            <w:pPr>
              <w:spacing w:after="0"/>
              <w:rPr>
                <w:sz w:val="22"/>
                <w:szCs w:val="22"/>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5,438</w:t>
            </w:r>
          </w:p>
        </w:tc>
        <w:tc>
          <w:tcPr>
            <w:tcW w:w="100" w:type="dxa"/>
            <w:vAlign w:val="bottom"/>
            <w:tcBorders>
              <w:top w:val="single" w:sz="8" w:color="CCEEFF"/>
            </w:tcBorders>
            <w:shd w:val="clear" w:color="auto" w:fill="CCEEFF"/>
          </w:tcPr>
          <w:p>
            <w:pPr>
              <w:spacing w:after="0"/>
              <w:rPr>
                <w:sz w:val="22"/>
                <w:szCs w:val="22"/>
                <w:color w:val="auto"/>
              </w:rPr>
            </w:pPr>
          </w:p>
        </w:tc>
        <w:tc>
          <w:tcPr>
            <w:tcW w:w="6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7,583</w:t>
            </w:r>
          </w:p>
        </w:tc>
      </w:tr>
      <w:tr>
        <w:trPr>
          <w:trHeight w:val="260"/>
        </w:trPr>
        <w:tc>
          <w:tcPr>
            <w:tcW w:w="6060" w:type="dxa"/>
            <w:vAlign w:val="bottom"/>
          </w:tcPr>
          <w:p>
            <w:pPr>
              <w:ind w:left="40"/>
              <w:spacing w:after="0"/>
              <w:rPr>
                <w:sz w:val="20"/>
                <w:szCs w:val="20"/>
                <w:color w:val="auto"/>
              </w:rPr>
            </w:pPr>
            <w:r>
              <w:rPr>
                <w:rFonts w:ascii="Arial" w:cs="Arial" w:eastAsia="Arial" w:hAnsi="Arial"/>
                <w:sz w:val="16"/>
                <w:szCs w:val="16"/>
                <w:color w:val="auto"/>
              </w:rPr>
              <w:t>Less: Capital expenditures – continuing operations</w:t>
            </w: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(2,191)</w:t>
            </w: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(2,140)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(6,496)</w:t>
            </w: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(6,276)</w:t>
            </w:r>
          </w:p>
        </w:tc>
      </w:tr>
      <w:tr>
        <w:trPr>
          <w:trHeight w:val="273"/>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Add: Adjustment for Korea restructuring</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748</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47"/>
        </w:trPr>
        <w:tc>
          <w:tcPr>
            <w:tcW w:w="6060" w:type="dxa"/>
            <w:vAlign w:val="bottom"/>
          </w:tcPr>
          <w:p>
            <w:pPr>
              <w:ind w:left="40"/>
              <w:spacing w:after="0"/>
              <w:rPr>
                <w:sz w:val="20"/>
                <w:szCs w:val="20"/>
                <w:color w:val="auto"/>
              </w:rPr>
            </w:pPr>
            <w:r>
              <w:rPr>
                <w:rFonts w:ascii="Arial" w:cs="Arial" w:eastAsia="Arial" w:hAnsi="Arial"/>
                <w:sz w:val="16"/>
                <w:szCs w:val="16"/>
                <w:color w:val="auto"/>
              </w:rPr>
              <w:t>Adjusted automotive free cash flow – continuing operations</w:t>
            </w: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396</w:t>
            </w:r>
          </w:p>
        </w:tc>
        <w:tc>
          <w:tcPr>
            <w:tcW w:w="1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(926)</w:t>
            </w:r>
          </w:p>
        </w:tc>
        <w:tc>
          <w:tcPr>
            <w:tcW w:w="100" w:type="dxa"/>
            <w:vAlign w:val="bottom"/>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1,307</w:t>
            </w:r>
          </w:p>
        </w:tc>
      </w:tr>
      <w:tr>
        <w:trPr>
          <w:trHeight w:val="228"/>
        </w:trPr>
        <w:tc>
          <w:tcPr>
            <w:tcW w:w="6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automotive cash provided by (used in) operating activities – discontinued</w:t>
            </w: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r>
      <w:tr>
        <w:trPr>
          <w:trHeight w:val="214"/>
        </w:trPr>
        <w:tc>
          <w:tcPr>
            <w:tcW w:w="60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operations</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w:t>
            </w:r>
          </w:p>
        </w:tc>
      </w:tr>
      <w:tr>
        <w:trPr>
          <w:trHeight w:val="264"/>
        </w:trPr>
        <w:tc>
          <w:tcPr>
            <w:tcW w:w="6060" w:type="dxa"/>
            <w:vAlign w:val="bottom"/>
          </w:tcPr>
          <w:p>
            <w:pPr>
              <w:ind w:left="40"/>
              <w:spacing w:after="0"/>
              <w:rPr>
                <w:sz w:val="20"/>
                <w:szCs w:val="20"/>
                <w:color w:val="auto"/>
              </w:rPr>
            </w:pPr>
            <w:r>
              <w:rPr>
                <w:rFonts w:ascii="Arial" w:cs="Arial" w:eastAsia="Arial" w:hAnsi="Arial"/>
                <w:sz w:val="16"/>
                <w:szCs w:val="16"/>
                <w:color w:val="auto"/>
              </w:rPr>
              <w:t>Less: capital expenditures – discontinued operations</w:t>
            </w:r>
          </w:p>
        </w:tc>
        <w:tc>
          <w:tcPr>
            <w:tcW w:w="40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(653)</w:t>
            </w:r>
          </w:p>
        </w:tc>
      </w:tr>
      <w:tr>
        <w:trPr>
          <w:trHeight w:val="24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automotive free cash flow</w:t>
            </w: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669</w:t>
            </w: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5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summarize key financial information by segment (dollars in millions):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2"/>
                <w:szCs w:val="12"/>
                <w:color w:val="auto"/>
              </w:rPr>
            </w:pPr>
          </w:p>
        </w:tc>
        <w:tc>
          <w:tcPr>
            <w:tcW w:w="700" w:type="dxa"/>
            <w:vAlign w:val="bottom"/>
          </w:tcPr>
          <w:p>
            <w:pPr>
              <w:jc w:val="right"/>
              <w:ind w:right="98"/>
              <w:spacing w:after="0"/>
              <w:rPr>
                <w:sz w:val="20"/>
                <w:szCs w:val="20"/>
                <w:color w:val="auto"/>
              </w:rPr>
            </w:pPr>
            <w:r>
              <w:rPr>
                <w:rFonts w:ascii="Arial" w:cs="Arial" w:eastAsia="Arial" w:hAnsi="Arial"/>
                <w:sz w:val="11"/>
                <w:szCs w:val="11"/>
                <w:b w:val="1"/>
                <w:bCs w:val="1"/>
                <w:color w:val="auto"/>
                <w:w w:val="98"/>
              </w:rPr>
              <w:t>Corporate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GM Cruise</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2"/>
                <w:szCs w:val="12"/>
                <w:color w:val="auto"/>
              </w:rPr>
            </w:pPr>
          </w:p>
        </w:tc>
        <w:tc>
          <w:tcPr>
            <w:tcW w:w="62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31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Three Months Ended September 30, 2018</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27,650</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4,582</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32,288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3,518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35,791</w:t>
            </w:r>
          </w:p>
        </w:tc>
        <w:tc>
          <w:tcPr>
            <w:tcW w:w="0" w:type="dxa"/>
            <w:vAlign w:val="bottom"/>
          </w:tcPr>
          <w:p>
            <w:pPr>
              <w:spacing w:after="0"/>
              <w:rPr>
                <w:sz w:val="1"/>
                <w:szCs w:val="1"/>
                <w:color w:val="auto"/>
              </w:rPr>
            </w:pPr>
          </w:p>
        </w:tc>
      </w:tr>
      <w:tr>
        <w:trPr>
          <w:trHeight w:val="208"/>
        </w:trPr>
        <w:tc>
          <w:tcPr>
            <w:tcW w:w="31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1,943</w:t>
            </w:r>
          </w:p>
        </w:tc>
        <w:tc>
          <w:tcPr>
            <w:tcW w:w="12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249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2,191</w:t>
            </w:r>
          </w:p>
        </w:tc>
        <w:tc>
          <w:tcPr>
            <w:tcW w:w="12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2,211</w:t>
            </w: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136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1,399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1,904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3,305</w:t>
            </w:r>
          </w:p>
        </w:tc>
        <w:tc>
          <w:tcPr>
            <w:tcW w:w="0" w:type="dxa"/>
            <w:vAlign w:val="bottom"/>
          </w:tcPr>
          <w:p>
            <w:pPr>
              <w:spacing w:after="0"/>
              <w:rPr>
                <w:sz w:val="1"/>
                <w:szCs w:val="1"/>
                <w:color w:val="auto"/>
              </w:rPr>
            </w:pPr>
          </w:p>
        </w:tc>
      </w:tr>
      <w:tr>
        <w:trPr>
          <w:trHeight w:val="208"/>
        </w:trPr>
        <w:tc>
          <w:tcPr>
            <w:tcW w:w="310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6</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484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530</w:t>
            </w:r>
          </w:p>
        </w:tc>
        <w:tc>
          <w:tcPr>
            <w:tcW w:w="0" w:type="dxa"/>
            <w:vAlign w:val="bottom"/>
          </w:tcPr>
          <w:p>
            <w:pPr>
              <w:spacing w:after="0"/>
              <w:rPr>
                <w:sz w:val="1"/>
                <w:szCs w:val="1"/>
                <w:color w:val="auto"/>
              </w:rPr>
            </w:pPr>
          </w:p>
        </w:tc>
      </w:tr>
      <w:tr>
        <w:trPr>
          <w:trHeight w:val="457"/>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2"/>
                <w:szCs w:val="12"/>
                <w:color w:val="auto"/>
              </w:rPr>
            </w:pPr>
          </w:p>
        </w:tc>
        <w:tc>
          <w:tcPr>
            <w:tcW w:w="700" w:type="dxa"/>
            <w:vAlign w:val="bottom"/>
          </w:tcPr>
          <w:p>
            <w:pPr>
              <w:jc w:val="right"/>
              <w:ind w:right="98"/>
              <w:spacing w:after="0"/>
              <w:rPr>
                <w:sz w:val="20"/>
                <w:szCs w:val="20"/>
                <w:color w:val="auto"/>
              </w:rPr>
            </w:pPr>
            <w:r>
              <w:rPr>
                <w:rFonts w:ascii="Arial" w:cs="Arial" w:eastAsia="Arial" w:hAnsi="Arial"/>
                <w:sz w:val="11"/>
                <w:szCs w:val="11"/>
                <w:b w:val="1"/>
                <w:bCs w:val="1"/>
                <w:color w:val="auto"/>
                <w:w w:val="98"/>
              </w:rPr>
              <w:t>Corporate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GM Cruise</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2"/>
                <w:szCs w:val="12"/>
                <w:color w:val="auto"/>
              </w:rPr>
            </w:pPr>
          </w:p>
        </w:tc>
        <w:tc>
          <w:tcPr>
            <w:tcW w:w="62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31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Three Months Ended September 30, 2017</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24,819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5,576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30,475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3,161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33,623</w:t>
            </w:r>
          </w:p>
        </w:tc>
        <w:tc>
          <w:tcPr>
            <w:tcW w:w="0" w:type="dxa"/>
            <w:vAlign w:val="bottom"/>
          </w:tcPr>
          <w:p>
            <w:pPr>
              <w:spacing w:after="0"/>
              <w:rPr>
                <w:sz w:val="1"/>
                <w:szCs w:val="1"/>
                <w:color w:val="auto"/>
              </w:rPr>
            </w:pPr>
          </w:p>
        </w:tc>
      </w:tr>
      <w:tr>
        <w:trPr>
          <w:trHeight w:val="208"/>
        </w:trPr>
        <w:tc>
          <w:tcPr>
            <w:tcW w:w="31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2,023</w:t>
            </w:r>
          </w:p>
        </w:tc>
        <w:tc>
          <w:tcPr>
            <w:tcW w:w="12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115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59"/>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2,140</w:t>
            </w:r>
          </w:p>
        </w:tc>
        <w:tc>
          <w:tcPr>
            <w:tcW w:w="12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19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2,167</w:t>
            </w: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1,210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1,387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1,743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3,130</w:t>
            </w:r>
          </w:p>
        </w:tc>
        <w:tc>
          <w:tcPr>
            <w:tcW w:w="0" w:type="dxa"/>
            <w:vAlign w:val="bottom"/>
          </w:tcPr>
          <w:p>
            <w:pPr>
              <w:spacing w:after="0"/>
              <w:rPr>
                <w:sz w:val="1"/>
                <w:szCs w:val="1"/>
                <w:color w:val="auto"/>
              </w:rPr>
            </w:pPr>
          </w:p>
        </w:tc>
      </w:tr>
      <w:tr>
        <w:trPr>
          <w:trHeight w:val="208"/>
        </w:trPr>
        <w:tc>
          <w:tcPr>
            <w:tcW w:w="310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78"/>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457</w:t>
            </w:r>
          </w:p>
        </w:tc>
        <w:tc>
          <w:tcPr>
            <w:tcW w:w="14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459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457"/>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2"/>
                <w:szCs w:val="12"/>
                <w:color w:val="auto"/>
              </w:rPr>
            </w:pPr>
          </w:p>
        </w:tc>
        <w:tc>
          <w:tcPr>
            <w:tcW w:w="700" w:type="dxa"/>
            <w:vAlign w:val="bottom"/>
          </w:tcPr>
          <w:p>
            <w:pPr>
              <w:jc w:val="right"/>
              <w:ind w:right="98"/>
              <w:spacing w:after="0"/>
              <w:rPr>
                <w:sz w:val="20"/>
                <w:szCs w:val="20"/>
                <w:color w:val="auto"/>
              </w:rPr>
            </w:pPr>
            <w:r>
              <w:rPr>
                <w:rFonts w:ascii="Arial" w:cs="Arial" w:eastAsia="Arial" w:hAnsi="Arial"/>
                <w:sz w:val="11"/>
                <w:szCs w:val="11"/>
                <w:b w:val="1"/>
                <w:bCs w:val="1"/>
                <w:color w:val="auto"/>
                <w:w w:val="98"/>
              </w:rPr>
              <w:t>Corporate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GM Cruise</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2"/>
                <w:szCs w:val="12"/>
                <w:color w:val="auto"/>
              </w:rPr>
            </w:pPr>
          </w:p>
        </w:tc>
        <w:tc>
          <w:tcPr>
            <w:tcW w:w="62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31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Nine Months Ended September 30, 2018</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83,969</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14,188</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155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98,312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10,417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108,650</w:t>
            </w:r>
          </w:p>
        </w:tc>
        <w:tc>
          <w:tcPr>
            <w:tcW w:w="0" w:type="dxa"/>
            <w:vAlign w:val="bottom"/>
          </w:tcPr>
          <w:p>
            <w:pPr>
              <w:spacing w:after="0"/>
              <w:rPr>
                <w:sz w:val="1"/>
                <w:szCs w:val="1"/>
                <w:color w:val="auto"/>
              </w:rPr>
            </w:pPr>
          </w:p>
        </w:tc>
      </w:tr>
      <w:tr>
        <w:trPr>
          <w:trHeight w:val="208"/>
        </w:trPr>
        <w:tc>
          <w:tcPr>
            <w:tcW w:w="31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5,842</w:t>
            </w:r>
          </w:p>
        </w:tc>
        <w:tc>
          <w:tcPr>
            <w:tcW w:w="12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640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17</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19"/>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6,496</w:t>
            </w:r>
          </w:p>
        </w:tc>
        <w:tc>
          <w:tcPr>
            <w:tcW w:w="12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6,562</w:t>
            </w: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3,474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426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3,936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5,560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9,501</w:t>
            </w:r>
          </w:p>
        </w:tc>
        <w:tc>
          <w:tcPr>
            <w:tcW w:w="0" w:type="dxa"/>
            <w:vAlign w:val="bottom"/>
          </w:tcPr>
          <w:p>
            <w:pPr>
              <w:spacing w:after="0"/>
              <w:rPr>
                <w:sz w:val="1"/>
                <w:szCs w:val="1"/>
                <w:color w:val="auto"/>
              </w:rPr>
            </w:pPr>
          </w:p>
        </w:tc>
      </w:tr>
      <w:tr>
        <w:trPr>
          <w:trHeight w:val="208"/>
        </w:trPr>
        <w:tc>
          <w:tcPr>
            <w:tcW w:w="310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463</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6</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522</w:t>
            </w:r>
          </w:p>
        </w:tc>
        <w:tc>
          <w:tcPr>
            <w:tcW w:w="12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522</w:t>
            </w: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1,667</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1,674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1,815</w:t>
            </w:r>
          </w:p>
        </w:tc>
        <w:tc>
          <w:tcPr>
            <w:tcW w:w="0" w:type="dxa"/>
            <w:vAlign w:val="bottom"/>
          </w:tcPr>
          <w:p>
            <w:pPr>
              <w:spacing w:after="0"/>
              <w:rPr>
                <w:sz w:val="1"/>
                <w:szCs w:val="1"/>
                <w:color w:val="auto"/>
              </w:rPr>
            </w:pPr>
          </w:p>
        </w:tc>
      </w:tr>
      <w:tr>
        <w:trPr>
          <w:trHeight w:val="457"/>
        </w:trPr>
        <w:tc>
          <w:tcPr>
            <w:tcW w:w="3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Total</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GM</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GMNA</w:t>
            </w:r>
          </w:p>
        </w:tc>
        <w:tc>
          <w:tcPr>
            <w:tcW w:w="200" w:type="dxa"/>
            <w:vAlign w:val="bottom"/>
          </w:tcPr>
          <w:p>
            <w:pPr>
              <w:spacing w:after="0"/>
              <w:rPr>
                <w:sz w:val="12"/>
                <w:szCs w:val="12"/>
                <w:color w:val="auto"/>
              </w:rPr>
            </w:pP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GMI</w:t>
            </w:r>
          </w:p>
        </w:tc>
        <w:tc>
          <w:tcPr>
            <w:tcW w:w="120" w:type="dxa"/>
            <w:vAlign w:val="bottom"/>
          </w:tcPr>
          <w:p>
            <w:pPr>
              <w:spacing w:after="0"/>
              <w:rPr>
                <w:sz w:val="12"/>
                <w:szCs w:val="12"/>
                <w:color w:val="auto"/>
              </w:rPr>
            </w:pPr>
          </w:p>
        </w:tc>
        <w:tc>
          <w:tcPr>
            <w:tcW w:w="700" w:type="dxa"/>
            <w:vAlign w:val="bottom"/>
          </w:tcPr>
          <w:p>
            <w:pPr>
              <w:jc w:val="right"/>
              <w:ind w:right="98"/>
              <w:spacing w:after="0"/>
              <w:rPr>
                <w:sz w:val="20"/>
                <w:szCs w:val="20"/>
                <w:color w:val="auto"/>
              </w:rPr>
            </w:pPr>
            <w:r>
              <w:rPr>
                <w:rFonts w:ascii="Arial" w:cs="Arial" w:eastAsia="Arial" w:hAnsi="Arial"/>
                <w:sz w:val="11"/>
                <w:szCs w:val="11"/>
                <w:b w:val="1"/>
                <w:bCs w:val="1"/>
                <w:color w:val="auto"/>
                <w:w w:val="98"/>
              </w:rPr>
              <w:t>Corporate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12"/>
                <w:szCs w:val="12"/>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9"/>
              </w:rPr>
              <w:t>Automotive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GM Cruise</w:t>
            </w:r>
          </w:p>
        </w:tc>
        <w:tc>
          <w:tcPr>
            <w:tcW w:w="14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Financial</w:t>
            </w:r>
          </w:p>
        </w:tc>
        <w:tc>
          <w:tcPr>
            <w:tcW w:w="100" w:type="dxa"/>
            <w:vAlign w:val="bottom"/>
          </w:tcPr>
          <w:p>
            <w:pPr>
              <w:spacing w:after="0"/>
              <w:rPr>
                <w:sz w:val="12"/>
                <w:szCs w:val="12"/>
                <w:color w:val="auto"/>
              </w:rPr>
            </w:pPr>
          </w:p>
        </w:tc>
        <w:tc>
          <w:tcPr>
            <w:tcW w:w="90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2"/>
                <w:szCs w:val="12"/>
                <w:color w:val="auto"/>
              </w:rPr>
            </w:pPr>
          </w:p>
        </w:tc>
        <w:tc>
          <w:tcPr>
            <w:tcW w:w="620" w:type="dxa"/>
            <w:vAlign w:val="bottom"/>
          </w:tcPr>
          <w:p>
            <w:pPr>
              <w:jc w:val="right"/>
              <w:ind w:right="198"/>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22"/>
        </w:trPr>
        <w:tc>
          <w:tcPr>
            <w:tcW w:w="31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Nine Months Ended September 30, 2017</w:t>
            </w: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31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
        </w:trPr>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Net sales and revenue</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82,594</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16,226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306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99,126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8,899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107,873</w:t>
            </w:r>
          </w:p>
        </w:tc>
        <w:tc>
          <w:tcPr>
            <w:tcW w:w="0" w:type="dxa"/>
            <w:vAlign w:val="bottom"/>
          </w:tcPr>
          <w:p>
            <w:pPr>
              <w:spacing w:after="0"/>
              <w:rPr>
                <w:sz w:val="1"/>
                <w:szCs w:val="1"/>
                <w:color w:val="auto"/>
              </w:rPr>
            </w:pPr>
          </w:p>
        </w:tc>
      </w:tr>
      <w:tr>
        <w:trPr>
          <w:trHeight w:val="208"/>
        </w:trPr>
        <w:tc>
          <w:tcPr>
            <w:tcW w:w="3100" w:type="dxa"/>
            <w:vAlign w:val="bottom"/>
          </w:tcPr>
          <w:p>
            <w:pPr>
              <w:ind w:left="40"/>
              <w:spacing w:after="0"/>
              <w:rPr>
                <w:sz w:val="20"/>
                <w:szCs w:val="20"/>
                <w:color w:val="auto"/>
              </w:rPr>
            </w:pPr>
            <w:r>
              <w:rPr>
                <w:rFonts w:ascii="Arial" w:cs="Arial" w:eastAsia="Arial" w:hAnsi="Arial"/>
                <w:sz w:val="13"/>
                <w:szCs w:val="13"/>
                <w:color w:val="auto"/>
              </w:rPr>
              <w:t>Expenditures for property</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5,858</w:t>
            </w:r>
          </w:p>
        </w:tc>
        <w:tc>
          <w:tcPr>
            <w:tcW w:w="12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412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6</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6,276</w:t>
            </w:r>
          </w:p>
        </w:tc>
        <w:tc>
          <w:tcPr>
            <w:tcW w:w="12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5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40"/>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6,353</w:t>
            </w: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Depreciation and amortization</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3,499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535</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22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9"/>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4,055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4,757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8,813</w:t>
            </w:r>
          </w:p>
        </w:tc>
        <w:tc>
          <w:tcPr>
            <w:tcW w:w="0" w:type="dxa"/>
            <w:vAlign w:val="bottom"/>
          </w:tcPr>
          <w:p>
            <w:pPr>
              <w:spacing w:after="0"/>
              <w:rPr>
                <w:sz w:val="1"/>
                <w:szCs w:val="1"/>
                <w:color w:val="auto"/>
              </w:rPr>
            </w:pPr>
          </w:p>
        </w:tc>
      </w:tr>
      <w:tr>
        <w:trPr>
          <w:trHeight w:val="208"/>
        </w:trPr>
        <w:tc>
          <w:tcPr>
            <w:tcW w:w="3100" w:type="dxa"/>
            <w:vAlign w:val="bottom"/>
          </w:tcPr>
          <w:p>
            <w:pPr>
              <w:ind w:left="40"/>
              <w:spacing w:after="0"/>
              <w:rPr>
                <w:sz w:val="20"/>
                <w:szCs w:val="20"/>
                <w:color w:val="auto"/>
              </w:rPr>
            </w:pPr>
            <w:r>
              <w:rPr>
                <w:rFonts w:ascii="Arial" w:cs="Arial" w:eastAsia="Arial" w:hAnsi="Arial"/>
                <w:sz w:val="13"/>
                <w:szCs w:val="13"/>
                <w:color w:val="auto"/>
              </w:rPr>
              <w:t>Impairment charges</w:t>
            </w: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58"/>
              <w:spacing w:after="0"/>
              <w:rPr>
                <w:sz w:val="20"/>
                <w:szCs w:val="20"/>
                <w:color w:val="auto"/>
              </w:rPr>
            </w:pPr>
            <w:r>
              <w:rPr>
                <w:rFonts w:ascii="Arial" w:cs="Arial" w:eastAsia="Arial" w:hAnsi="Arial"/>
                <w:sz w:val="13"/>
                <w:szCs w:val="13"/>
                <w:color w:val="auto"/>
              </w:rPr>
              <w:t>59</w:t>
            </w:r>
          </w:p>
        </w:tc>
        <w:tc>
          <w:tcPr>
            <w:tcW w:w="120" w:type="dxa"/>
            <w:vAlign w:val="bottom"/>
          </w:tcPr>
          <w:p>
            <w:pPr>
              <w:spacing w:after="0"/>
              <w:rPr>
                <w:sz w:val="18"/>
                <w:szCs w:val="18"/>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58"/>
              <w:spacing w:after="0"/>
              <w:rPr>
                <w:sz w:val="20"/>
                <w:szCs w:val="20"/>
                <w:color w:val="auto"/>
              </w:rPr>
            </w:pPr>
            <w:r>
              <w:rPr>
                <w:rFonts w:ascii="Arial" w:cs="Arial" w:eastAsia="Arial" w:hAnsi="Arial"/>
                <w:sz w:val="13"/>
                <w:szCs w:val="13"/>
                <w:color w:val="auto"/>
              </w:rPr>
              <w:t>207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ind w:right="58"/>
              <w:spacing w:after="0"/>
              <w:rPr>
                <w:sz w:val="20"/>
                <w:szCs w:val="20"/>
                <w:color w:val="auto"/>
              </w:rPr>
            </w:pPr>
            <w:r>
              <w:rPr>
                <w:rFonts w:ascii="Arial" w:cs="Arial" w:eastAsia="Arial" w:hAnsi="Arial"/>
                <w:sz w:val="13"/>
                <w:szCs w:val="13"/>
                <w:color w:val="auto"/>
              </w:rPr>
              <w:t>5</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40"/>
              <w:spacing w:after="0"/>
              <w:rPr>
                <w:sz w:val="20"/>
                <w:szCs w:val="20"/>
                <w:color w:val="auto"/>
              </w:rPr>
            </w:pPr>
            <w:r>
              <w:rPr>
                <w:rFonts w:ascii="Arial" w:cs="Arial" w:eastAsia="Arial" w:hAnsi="Arial"/>
                <w:sz w:val="13"/>
                <w:szCs w:val="13"/>
                <w:color w:val="auto"/>
              </w:rPr>
              <w:t>271</w:t>
            </w:r>
          </w:p>
        </w:tc>
        <w:tc>
          <w:tcPr>
            <w:tcW w:w="120" w:type="dxa"/>
            <w:vAlign w:val="bottom"/>
          </w:tcPr>
          <w:p>
            <w:pPr>
              <w:spacing w:after="0"/>
              <w:rPr>
                <w:sz w:val="18"/>
                <w:szCs w:val="18"/>
                <w:color w:val="auto"/>
              </w:rPr>
            </w:pPr>
          </w:p>
        </w:tc>
        <w:tc>
          <w:tcPr>
            <w:tcW w:w="260" w:type="dxa"/>
            <w:vAlign w:val="bottom"/>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8"/>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224"/>
        </w:trPr>
        <w:tc>
          <w:tcPr>
            <w:tcW w:w="310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 income(a)</w:t>
            </w: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1,448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1,456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129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38"/>
              <w:spacing w:after="0"/>
              <w:rPr>
                <w:sz w:val="20"/>
                <w:szCs w:val="20"/>
                <w:color w:val="auto"/>
              </w:rPr>
            </w:pPr>
            <w:r>
              <w:rPr>
                <w:rFonts w:ascii="Arial" w:cs="Arial" w:eastAsia="Arial" w:hAnsi="Arial"/>
                <w:sz w:val="13"/>
                <w:szCs w:val="13"/>
                <w:color w:val="auto"/>
              </w:rPr>
              <w:t>1,585</w:t>
            </w:r>
          </w:p>
        </w:tc>
        <w:tc>
          <w:tcPr>
            <w:tcW w:w="0" w:type="dxa"/>
            <w:vAlign w:val="bottom"/>
          </w:tcPr>
          <w:p>
            <w:pPr>
              <w:spacing w:after="0"/>
              <w:rPr>
                <w:sz w:val="1"/>
                <w:szCs w:val="1"/>
                <w:color w:val="auto"/>
              </w:rPr>
            </w:pPr>
          </w:p>
        </w:tc>
      </w:tr>
      <w:tr>
        <w:trPr>
          <w:trHeight w:val="156"/>
        </w:trPr>
        <w:tc>
          <w:tcPr>
            <w:tcW w:w="3100" w:type="dxa"/>
            <w:vAlign w:val="bottom"/>
          </w:tcPr>
          <w:p>
            <w:pPr>
              <w:spacing w:after="0" w:line="156" w:lineRule="exact"/>
              <w:rPr>
                <w:sz w:val="20"/>
                <w:szCs w:val="20"/>
                <w:color w:val="auto"/>
              </w:rPr>
            </w:pPr>
            <w:r>
              <w:rPr>
                <w:rFonts w:ascii="Arial" w:cs="Arial" w:eastAsia="Arial" w:hAnsi="Arial"/>
                <w:sz w:val="14"/>
                <w:szCs w:val="14"/>
                <w:color w:val="auto"/>
              </w:rPr>
              <w:t>________</w:t>
            </w: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line="242" w:lineRule="auto"/>
        <w:tabs>
          <w:tab w:leader="none" w:pos="34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Automotive China equity income of $485 million and $459 million in the three months ended September 30, 2018 and 2017 and $1.7 billion and $1.5 billion in the nine months ended September 30, 2018 and 2017.</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54"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Vehicle Sales</w:t>
      </w:r>
    </w:p>
    <w:p>
      <w:pPr>
        <w:spacing w:after="0" w:line="214" w:lineRule="exact"/>
        <w:rPr>
          <w:sz w:val="20"/>
          <w:szCs w:val="20"/>
          <w:color w:val="auto"/>
        </w:rPr>
      </w:pPr>
    </w:p>
    <w:p>
      <w:pPr>
        <w:jc w:val="both"/>
        <w:ind w:firstLine="162"/>
        <w:spacing w:after="0" w:line="253" w:lineRule="auto"/>
        <w:rPr>
          <w:sz w:val="20"/>
          <w:szCs w:val="20"/>
          <w:color w:val="auto"/>
        </w:rPr>
      </w:pPr>
      <w:r>
        <w:rPr>
          <w:rFonts w:ascii="Arial" w:cs="Arial" w:eastAsia="Arial" w:hAnsi="Arial"/>
          <w:sz w:val="16"/>
          <w:szCs w:val="16"/>
          <w:color w:val="auto"/>
        </w:rPr>
        <w:t>GM presents both wholesale and retail vehicle sales data to assist in the analysis of our revenue and our market share. GM does not currently export vehicles to Cuba, Iran, North Korea, Sudan, or Syria. Accordingly these countries are excluded from industry sales data and corresponding calculation of GM's market share.</w:t>
      </w:r>
    </w:p>
    <w:p>
      <w:pPr>
        <w:spacing w:after="0" w:line="174"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color w:val="auto"/>
        </w:rPr>
        <w:t>Wholesale vehicle sales data, which represents sales directly to dealers and others, including sales to fleet customers, is the measure that correlates to GM's revenue from the sale of vehicles, which is the largest component of Automotive net sales and revenue. Wholesale vehicle sales exclude vehicles sold by joint ventures. In the nine months ended September 30, 2018, 35.4% of our wholesale vehicle sales volume was generated outside the U.S. The following table summarizes total wholesale vehicle sales of new vehicles by automotive segment (vehicles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3340" w:type="dxa"/>
            <w:vAlign w:val="bottom"/>
            <w:tcBorders>
              <w:bottom w:val="single" w:sz="8" w:color="auto"/>
            </w:tcBorders>
            <w:gridSpan w:val="3"/>
          </w:tcPr>
          <w:p>
            <w:pPr>
              <w:jc w:val="right"/>
              <w:ind w:right="963"/>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3260" w:type="dxa"/>
            <w:vAlign w:val="bottom"/>
            <w:tcBorders>
              <w:bottom w:val="single" w:sz="8" w:color="auto"/>
            </w:tcBorders>
            <w:gridSpan w:val="3"/>
          </w:tcPr>
          <w:p>
            <w:pPr>
              <w:jc w:val="right"/>
              <w:ind w:right="963"/>
              <w:spacing w:after="0"/>
              <w:rPr>
                <w:sz w:val="20"/>
                <w:szCs w:val="20"/>
                <w:color w:val="auto"/>
              </w:rPr>
            </w:pPr>
            <w:r>
              <w:rPr>
                <w:rFonts w:ascii="Arial" w:cs="Arial" w:eastAsia="Arial" w:hAnsi="Arial"/>
                <w:sz w:val="13"/>
                <w:szCs w:val="13"/>
                <w:b w:val="1"/>
                <w:bCs w:val="1"/>
                <w:color w:val="auto"/>
              </w:rPr>
              <w:t>Nine Months Ended</w:t>
            </w:r>
          </w:p>
        </w:tc>
      </w:tr>
      <w:tr>
        <w:trPr>
          <w:trHeight w:val="250"/>
        </w:trPr>
        <w:tc>
          <w:tcPr>
            <w:tcW w:w="4700" w:type="dxa"/>
            <w:vAlign w:val="bottom"/>
          </w:tcPr>
          <w:p>
            <w:pPr>
              <w:spacing w:after="0"/>
              <w:rPr>
                <w:sz w:val="21"/>
                <w:szCs w:val="21"/>
                <w:color w:val="auto"/>
              </w:rPr>
            </w:pPr>
          </w:p>
        </w:tc>
        <w:tc>
          <w:tcPr>
            <w:tcW w:w="1720" w:type="dxa"/>
            <w:vAlign w:val="bottom"/>
            <w:gridSpan w:val="2"/>
          </w:tcPr>
          <w:p>
            <w:pPr>
              <w:ind w:left="200"/>
              <w:spacing w:after="0"/>
              <w:rPr>
                <w:sz w:val="20"/>
                <w:szCs w:val="20"/>
                <w:color w:val="auto"/>
              </w:rPr>
            </w:pPr>
            <w:r>
              <w:rPr>
                <w:rFonts w:ascii="Arial" w:cs="Arial" w:eastAsia="Arial" w:hAnsi="Arial"/>
                <w:sz w:val="13"/>
                <w:szCs w:val="13"/>
                <w:b w:val="1"/>
                <w:bCs w:val="1"/>
                <w:color w:val="auto"/>
              </w:rPr>
              <w:t>September 30, 2018</w:t>
            </w:r>
          </w:p>
        </w:tc>
        <w:tc>
          <w:tcPr>
            <w:tcW w:w="1740" w:type="dxa"/>
            <w:vAlign w:val="bottom"/>
            <w:gridSpan w:val="2"/>
          </w:tcPr>
          <w:p>
            <w:pPr>
              <w:ind w:left="220"/>
              <w:spacing w:after="0"/>
              <w:rPr>
                <w:sz w:val="20"/>
                <w:szCs w:val="20"/>
                <w:color w:val="auto"/>
              </w:rPr>
            </w:pPr>
            <w:r>
              <w:rPr>
                <w:rFonts w:ascii="Arial" w:cs="Arial" w:eastAsia="Arial" w:hAnsi="Arial"/>
                <w:sz w:val="13"/>
                <w:szCs w:val="13"/>
                <w:b w:val="1"/>
                <w:bCs w:val="1"/>
                <w:color w:val="auto"/>
              </w:rPr>
              <w:t>September 30, 2017</w:t>
            </w:r>
          </w:p>
        </w:tc>
        <w:tc>
          <w:tcPr>
            <w:tcW w:w="1680" w:type="dxa"/>
            <w:vAlign w:val="bottom"/>
            <w:gridSpan w:val="2"/>
          </w:tcPr>
          <w:p>
            <w:pPr>
              <w:ind w:left="200"/>
              <w:spacing w:after="0"/>
              <w:rPr>
                <w:sz w:val="20"/>
                <w:szCs w:val="20"/>
                <w:color w:val="auto"/>
              </w:rPr>
            </w:pPr>
            <w:r>
              <w:rPr>
                <w:rFonts w:ascii="Arial" w:cs="Arial" w:eastAsia="Arial" w:hAnsi="Arial"/>
                <w:sz w:val="13"/>
                <w:szCs w:val="13"/>
                <w:b w:val="1"/>
                <w:bCs w:val="1"/>
                <w:color w:val="auto"/>
              </w:rPr>
              <w:t>September 30, 2018</w:t>
            </w:r>
          </w:p>
        </w:tc>
        <w:tc>
          <w:tcPr>
            <w:tcW w:w="1580" w:type="dxa"/>
            <w:vAlign w:val="bottom"/>
          </w:tcPr>
          <w:p>
            <w:pPr>
              <w:jc w:val="right"/>
              <w:ind w:right="123"/>
              <w:spacing w:after="0"/>
              <w:rPr>
                <w:sz w:val="20"/>
                <w:szCs w:val="20"/>
                <w:color w:val="auto"/>
              </w:rPr>
            </w:pPr>
            <w:r>
              <w:rPr>
                <w:rFonts w:ascii="Arial" w:cs="Arial" w:eastAsia="Arial" w:hAnsi="Arial"/>
                <w:sz w:val="13"/>
                <w:szCs w:val="13"/>
                <w:b w:val="1"/>
                <w:bCs w:val="1"/>
                <w:color w:val="auto"/>
              </w:rPr>
              <w:t>September 30, 2017</w:t>
            </w:r>
          </w:p>
        </w:tc>
      </w:tr>
      <w:tr>
        <w:trPr>
          <w:trHeight w:val="243"/>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GMNA(a)</w:t>
            </w:r>
          </w:p>
        </w:tc>
        <w:tc>
          <w:tcPr>
            <w:tcW w:w="16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843</w:t>
            </w:r>
          </w:p>
        </w:tc>
        <w:tc>
          <w:tcPr>
            <w:tcW w:w="12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762</w:t>
            </w:r>
          </w:p>
        </w:tc>
        <w:tc>
          <w:tcPr>
            <w:tcW w:w="12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2,659</w:t>
            </w:r>
          </w:p>
        </w:tc>
        <w:tc>
          <w:tcPr>
            <w:tcW w:w="100" w:type="dxa"/>
            <w:vAlign w:val="bottom"/>
            <w:tcBorders>
              <w:top w:val="single" w:sz="8" w:color="CCEEFF"/>
            </w:tcBorders>
            <w:shd w:val="clear" w:color="auto" w:fill="CCEEFF"/>
          </w:tcPr>
          <w:p>
            <w:pPr>
              <w:spacing w:after="0"/>
              <w:rPr>
                <w:sz w:val="21"/>
                <w:szCs w:val="21"/>
                <w:color w:val="auto"/>
              </w:rPr>
            </w:pPr>
          </w:p>
        </w:tc>
        <w:tc>
          <w:tcPr>
            <w:tcW w:w="15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2,596</w:t>
            </w:r>
          </w:p>
        </w:tc>
      </w:tr>
      <w:tr>
        <w:trPr>
          <w:trHeight w:val="23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GMI(b)</w:t>
            </w:r>
          </w:p>
        </w:tc>
        <w:tc>
          <w:tcPr>
            <w:tcW w:w="160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321</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45"/>
              <w:spacing w:after="0"/>
              <w:rPr>
                <w:sz w:val="20"/>
                <w:szCs w:val="20"/>
                <w:color w:val="auto"/>
              </w:rPr>
            </w:pPr>
            <w:r>
              <w:rPr>
                <w:rFonts w:ascii="Arial" w:cs="Arial" w:eastAsia="Arial" w:hAnsi="Arial"/>
                <w:sz w:val="16"/>
                <w:szCs w:val="16"/>
                <w:color w:val="auto"/>
              </w:rPr>
              <w:t>836</w:t>
            </w:r>
          </w:p>
        </w:tc>
        <w:tc>
          <w:tcPr>
            <w:tcW w:w="10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939</w:t>
            </w: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6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1,132</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6"/>
                <w:szCs w:val="16"/>
                <w:color w:val="auto"/>
              </w:rPr>
              <w:t>1,083</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6"/>
                <w:szCs w:val="16"/>
                <w:color w:val="auto"/>
              </w:rPr>
              <w:t>3,495</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3,535</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27"/>
        </w:trPr>
        <w:tc>
          <w:tcPr>
            <w:tcW w:w="4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Discontinued operations</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20" w:type="dxa"/>
            <w:vAlign w:val="bottom"/>
            <w:shd w:val="clear" w:color="auto" w:fill="CCEEFF"/>
          </w:tcPr>
          <w:p>
            <w:pPr>
              <w:jc w:val="right"/>
              <w:ind w:right="63"/>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21"/>
                <w:szCs w:val="21"/>
                <w:color w:val="auto"/>
              </w:rPr>
            </w:pPr>
          </w:p>
        </w:tc>
        <w:tc>
          <w:tcPr>
            <w:tcW w:w="1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696</w:t>
            </w:r>
          </w:p>
        </w:tc>
      </w:tr>
      <w:tr>
        <w:trPr>
          <w:trHeight w:val="383"/>
        </w:trPr>
        <w:tc>
          <w:tcPr>
            <w:tcW w:w="4700" w:type="dxa"/>
            <w:vAlign w:val="bottom"/>
          </w:tcPr>
          <w:p>
            <w:pPr>
              <w:spacing w:after="0"/>
              <w:rPr>
                <w:sz w:val="20"/>
                <w:szCs w:val="20"/>
                <w:color w:val="auto"/>
              </w:rPr>
            </w:pPr>
            <w:r>
              <w:rPr>
                <w:rFonts w:ascii="Arial" w:cs="Arial" w:eastAsia="Arial" w:hAnsi="Arial"/>
                <w:sz w:val="14"/>
                <w:szCs w:val="14"/>
                <w:color w:val="auto"/>
              </w:rPr>
              <w:t>__________</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Wholesale vehicle sales related to transactions with the European Business were insignificant for all periods presented.</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Wholesale vehicle sales include 37 and 131 vehicles related to transactions with the European Business for the three and nine months ended September 30, 2017.</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54"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48" w:lineRule="exact"/>
        <w:rPr>
          <w:sz w:val="20"/>
          <w:szCs w:val="20"/>
          <w:color w:val="auto"/>
        </w:rPr>
      </w:pPr>
    </w:p>
    <w:p>
      <w:pPr>
        <w:jc w:val="both"/>
        <w:ind w:firstLine="162"/>
        <w:spacing w:after="0" w:line="251" w:lineRule="auto"/>
        <w:rPr>
          <w:sz w:val="20"/>
          <w:szCs w:val="20"/>
          <w:color w:val="auto"/>
        </w:rPr>
      </w:pPr>
      <w:r>
        <w:rPr>
          <w:rFonts w:ascii="Arial" w:cs="Arial" w:eastAsia="Arial" w:hAnsi="Arial"/>
          <w:sz w:val="16"/>
          <w:szCs w:val="16"/>
          <w:color w:val="auto"/>
        </w:rPr>
        <w:t>Retail vehicle sales data, which represents sales to end customers based upon the good faith estimates of management, including sales to fleet customers, does not correlate directly to the revenue GM recognizes during the period. However retail vehicle sales data is indicative of the underlying demand for GM vehicles. Market share information is based primarily on retail vehicle sales volume. In countries where retail vehicle sales data is not readily available, other data sources such as wholesale or forecast volumes are used to estimate retail vehicle sales to end customers.</w:t>
      </w:r>
    </w:p>
    <w:p>
      <w:pPr>
        <w:spacing w:after="0" w:line="176" w:lineRule="exact"/>
        <w:rPr>
          <w:sz w:val="20"/>
          <w:szCs w:val="20"/>
          <w:color w:val="auto"/>
        </w:rPr>
      </w:pPr>
    </w:p>
    <w:p>
      <w:pPr>
        <w:jc w:val="both"/>
        <w:ind w:firstLine="162"/>
        <w:spacing w:after="0" w:line="250" w:lineRule="auto"/>
        <w:rPr>
          <w:sz w:val="20"/>
          <w:szCs w:val="20"/>
          <w:color w:val="auto"/>
        </w:rPr>
      </w:pPr>
      <w:r>
        <w:rPr>
          <w:rFonts w:ascii="Arial" w:cs="Arial" w:eastAsia="Arial" w:hAnsi="Arial"/>
          <w:sz w:val="16"/>
          <w:szCs w:val="16"/>
          <w:color w:val="auto"/>
        </w:rPr>
        <w:t>Retail vehicle sales data includes all sales by joint ventures on a total vehicle basis, not based on the percentage of ownership in the joint venture. Certain joint venture agreements in China allow for the contractual right to report vehicle sales of non-GM trademarked vehicles by those joint ventures. Retail vehicle sales data includes vehicles used by dealers under courtesy transportation programs. Certain fleet sales that are accounted for as operating leases are included in retail vehicle sales at the time of delivery to daily rental car companies. The following table summarizes total retail sales, or estimated sales where retail sales volume is not available, by geographic region (vehicles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00" w:type="dxa"/>
            <w:vAlign w:val="bottom"/>
          </w:tcPr>
          <w:p>
            <w:pPr>
              <w:spacing w:after="0"/>
              <w:rPr>
                <w:sz w:val="15"/>
                <w:szCs w:val="15"/>
                <w:color w:val="auto"/>
              </w:rPr>
            </w:pPr>
          </w:p>
        </w:tc>
        <w:tc>
          <w:tcPr>
            <w:tcW w:w="33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326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3"/>
                <w:szCs w:val="13"/>
                <w:b w:val="1"/>
                <w:bCs w:val="1"/>
                <w:color w:val="auto"/>
              </w:rPr>
              <w:t>Nine Months Ended</w:t>
            </w:r>
          </w:p>
        </w:tc>
        <w:tc>
          <w:tcPr>
            <w:tcW w:w="0" w:type="dxa"/>
            <w:vAlign w:val="bottom"/>
          </w:tcPr>
          <w:p>
            <w:pPr>
              <w:spacing w:after="0"/>
              <w:rPr>
                <w:sz w:val="1"/>
                <w:szCs w:val="1"/>
                <w:color w:val="auto"/>
              </w:rPr>
            </w:pPr>
          </w:p>
        </w:tc>
      </w:tr>
      <w:tr>
        <w:trPr>
          <w:trHeight w:val="250"/>
        </w:trPr>
        <w:tc>
          <w:tcPr>
            <w:tcW w:w="4700" w:type="dxa"/>
            <w:vAlign w:val="bottom"/>
          </w:tcPr>
          <w:p>
            <w:pPr>
              <w:spacing w:after="0"/>
              <w:rPr>
                <w:sz w:val="21"/>
                <w:szCs w:val="21"/>
                <w:color w:val="auto"/>
              </w:rPr>
            </w:pPr>
          </w:p>
        </w:tc>
        <w:tc>
          <w:tcPr>
            <w:tcW w:w="1720" w:type="dxa"/>
            <w:vAlign w:val="bottom"/>
            <w:gridSpan w:val="2"/>
          </w:tcPr>
          <w:p>
            <w:pPr>
              <w:ind w:left="200"/>
              <w:spacing w:after="0"/>
              <w:rPr>
                <w:sz w:val="20"/>
                <w:szCs w:val="20"/>
                <w:color w:val="auto"/>
              </w:rPr>
            </w:pPr>
            <w:r>
              <w:rPr>
                <w:rFonts w:ascii="Arial" w:cs="Arial" w:eastAsia="Arial" w:hAnsi="Arial"/>
                <w:sz w:val="13"/>
                <w:szCs w:val="13"/>
                <w:b w:val="1"/>
                <w:bCs w:val="1"/>
                <w:color w:val="auto"/>
              </w:rPr>
              <w:t>September 30, 2018</w:t>
            </w:r>
          </w:p>
        </w:tc>
        <w:tc>
          <w:tcPr>
            <w:tcW w:w="1740" w:type="dxa"/>
            <w:vAlign w:val="bottom"/>
            <w:gridSpan w:val="2"/>
          </w:tcPr>
          <w:p>
            <w:pPr>
              <w:ind w:left="220"/>
              <w:spacing w:after="0"/>
              <w:rPr>
                <w:sz w:val="20"/>
                <w:szCs w:val="20"/>
                <w:color w:val="auto"/>
              </w:rPr>
            </w:pPr>
            <w:r>
              <w:rPr>
                <w:rFonts w:ascii="Arial" w:cs="Arial" w:eastAsia="Arial" w:hAnsi="Arial"/>
                <w:sz w:val="13"/>
                <w:szCs w:val="13"/>
                <w:b w:val="1"/>
                <w:bCs w:val="1"/>
                <w:color w:val="auto"/>
              </w:rPr>
              <w:t>September 30, 2017</w:t>
            </w:r>
          </w:p>
        </w:tc>
        <w:tc>
          <w:tcPr>
            <w:tcW w:w="1680" w:type="dxa"/>
            <w:vAlign w:val="bottom"/>
            <w:gridSpan w:val="2"/>
          </w:tcPr>
          <w:p>
            <w:pPr>
              <w:ind w:left="200"/>
              <w:spacing w:after="0"/>
              <w:rPr>
                <w:sz w:val="20"/>
                <w:szCs w:val="20"/>
                <w:color w:val="auto"/>
              </w:rPr>
            </w:pPr>
            <w:r>
              <w:rPr>
                <w:rFonts w:ascii="Arial" w:cs="Arial" w:eastAsia="Arial" w:hAnsi="Arial"/>
                <w:sz w:val="13"/>
                <w:szCs w:val="13"/>
                <w:b w:val="1"/>
                <w:bCs w:val="1"/>
                <w:color w:val="auto"/>
              </w:rPr>
              <w:t>September 30, 2018</w:t>
            </w:r>
          </w:p>
        </w:tc>
        <w:tc>
          <w:tcPr>
            <w:tcW w:w="1580" w:type="dxa"/>
            <w:vAlign w:val="bottom"/>
          </w:tcPr>
          <w:p>
            <w:pPr>
              <w:jc w:val="right"/>
              <w:ind w:right="120"/>
              <w:spacing w:after="0"/>
              <w:rPr>
                <w:sz w:val="20"/>
                <w:szCs w:val="20"/>
                <w:color w:val="auto"/>
              </w:rPr>
            </w:pPr>
            <w:r>
              <w:rPr>
                <w:rFonts w:ascii="Arial" w:cs="Arial" w:eastAsia="Arial" w:hAnsi="Arial"/>
                <w:sz w:val="13"/>
                <w:szCs w:val="13"/>
                <w:b w:val="1"/>
                <w:bCs w:val="1"/>
                <w:color w:val="auto"/>
              </w:rPr>
              <w:t>September 30, 2017</w:t>
            </w:r>
          </w:p>
        </w:tc>
        <w:tc>
          <w:tcPr>
            <w:tcW w:w="0" w:type="dxa"/>
            <w:vAlign w:val="bottom"/>
          </w:tcPr>
          <w:p>
            <w:pPr>
              <w:spacing w:after="0"/>
              <w:rPr>
                <w:sz w:val="1"/>
                <w:szCs w:val="1"/>
                <w:color w:val="auto"/>
              </w:rPr>
            </w:pPr>
          </w:p>
        </w:tc>
      </w:tr>
      <w:tr>
        <w:trPr>
          <w:trHeight w:val="260"/>
        </w:trPr>
        <w:tc>
          <w:tcPr>
            <w:tcW w:w="4700" w:type="dxa"/>
            <w:vAlign w:val="bottom"/>
          </w:tcPr>
          <w:p>
            <w:pPr>
              <w:ind w:left="40"/>
              <w:spacing w:after="0"/>
              <w:rPr>
                <w:sz w:val="20"/>
                <w:szCs w:val="20"/>
                <w:color w:val="auto"/>
              </w:rPr>
            </w:pPr>
            <w:r>
              <w:rPr>
                <w:rFonts w:ascii="Arial" w:cs="Arial" w:eastAsia="Arial" w:hAnsi="Arial"/>
                <w:sz w:val="16"/>
                <w:szCs w:val="16"/>
                <w:color w:val="auto"/>
              </w:rPr>
              <w:t>United States</w:t>
            </w:r>
          </w:p>
        </w:tc>
        <w:tc>
          <w:tcPr>
            <w:tcW w:w="16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Cars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118</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159</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365</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471</w:t>
            </w: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Chevrolet – Trucks</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2"/>
                <w:szCs w:val="22"/>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246</w:t>
            </w:r>
          </w:p>
        </w:tc>
        <w:tc>
          <w:tcPr>
            <w:tcW w:w="120" w:type="dxa"/>
            <w:vAlign w:val="bottom"/>
          </w:tcPr>
          <w:p>
            <w:pPr>
              <w:spacing w:after="0"/>
              <w:rPr>
                <w:sz w:val="22"/>
                <w:szCs w:val="22"/>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 – Crossovers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136</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142</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424</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2"/>
                <w:szCs w:val="22"/>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156</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GMC</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396</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United States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695</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781</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2,169</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2,196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Canada, Mexico and Other</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144</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404</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North America(a)</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834</w:t>
            </w:r>
          </w:p>
        </w:tc>
        <w:tc>
          <w:tcPr>
            <w:tcW w:w="120" w:type="dxa"/>
            <w:vAlign w:val="bottom"/>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925</w:t>
            </w:r>
          </w:p>
        </w:tc>
        <w:tc>
          <w:tcPr>
            <w:tcW w:w="12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2,573</w:t>
            </w:r>
          </w:p>
        </w:tc>
        <w:tc>
          <w:tcPr>
            <w:tcW w:w="100" w:type="dxa"/>
            <w:vAlign w:val="bottom"/>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2,619</w:t>
            </w:r>
          </w:p>
        </w:tc>
        <w:tc>
          <w:tcPr>
            <w:tcW w:w="0" w:type="dxa"/>
            <w:vAlign w:val="bottom"/>
          </w:tcPr>
          <w:p>
            <w:pPr>
              <w:spacing w:after="0"/>
              <w:rPr>
                <w:sz w:val="1"/>
                <w:szCs w:val="1"/>
                <w:color w:val="auto"/>
              </w:rPr>
            </w:pPr>
          </w:p>
        </w:tc>
      </w:tr>
      <w:tr>
        <w:trPr>
          <w:trHeight w:val="254"/>
        </w:trPr>
        <w:tc>
          <w:tcPr>
            <w:tcW w:w="4700" w:type="dxa"/>
            <w:vAlign w:val="bottom"/>
          </w:tcPr>
          <w:p>
            <w:pPr>
              <w:ind w:left="40"/>
              <w:spacing w:after="0"/>
              <w:rPr>
                <w:sz w:val="20"/>
                <w:szCs w:val="20"/>
                <w:color w:val="auto"/>
              </w:rPr>
            </w:pPr>
            <w:r>
              <w:rPr>
                <w:rFonts w:ascii="Arial" w:cs="Arial" w:eastAsia="Arial" w:hAnsi="Arial"/>
                <w:sz w:val="16"/>
                <w:szCs w:val="16"/>
                <w:color w:val="auto"/>
              </w:rPr>
              <w:t>Asia/Pacific, Middle East and Africa</w:t>
            </w: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Chevrolet</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243</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672</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671</w:t>
            </w: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Wuling</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120" w:type="dxa"/>
            <w:vAlign w:val="bottom"/>
          </w:tcPr>
          <w:p>
            <w:pPr>
              <w:spacing w:after="0"/>
              <w:rPr>
                <w:sz w:val="22"/>
                <w:szCs w:val="22"/>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237</w:t>
            </w:r>
          </w:p>
        </w:tc>
        <w:tc>
          <w:tcPr>
            <w:tcW w:w="120" w:type="dxa"/>
            <w:vAlign w:val="bottom"/>
          </w:tcPr>
          <w:p>
            <w:pPr>
              <w:spacing w:after="0"/>
              <w:rPr>
                <w:sz w:val="22"/>
                <w:szCs w:val="22"/>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776</w:t>
            </w:r>
          </w:p>
        </w:tc>
        <w:tc>
          <w:tcPr>
            <w:tcW w:w="10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801</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Buick</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754</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836</w:t>
            </w:r>
          </w:p>
        </w:tc>
        <w:tc>
          <w:tcPr>
            <w:tcW w:w="0" w:type="dxa"/>
            <w:vAlign w:val="bottom"/>
          </w:tcPr>
          <w:p>
            <w:pPr>
              <w:spacing w:after="0"/>
              <w:rPr>
                <w:sz w:val="1"/>
                <w:szCs w:val="1"/>
                <w:color w:val="auto"/>
              </w:rPr>
            </w:pPr>
          </w:p>
        </w:tc>
      </w:tr>
      <w:tr>
        <w:trPr>
          <w:trHeight w:val="260"/>
        </w:trPr>
        <w:tc>
          <w:tcPr>
            <w:tcW w:w="4700" w:type="dxa"/>
            <w:vAlign w:val="bottom"/>
          </w:tcPr>
          <w:p>
            <w:pPr>
              <w:ind w:left="280"/>
              <w:spacing w:after="0"/>
              <w:rPr>
                <w:sz w:val="20"/>
                <w:szCs w:val="20"/>
                <w:color w:val="auto"/>
              </w:rPr>
            </w:pPr>
            <w:r>
              <w:rPr>
                <w:rFonts w:ascii="Arial" w:cs="Arial" w:eastAsia="Arial" w:hAnsi="Arial"/>
                <w:sz w:val="16"/>
                <w:szCs w:val="16"/>
                <w:color w:val="auto"/>
              </w:rPr>
              <w:t>Baojun</w:t>
            </w:r>
          </w:p>
        </w:tc>
        <w:tc>
          <w:tcPr>
            <w:tcW w:w="1600" w:type="dxa"/>
            <w:vAlign w:val="bottom"/>
          </w:tcPr>
          <w:p>
            <w:pPr>
              <w:jc w:val="right"/>
              <w:ind w:right="41"/>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2"/>
                <w:szCs w:val="22"/>
                <w:color w:val="auto"/>
              </w:rPr>
            </w:pPr>
          </w:p>
        </w:tc>
        <w:tc>
          <w:tcPr>
            <w:tcW w:w="1620" w:type="dxa"/>
            <w:vAlign w:val="bottom"/>
          </w:tcPr>
          <w:p>
            <w:pPr>
              <w:jc w:val="right"/>
              <w:ind w:right="60"/>
              <w:spacing w:after="0"/>
              <w:rPr>
                <w:sz w:val="20"/>
                <w:szCs w:val="20"/>
                <w:color w:val="auto"/>
              </w:rPr>
            </w:pPr>
            <w:r>
              <w:rPr>
                <w:rFonts w:ascii="Arial" w:cs="Arial" w:eastAsia="Arial" w:hAnsi="Arial"/>
                <w:sz w:val="16"/>
                <w:szCs w:val="16"/>
                <w:color w:val="auto"/>
              </w:rPr>
              <w:t>249</w:t>
            </w:r>
          </w:p>
        </w:tc>
        <w:tc>
          <w:tcPr>
            <w:tcW w:w="120" w:type="dxa"/>
            <w:vAlign w:val="bottom"/>
          </w:tcPr>
          <w:p>
            <w:pPr>
              <w:spacing w:after="0"/>
              <w:rPr>
                <w:sz w:val="22"/>
                <w:szCs w:val="22"/>
                <w:color w:val="auto"/>
              </w:rPr>
            </w:pPr>
          </w:p>
        </w:tc>
        <w:tc>
          <w:tcPr>
            <w:tcW w:w="1580" w:type="dxa"/>
            <w:vAlign w:val="bottom"/>
          </w:tcPr>
          <w:p>
            <w:pPr>
              <w:jc w:val="right"/>
              <w:ind w:right="41"/>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2"/>
                <w:szCs w:val="22"/>
                <w:color w:val="auto"/>
              </w:rPr>
            </w:pPr>
          </w:p>
        </w:tc>
        <w:tc>
          <w:tcPr>
            <w:tcW w:w="1580" w:type="dxa"/>
            <w:vAlign w:val="bottom"/>
          </w:tcPr>
          <w:p>
            <w:pPr>
              <w:jc w:val="right"/>
              <w:ind w:right="20"/>
              <w:spacing w:after="0"/>
              <w:rPr>
                <w:sz w:val="20"/>
                <w:szCs w:val="20"/>
                <w:color w:val="auto"/>
              </w:rPr>
            </w:pPr>
            <w:r>
              <w:rPr>
                <w:rFonts w:ascii="Arial" w:cs="Arial" w:eastAsia="Arial" w:hAnsi="Arial"/>
                <w:sz w:val="16"/>
                <w:szCs w:val="16"/>
                <w:color w:val="auto"/>
              </w:rPr>
              <w:t>640</w:t>
            </w:r>
          </w:p>
        </w:tc>
        <w:tc>
          <w:tcPr>
            <w:tcW w:w="0" w:type="dxa"/>
            <w:vAlign w:val="bottom"/>
          </w:tcPr>
          <w:p>
            <w:pPr>
              <w:spacing w:after="0"/>
              <w:rPr>
                <w:sz w:val="1"/>
                <w:szCs w:val="1"/>
                <w:color w:val="auto"/>
              </w:rPr>
            </w:pPr>
          </w:p>
        </w:tc>
      </w:tr>
      <w:tr>
        <w:trPr>
          <w:trHeight w:val="280"/>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Cadillac</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Other</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Asia/Pacific, Middle East and Africa(a)(b)</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968</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1,131</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3,059</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3,216</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South America(a)(c)</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174</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180</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506</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488</w:t>
            </w: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in GM markets</w:t>
            </w:r>
          </w:p>
        </w:tc>
        <w:tc>
          <w:tcPr>
            <w:tcW w:w="16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1,976</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2,236</w:t>
            </w:r>
          </w:p>
        </w:tc>
        <w:tc>
          <w:tcPr>
            <w:tcW w:w="12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6,138</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6,323</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Europe</w:t>
            </w:r>
          </w:p>
        </w:tc>
        <w:tc>
          <w:tcPr>
            <w:tcW w:w="16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6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684</w:t>
            </w:r>
          </w:p>
        </w:tc>
        <w:tc>
          <w:tcPr>
            <w:tcW w:w="0" w:type="dxa"/>
            <w:vAlign w:val="bottom"/>
          </w:tcPr>
          <w:p>
            <w:pPr>
              <w:spacing w:after="0"/>
              <w:rPr>
                <w:sz w:val="1"/>
                <w:szCs w:val="1"/>
                <w:color w:val="auto"/>
              </w:rPr>
            </w:pPr>
          </w:p>
        </w:tc>
      </w:tr>
      <w:tr>
        <w:trPr>
          <w:trHeight w:val="24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Worldwide</w:t>
            </w:r>
          </w:p>
        </w:tc>
        <w:tc>
          <w:tcPr>
            <w:tcW w:w="16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1,977</w:t>
            </w:r>
          </w:p>
        </w:tc>
        <w:tc>
          <w:tcPr>
            <w:tcW w:w="12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2,319</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6,141</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7,007</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4"/>
                <w:szCs w:val="14"/>
                <w:color w:val="auto"/>
              </w:rPr>
              <w:t>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70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Sales of Opel/Vauxhall outside of Europe were insignificant in the three and nine months ended September 30, 2018 and 2017.</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Includes Industry and GM sales in India and South Africa. As of December 31, 2017 we have ceased sales of Chevrolet for the domestic markets in India and South Africa.</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Primarily Chevrolet.</w:t>
      </w:r>
    </w:p>
    <w:p>
      <w:pPr>
        <w:spacing w:after="0" w:line="241"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54"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Supplemental Material</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0" w:lineRule="exact"/>
        <w:rPr>
          <w:sz w:val="20"/>
          <w:szCs w:val="20"/>
          <w:color w:val="auto"/>
        </w:rPr>
      </w:pPr>
    </w:p>
    <w:p>
      <w:pPr>
        <w:spacing w:after="0" w:line="264" w:lineRule="exact"/>
        <w:rPr>
          <w:sz w:val="20"/>
          <w:szCs w:val="20"/>
          <w:color w:val="auto"/>
        </w:rPr>
      </w:pPr>
    </w:p>
    <w:p>
      <w:pPr>
        <w:ind w:right="20" w:firstLine="162"/>
        <w:spacing w:after="0" w:line="260" w:lineRule="auto"/>
        <w:rPr>
          <w:sz w:val="20"/>
          <w:szCs w:val="20"/>
          <w:color w:val="auto"/>
        </w:rPr>
      </w:pPr>
      <w:r>
        <w:rPr>
          <w:rFonts w:ascii="Arial" w:cs="Arial" w:eastAsia="Arial" w:hAnsi="Arial"/>
          <w:sz w:val="16"/>
          <w:szCs w:val="16"/>
          <w:color w:val="auto"/>
        </w:rPr>
        <w:t>The vehicle sales at GM's China joint ventures presented in the following table are included in GM's retail vehicle sales on the preceding page (vehicles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80" w:type="dxa"/>
            <w:vAlign w:val="bottom"/>
            <w:tcBorders>
              <w:bottom w:val="single" w:sz="8" w:color="auto"/>
            </w:tcBorders>
            <w:gridSpan w:val="7"/>
          </w:tcPr>
          <w:p>
            <w:pPr>
              <w:ind w:left="8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5"/>
                <w:szCs w:val="15"/>
                <w:color w:val="auto"/>
              </w:rPr>
            </w:pPr>
          </w:p>
        </w:tc>
        <w:tc>
          <w:tcPr>
            <w:tcW w:w="2800" w:type="dxa"/>
            <w:vAlign w:val="bottom"/>
            <w:tcBorders>
              <w:bottom w:val="single" w:sz="8" w:color="auto"/>
            </w:tcBorders>
            <w:gridSpan w:val="5"/>
          </w:tcPr>
          <w:p>
            <w:pPr>
              <w:jc w:val="right"/>
              <w:ind w:right="721"/>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546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September 30, 2018</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September 30, 2017</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September 30, 2018</w:t>
            </w:r>
          </w:p>
        </w:tc>
        <w:tc>
          <w:tcPr>
            <w:tcW w:w="100" w:type="dxa"/>
            <w:vAlign w:val="bottom"/>
            <w:tcBorders>
              <w:bottom w:val="single" w:sz="8" w:color="CCEEFF"/>
            </w:tcBorders>
            <w:gridSpan w:val="2"/>
          </w:tcPr>
          <w:p>
            <w:pPr>
              <w:spacing w:after="0"/>
              <w:rPr>
                <w:sz w:val="22"/>
                <w:szCs w:val="22"/>
                <w:color w:val="auto"/>
              </w:rPr>
            </w:pPr>
          </w:p>
        </w:tc>
        <w:tc>
          <w:tcPr>
            <w:tcW w:w="1360" w:type="dxa"/>
            <w:vAlign w:val="bottom"/>
            <w:tcBorders>
              <w:bottom w:val="single" w:sz="8" w:color="auto"/>
            </w:tcBorders>
          </w:tcPr>
          <w:p>
            <w:pPr>
              <w:jc w:val="right"/>
              <w:ind w:right="1"/>
              <w:spacing w:after="0"/>
              <w:rPr>
                <w:sz w:val="20"/>
                <w:szCs w:val="20"/>
                <w:color w:val="auto"/>
              </w:rPr>
            </w:pPr>
            <w:r>
              <w:rPr>
                <w:rFonts w:ascii="Arial" w:cs="Arial" w:eastAsia="Arial" w:hAnsi="Arial"/>
                <w:sz w:val="13"/>
                <w:szCs w:val="13"/>
                <w:b w:val="1"/>
                <w:bCs w:val="1"/>
                <w:color w:val="auto"/>
              </w:rPr>
              <w:t>September 30, 2017</w:t>
            </w:r>
          </w:p>
        </w:tc>
      </w:tr>
      <w:tr>
        <w:trPr>
          <w:trHeight w:val="243"/>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SAIC General Motors Sales Co., Ltd.</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416</w:t>
            </w:r>
          </w:p>
        </w:tc>
        <w:tc>
          <w:tcPr>
            <w:tcW w:w="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497</w:t>
            </w:r>
          </w:p>
        </w:tc>
        <w:tc>
          <w:tcPr>
            <w:tcW w:w="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1,307</w:t>
            </w:r>
          </w:p>
        </w:tc>
      </w:tr>
      <w:tr>
        <w:trPr>
          <w:trHeight w:val="218"/>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SAIC GM Wuling Automobile Co., Ltd. and FAW-GM Light Duty Commercial</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95"/>
        </w:trPr>
        <w:tc>
          <w:tcPr>
            <w:tcW w:w="5520" w:type="dxa"/>
            <w:vAlign w:val="bottom"/>
            <w:gridSpan w:val="2"/>
          </w:tcPr>
          <w:p>
            <w:pPr>
              <w:ind w:left="200"/>
              <w:spacing w:after="0"/>
              <w:rPr>
                <w:sz w:val="20"/>
                <w:szCs w:val="20"/>
                <w:color w:val="auto"/>
              </w:rPr>
            </w:pPr>
            <w:r>
              <w:rPr>
                <w:rFonts w:ascii="Arial" w:cs="Arial" w:eastAsia="Arial" w:hAnsi="Arial"/>
                <w:sz w:val="16"/>
                <w:szCs w:val="16"/>
                <w:color w:val="auto"/>
              </w:rPr>
              <w:t>Vehicle Co., Ltd.</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420</w:t>
            </w:r>
          </w:p>
        </w:tc>
        <w:tc>
          <w:tcPr>
            <w:tcW w:w="40" w:type="dxa"/>
            <w:vAlign w:val="bottom"/>
          </w:tcPr>
          <w:p>
            <w:pPr>
              <w:spacing w:after="0"/>
              <w:rPr>
                <w:sz w:val="16"/>
                <w:szCs w:val="16"/>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6"/>
                <w:szCs w:val="16"/>
                <w:color w:val="auto"/>
              </w:rPr>
              <w:t>485</w:t>
            </w:r>
          </w:p>
        </w:tc>
        <w:tc>
          <w:tcPr>
            <w:tcW w:w="2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1,396</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color w:val="auto"/>
              </w:rPr>
              <w:t>1,441</w:t>
            </w:r>
          </w:p>
        </w:tc>
      </w:tr>
      <w:tr>
        <w:trPr>
          <w:trHeight w:val="634"/>
        </w:trPr>
        <w:tc>
          <w:tcPr>
            <w:tcW w:w="54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jc w:val="right"/>
              <w:ind w:right="757"/>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right"/>
              <w:ind w:right="801"/>
              <w:spacing w:after="0"/>
              <w:rPr>
                <w:sz w:val="20"/>
                <w:szCs w:val="20"/>
                <w:color w:val="auto"/>
              </w:rPr>
            </w:pPr>
            <w:r>
              <w:rPr>
                <w:rFonts w:ascii="Arial" w:cs="Arial" w:eastAsia="Arial" w:hAnsi="Arial"/>
                <w:sz w:val="13"/>
                <w:szCs w:val="13"/>
                <w:b w:val="1"/>
                <w:bCs w:val="1"/>
                <w:color w:val="auto"/>
              </w:rPr>
              <w:t>Nine Months Ended</w:t>
            </w:r>
          </w:p>
        </w:tc>
      </w:tr>
      <w:tr>
        <w:trPr>
          <w:trHeight w:val="264"/>
        </w:trPr>
        <w:tc>
          <w:tcPr>
            <w:tcW w:w="54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3"/>
                <w:szCs w:val="13"/>
                <w:b w:val="1"/>
                <w:bCs w:val="1"/>
                <w:color w:val="auto"/>
                <w:w w:val="98"/>
              </w:rPr>
              <w:t>September 30, 2018</w:t>
            </w:r>
          </w:p>
        </w:tc>
        <w:tc>
          <w:tcPr>
            <w:tcW w:w="10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3"/>
                <w:szCs w:val="13"/>
                <w:b w:val="1"/>
                <w:bCs w:val="1"/>
                <w:color w:val="auto"/>
              </w:rPr>
              <w:t>September 30, 2017</w:t>
            </w:r>
          </w:p>
        </w:tc>
        <w:tc>
          <w:tcPr>
            <w:tcW w:w="12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3"/>
                <w:szCs w:val="13"/>
                <w:b w:val="1"/>
                <w:bCs w:val="1"/>
                <w:color w:val="auto"/>
              </w:rPr>
              <w:t>September 30, 2018</w:t>
            </w:r>
          </w:p>
        </w:tc>
        <w:tc>
          <w:tcPr>
            <w:tcW w:w="100" w:type="dxa"/>
            <w:vAlign w:val="bottom"/>
            <w:gridSpan w:val="2"/>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13"/>
                <w:szCs w:val="13"/>
                <w:b w:val="1"/>
                <w:bCs w:val="1"/>
                <w:color w:val="auto"/>
              </w:rPr>
              <w:t>September 30, 2017</w:t>
            </w:r>
          </w:p>
        </w:tc>
      </w:tr>
      <w:tr>
        <w:trPr>
          <w:trHeight w:val="260"/>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Market Share</w:t>
            </w: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United States – Cars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r>
      <w:tr>
        <w:trPr>
          <w:trHeight w:val="260"/>
        </w:trPr>
        <w:tc>
          <w:tcPr>
            <w:tcW w:w="5520" w:type="dxa"/>
            <w:vAlign w:val="bottom"/>
            <w:gridSpan w:val="2"/>
          </w:tcPr>
          <w:p>
            <w:pPr>
              <w:ind w:left="200"/>
              <w:spacing w:after="0"/>
              <w:rPr>
                <w:sz w:val="20"/>
                <w:szCs w:val="20"/>
                <w:color w:val="auto"/>
              </w:rPr>
            </w:pPr>
            <w:r>
              <w:rPr>
                <w:rFonts w:ascii="Arial" w:cs="Arial" w:eastAsia="Arial" w:hAnsi="Arial"/>
                <w:sz w:val="16"/>
                <w:szCs w:val="16"/>
                <w:color w:val="auto"/>
              </w:rPr>
              <w:t>United States – Trucks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25.1%</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25.6%</w:t>
            </w:r>
          </w:p>
        </w:tc>
      </w:tr>
      <w:tr>
        <w:trPr>
          <w:trHeight w:val="280"/>
        </w:trPr>
        <w:tc>
          <w:tcPr>
            <w:tcW w:w="5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United States – Crossovers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r>
      <w:tr>
        <w:trPr>
          <w:trHeight w:val="233"/>
        </w:trPr>
        <w:tc>
          <w:tcPr>
            <w:tcW w:w="5520" w:type="dxa"/>
            <w:vAlign w:val="bottom"/>
            <w:gridSpan w:val="2"/>
          </w:tcPr>
          <w:p>
            <w:pPr>
              <w:ind w:left="200"/>
              <w:spacing w:after="0"/>
              <w:rPr>
                <w:sz w:val="20"/>
                <w:szCs w:val="20"/>
                <w:color w:val="auto"/>
              </w:rPr>
            </w:pPr>
            <w:r>
              <w:rPr>
                <w:rFonts w:ascii="Arial" w:cs="Arial" w:eastAsia="Arial" w:hAnsi="Arial"/>
                <w:sz w:val="16"/>
                <w:szCs w:val="16"/>
                <w:color w:val="auto"/>
              </w:rPr>
              <w:t>Total United States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15.8%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17.3%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16.4%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16.7%</w:t>
            </w:r>
          </w:p>
        </w:tc>
      </w:tr>
      <w:tr>
        <w:trPr>
          <w:trHeight w:val="253"/>
        </w:trPr>
        <w:tc>
          <w:tcPr>
            <w:tcW w:w="5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North America</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r>
      <w:tr>
        <w:trPr>
          <w:trHeight w:val="233"/>
        </w:trPr>
        <w:tc>
          <w:tcPr>
            <w:tcW w:w="5520" w:type="dxa"/>
            <w:vAlign w:val="bottom"/>
            <w:gridSpan w:val="2"/>
          </w:tcPr>
          <w:p>
            <w:pPr>
              <w:ind w:left="200"/>
              <w:spacing w:after="0"/>
              <w:rPr>
                <w:sz w:val="20"/>
                <w:szCs w:val="20"/>
                <w:color w:val="auto"/>
              </w:rPr>
            </w:pPr>
            <w:r>
              <w:rPr>
                <w:rFonts w:ascii="Arial" w:cs="Arial" w:eastAsia="Arial" w:hAnsi="Arial"/>
                <w:sz w:val="16"/>
                <w:szCs w:val="16"/>
                <w:color w:val="auto"/>
              </w:rPr>
              <w:t>Total Asia/Pacific, Middle East and Africa</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253"/>
        </w:trPr>
        <w:tc>
          <w:tcPr>
            <w:tcW w:w="5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South America</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33"/>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Total GM Market</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11.1%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11.6%</w:t>
            </w:r>
          </w:p>
        </w:tc>
      </w:tr>
      <w:tr>
        <w:trPr>
          <w:trHeight w:val="253"/>
        </w:trPr>
        <w:tc>
          <w:tcPr>
            <w:tcW w:w="552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Total Europe</w:t>
            </w:r>
          </w:p>
        </w:tc>
        <w:tc>
          <w:tcPr>
            <w:tcW w:w="10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gridSpan w:val="4"/>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33"/>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Total Worldwide</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8.7%</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172"/>
        </w:trPr>
        <w:tc>
          <w:tcPr>
            <w:tcW w:w="5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60"/>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United States fleet sales as a percentage of retail vehicle sales</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20.5%</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21.9%</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19.0%</w:t>
            </w:r>
          </w:p>
        </w:tc>
      </w:tr>
      <w:tr>
        <w:trPr>
          <w:trHeight w:val="172"/>
        </w:trPr>
        <w:tc>
          <w:tcPr>
            <w:tcW w:w="54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251"/>
        </w:trPr>
        <w:tc>
          <w:tcPr>
            <w:tcW w:w="5520" w:type="dxa"/>
            <w:vAlign w:val="bottom"/>
            <w:gridSpan w:val="2"/>
          </w:tcPr>
          <w:p>
            <w:pPr>
              <w:ind w:left="40"/>
              <w:spacing w:after="0"/>
              <w:rPr>
                <w:sz w:val="20"/>
                <w:szCs w:val="20"/>
                <w:color w:val="auto"/>
              </w:rPr>
            </w:pPr>
            <w:r>
              <w:rPr>
                <w:rFonts w:ascii="Arial" w:cs="Arial" w:eastAsia="Arial" w:hAnsi="Arial"/>
                <w:sz w:val="16"/>
                <w:szCs w:val="16"/>
                <w:color w:val="auto"/>
              </w:rPr>
              <w:t>North America capacity two shift utilization</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92.9%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color w:val="auto"/>
              </w:rPr>
              <w:t>86.2%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98.2%</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64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54"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Combining Income Statement Information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40" w:type="dxa"/>
            <w:vAlign w:val="bottom"/>
            <w:gridSpan w:val="8"/>
          </w:tcPr>
          <w:p>
            <w:pPr>
              <w:ind w:left="60"/>
              <w:spacing w:after="0"/>
              <w:rPr>
                <w:sz w:val="20"/>
                <w:szCs w:val="20"/>
                <w:color w:val="auto"/>
              </w:rPr>
            </w:pPr>
            <w:r>
              <w:rPr>
                <w:rFonts w:ascii="Arial" w:cs="Arial" w:eastAsia="Arial" w:hAnsi="Arial"/>
                <w:sz w:val="11"/>
                <w:szCs w:val="11"/>
                <w:b w:val="1"/>
                <w:bCs w:val="1"/>
                <w:color w:val="auto"/>
              </w:rPr>
              <w:t>Three Months Ended September 30, 2018</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gridSpan w:val="8"/>
          </w:tcPr>
          <w:p>
            <w:pPr>
              <w:ind w:left="40"/>
              <w:spacing w:after="0"/>
              <w:rPr>
                <w:sz w:val="20"/>
                <w:szCs w:val="20"/>
                <w:color w:val="auto"/>
              </w:rPr>
            </w:pPr>
            <w:r>
              <w:rPr>
                <w:rFonts w:ascii="Arial" w:cs="Arial" w:eastAsia="Arial" w:hAnsi="Arial"/>
                <w:sz w:val="11"/>
                <w:szCs w:val="11"/>
                <w:b w:val="1"/>
                <w:bCs w:val="1"/>
                <w:color w:val="auto"/>
              </w:rPr>
              <w:t>Three Months Ended September 30, 2017</w:t>
            </w: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820" w:type="dxa"/>
            <w:vAlign w:val="bottom"/>
            <w:tcBorders>
              <w:bottom w:val="single" w:sz="8" w:color="auto"/>
            </w:tcBorders>
            <w:gridSpan w:val="3"/>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760" w:type="dxa"/>
            <w:vAlign w:val="bottom"/>
            <w:tcBorders>
              <w:bottom w:val="single" w:sz="8" w:color="auto"/>
            </w:tcBorders>
            <w:gridSpan w:val="3"/>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2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Automotive</w:t>
            </w: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GM Cruise</w:t>
            </w:r>
          </w:p>
        </w:tc>
        <w:tc>
          <w:tcPr>
            <w:tcW w:w="940" w:type="dxa"/>
            <w:vAlign w:val="bottom"/>
            <w:gridSpan w:val="3"/>
          </w:tcPr>
          <w:p>
            <w:pPr>
              <w:ind w:left="8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Combined</w:t>
            </w:r>
          </w:p>
        </w:tc>
        <w:tc>
          <w:tcPr>
            <w:tcW w:w="120" w:type="dxa"/>
            <w:vAlign w:val="bottom"/>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Automotive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GM Cruise</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GM Financial</w:t>
            </w:r>
          </w:p>
        </w:tc>
        <w:tc>
          <w:tcPr>
            <w:tcW w:w="120" w:type="dxa"/>
            <w:vAlign w:val="bottom"/>
          </w:tcPr>
          <w:p>
            <w:pPr>
              <w:spacing w:after="0"/>
              <w:rPr>
                <w:sz w:val="21"/>
                <w:szCs w:val="21"/>
                <w:color w:val="auto"/>
              </w:rPr>
            </w:pP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Eliminations</w:t>
            </w:r>
          </w:p>
        </w:tc>
        <w:tc>
          <w:tcPr>
            <w:tcW w:w="120" w:type="dxa"/>
            <w:vAlign w:val="bottom"/>
          </w:tcPr>
          <w:p>
            <w:pPr>
              <w:spacing w:after="0"/>
              <w:rPr>
                <w:sz w:val="21"/>
                <w:szCs w:val="21"/>
                <w:color w:val="auto"/>
              </w:rPr>
            </w:pPr>
          </w:p>
        </w:tc>
        <w:tc>
          <w:tcPr>
            <w:tcW w:w="660" w:type="dxa"/>
            <w:vAlign w:val="bottom"/>
          </w:tcPr>
          <w:p>
            <w:pPr>
              <w:jc w:val="right"/>
              <w:ind w:right="49"/>
              <w:spacing w:after="0"/>
              <w:rPr>
                <w:sz w:val="20"/>
                <w:szCs w:val="20"/>
                <w:color w:val="auto"/>
              </w:rPr>
            </w:pPr>
            <w:r>
              <w:rPr>
                <w:rFonts w:ascii="Arial" w:cs="Arial" w:eastAsia="Arial" w:hAnsi="Arial"/>
                <w:sz w:val="11"/>
                <w:szCs w:val="11"/>
                <w:b w:val="1"/>
                <w:bCs w:val="1"/>
                <w:color w:val="auto"/>
                <w:w w:val="96"/>
              </w:rPr>
              <w:t>Combined</w:t>
            </w:r>
          </w:p>
        </w:tc>
        <w:tc>
          <w:tcPr>
            <w:tcW w:w="0" w:type="dxa"/>
            <w:vAlign w:val="bottom"/>
          </w:tcPr>
          <w:p>
            <w:pPr>
              <w:spacing w:after="0"/>
              <w:rPr>
                <w:sz w:val="1"/>
                <w:szCs w:val="1"/>
                <w:color w:val="auto"/>
              </w:rPr>
            </w:pPr>
          </w:p>
        </w:tc>
      </w:tr>
      <w:tr>
        <w:trPr>
          <w:trHeight w:val="22"/>
        </w:trPr>
        <w:tc>
          <w:tcPr>
            <w:tcW w:w="218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Net sales and revenue</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21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Automotive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32,288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32,276</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30,475</w:t>
            </w:r>
          </w:p>
        </w:tc>
        <w:tc>
          <w:tcPr>
            <w:tcW w:w="12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30,466</w:t>
            </w:r>
          </w:p>
        </w:tc>
        <w:tc>
          <w:tcPr>
            <w:tcW w:w="0" w:type="dxa"/>
            <w:vAlign w:val="bottom"/>
          </w:tcPr>
          <w:p>
            <w:pPr>
              <w:spacing w:after="0"/>
              <w:rPr>
                <w:sz w:val="1"/>
                <w:szCs w:val="1"/>
                <w:color w:val="auto"/>
              </w:rPr>
            </w:pPr>
          </w:p>
        </w:tc>
      </w:tr>
      <w:tr>
        <w:trPr>
          <w:trHeight w:val="97"/>
        </w:trPr>
        <w:tc>
          <w:tcPr>
            <w:tcW w:w="218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680" w:type="dxa"/>
            <w:vAlign w:val="bottom"/>
            <w:gridSpan w:val="2"/>
            <w:vMerge w:val="continue"/>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180" w:type="dxa"/>
            <w:vAlign w:val="bottom"/>
          </w:tcPr>
          <w:p>
            <w:pPr>
              <w:ind w:left="180"/>
              <w:spacing w:after="0"/>
              <w:rPr>
                <w:sz w:val="20"/>
                <w:szCs w:val="20"/>
                <w:color w:val="auto"/>
              </w:rPr>
            </w:pPr>
            <w:r>
              <w:rPr>
                <w:rFonts w:ascii="Arial" w:cs="Arial" w:eastAsia="Arial" w:hAnsi="Arial"/>
                <w:sz w:val="13"/>
                <w:szCs w:val="13"/>
                <w:color w:val="auto"/>
              </w:rPr>
              <w:t>GM Financial</w:t>
            </w:r>
          </w:p>
        </w:tc>
        <w:tc>
          <w:tcPr>
            <w:tcW w:w="140" w:type="dxa"/>
            <w:vAlign w:val="bottom"/>
          </w:tcPr>
          <w:p>
            <w:pPr>
              <w:spacing w:after="0"/>
              <w:rPr>
                <w:sz w:val="15"/>
                <w:szCs w:val="15"/>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3,518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3,515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3,161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3,157</w:t>
            </w:r>
          </w:p>
        </w:tc>
        <w:tc>
          <w:tcPr>
            <w:tcW w:w="0" w:type="dxa"/>
            <w:vAlign w:val="bottom"/>
          </w:tcPr>
          <w:p>
            <w:pPr>
              <w:spacing w:after="0"/>
              <w:rPr>
                <w:sz w:val="1"/>
                <w:szCs w:val="1"/>
                <w:color w:val="auto"/>
              </w:rPr>
            </w:pPr>
          </w:p>
        </w:tc>
      </w:tr>
      <w:tr>
        <w:trPr>
          <w:trHeight w:val="91"/>
        </w:trPr>
        <w:tc>
          <w:tcPr>
            <w:tcW w:w="21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net sales and revenue</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32,288</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3,518</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35,791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30,475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3,161</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33,623</w:t>
            </w:r>
          </w:p>
        </w:tc>
        <w:tc>
          <w:tcPr>
            <w:tcW w:w="0" w:type="dxa"/>
            <w:vAlign w:val="bottom"/>
          </w:tcPr>
          <w:p>
            <w:pPr>
              <w:spacing w:after="0"/>
              <w:rPr>
                <w:sz w:val="1"/>
                <w:szCs w:val="1"/>
                <w:color w:val="auto"/>
              </w:rPr>
            </w:pPr>
          </w:p>
        </w:tc>
      </w:tr>
      <w:tr>
        <w:trPr>
          <w:trHeight w:val="97"/>
        </w:trPr>
        <w:tc>
          <w:tcPr>
            <w:tcW w:w="2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20" w:type="dxa"/>
            <w:vAlign w:val="bottom"/>
            <w:gridSpan w:val="2"/>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180" w:type="dxa"/>
            <w:vAlign w:val="bottom"/>
          </w:tcPr>
          <w:p>
            <w:pPr>
              <w:ind w:left="40"/>
              <w:spacing w:after="0"/>
              <w:rPr>
                <w:sz w:val="20"/>
                <w:szCs w:val="20"/>
                <w:color w:val="auto"/>
              </w:rPr>
            </w:pPr>
            <w:r>
              <w:rPr>
                <w:rFonts w:ascii="Arial" w:cs="Arial" w:eastAsia="Arial" w:hAnsi="Arial"/>
                <w:sz w:val="13"/>
                <w:szCs w:val="13"/>
                <w:b w:val="1"/>
                <w:bCs w:val="1"/>
                <w:color w:val="auto"/>
              </w:rPr>
              <w:t>Costs and expenses</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1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Automotive and other cost of sales</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28,337</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28,533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26,704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26,852</w:t>
            </w:r>
          </w:p>
        </w:tc>
        <w:tc>
          <w:tcPr>
            <w:tcW w:w="0" w:type="dxa"/>
            <w:vAlign w:val="bottom"/>
          </w:tcPr>
          <w:p>
            <w:pPr>
              <w:spacing w:after="0"/>
              <w:rPr>
                <w:sz w:val="1"/>
                <w:szCs w:val="1"/>
                <w:color w:val="auto"/>
              </w:rPr>
            </w:pPr>
          </w:p>
        </w:tc>
      </w:tr>
      <w:tr>
        <w:trPr>
          <w:trHeight w:val="97"/>
        </w:trPr>
        <w:tc>
          <w:tcPr>
            <w:tcW w:w="2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2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6"/>
        </w:trPr>
        <w:tc>
          <w:tcPr>
            <w:tcW w:w="2180" w:type="dxa"/>
            <w:vAlign w:val="bottom"/>
          </w:tcPr>
          <w:p>
            <w:pPr>
              <w:ind w:left="180"/>
              <w:spacing w:after="0"/>
              <w:rPr>
                <w:sz w:val="20"/>
                <w:szCs w:val="20"/>
                <w:color w:val="auto"/>
              </w:rPr>
            </w:pPr>
            <w:r>
              <w:rPr>
                <w:rFonts w:ascii="Arial" w:cs="Arial" w:eastAsia="Arial" w:hAnsi="Arial"/>
                <w:sz w:val="13"/>
                <w:szCs w:val="13"/>
                <w:color w:val="auto"/>
              </w:rPr>
              <w:t>GM Financial interest, operating</w:t>
            </w: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3,064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3,064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2,892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2,892</w:t>
            </w:r>
          </w:p>
        </w:tc>
        <w:tc>
          <w:tcPr>
            <w:tcW w:w="0" w:type="dxa"/>
            <w:vAlign w:val="bottom"/>
          </w:tcPr>
          <w:p>
            <w:pPr>
              <w:spacing w:after="0"/>
              <w:rPr>
                <w:sz w:val="1"/>
                <w:szCs w:val="1"/>
                <w:color w:val="auto"/>
              </w:rPr>
            </w:pPr>
          </w:p>
        </w:tc>
      </w:tr>
      <w:tr>
        <w:trPr>
          <w:trHeight w:val="162"/>
        </w:trPr>
        <w:tc>
          <w:tcPr>
            <w:tcW w:w="2180" w:type="dxa"/>
            <w:vAlign w:val="bottom"/>
          </w:tcPr>
          <w:p>
            <w:pPr>
              <w:ind w:left="340"/>
              <w:spacing w:after="0"/>
              <w:rPr>
                <w:sz w:val="20"/>
                <w:szCs w:val="20"/>
                <w:color w:val="auto"/>
              </w:rPr>
            </w:pPr>
            <w:r>
              <w:rPr>
                <w:rFonts w:ascii="Arial" w:cs="Arial" w:eastAsia="Arial" w:hAnsi="Arial"/>
                <w:sz w:val="13"/>
                <w:szCs w:val="13"/>
                <w:color w:val="auto"/>
              </w:rPr>
              <w:t>and other expenses</w:t>
            </w: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Automotive and other selling,</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18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general and administrative</w:t>
            </w:r>
          </w:p>
        </w:tc>
        <w:tc>
          <w:tcPr>
            <w:tcW w:w="14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2,579</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2,584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2,297</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2,303</w:t>
            </w:r>
          </w:p>
        </w:tc>
        <w:tc>
          <w:tcPr>
            <w:tcW w:w="0" w:type="dxa"/>
            <w:vAlign w:val="bottom"/>
          </w:tcPr>
          <w:p>
            <w:pPr>
              <w:spacing w:after="0"/>
              <w:rPr>
                <w:sz w:val="1"/>
                <w:szCs w:val="1"/>
                <w:color w:val="auto"/>
              </w:rPr>
            </w:pPr>
          </w:p>
        </w:tc>
      </w:tr>
      <w:tr>
        <w:trPr>
          <w:trHeight w:val="168"/>
        </w:trPr>
        <w:tc>
          <w:tcPr>
            <w:tcW w:w="21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expense</w:t>
            </w: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80" w:type="dxa"/>
            <w:vAlign w:val="bottom"/>
          </w:tcPr>
          <w:p>
            <w:pPr>
              <w:ind w:left="180"/>
              <w:spacing w:after="0"/>
              <w:rPr>
                <w:sz w:val="20"/>
                <w:szCs w:val="20"/>
                <w:color w:val="auto"/>
              </w:rPr>
            </w:pPr>
            <w:r>
              <w:rPr>
                <w:rFonts w:ascii="Arial" w:cs="Arial" w:eastAsia="Arial" w:hAnsi="Arial"/>
                <w:sz w:val="13"/>
                <w:szCs w:val="13"/>
                <w:color w:val="auto"/>
              </w:rPr>
              <w:t>Total costs and expenses</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30,916</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vMerge w:val="restart"/>
          </w:tcPr>
          <w:p>
            <w:pPr>
              <w:jc w:val="right"/>
              <w:ind w:right="49"/>
              <w:spacing w:after="0"/>
              <w:rPr>
                <w:sz w:val="20"/>
                <w:szCs w:val="20"/>
                <w:color w:val="auto"/>
              </w:rPr>
            </w:pPr>
            <w:r>
              <w:rPr>
                <w:rFonts w:ascii="Arial" w:cs="Arial" w:eastAsia="Arial" w:hAnsi="Arial"/>
                <w:sz w:val="14"/>
                <w:szCs w:val="14"/>
                <w:color w:val="auto"/>
              </w:rPr>
              <w:t>214</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3,064</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vMerge w:val="restart"/>
          </w:tcPr>
          <w:p>
            <w:pPr>
              <w:jc w:val="right"/>
              <w:ind w:right="9"/>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34,181</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29,001</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vMerge w:val="restart"/>
          </w:tcPr>
          <w:p>
            <w:pPr>
              <w:jc w:val="right"/>
              <w:ind w:right="28"/>
              <w:spacing w:after="0"/>
              <w:rPr>
                <w:sz w:val="20"/>
                <w:szCs w:val="20"/>
                <w:color w:val="auto"/>
              </w:rPr>
            </w:pPr>
            <w:r>
              <w:rPr>
                <w:rFonts w:ascii="Arial" w:cs="Arial" w:eastAsia="Arial" w:hAnsi="Arial"/>
                <w:sz w:val="14"/>
                <w:szCs w:val="14"/>
                <w:color w:val="auto"/>
              </w:rPr>
              <w:t>2,892</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29"/>
              <w:spacing w:after="0"/>
              <w:rPr>
                <w:sz w:val="20"/>
                <w:szCs w:val="20"/>
                <w:color w:val="auto"/>
              </w:rPr>
            </w:pPr>
            <w:r>
              <w:rPr>
                <w:rFonts w:ascii="Arial" w:cs="Arial" w:eastAsia="Arial" w:hAnsi="Arial"/>
                <w:sz w:val="14"/>
                <w:szCs w:val="14"/>
                <w:color w:val="auto"/>
              </w:rPr>
              <w:t>32,047</w:t>
            </w:r>
          </w:p>
        </w:tc>
        <w:tc>
          <w:tcPr>
            <w:tcW w:w="0" w:type="dxa"/>
            <w:vAlign w:val="bottom"/>
          </w:tcPr>
          <w:p>
            <w:pPr>
              <w:spacing w:after="0"/>
              <w:rPr>
                <w:sz w:val="1"/>
                <w:szCs w:val="1"/>
                <w:color w:val="auto"/>
              </w:rPr>
            </w:pPr>
          </w:p>
        </w:tc>
      </w:tr>
      <w:tr>
        <w:trPr>
          <w:trHeight w:val="91"/>
        </w:trPr>
        <w:tc>
          <w:tcPr>
            <w:tcW w:w="21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Operating income (loss)</w:t>
            </w: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1,372</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454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1,610</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1,474</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269</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1,576</w:t>
            </w:r>
          </w:p>
        </w:tc>
        <w:tc>
          <w:tcPr>
            <w:tcW w:w="0" w:type="dxa"/>
            <w:vAlign w:val="bottom"/>
          </w:tcPr>
          <w:p>
            <w:pPr>
              <w:spacing w:after="0"/>
              <w:rPr>
                <w:sz w:val="1"/>
                <w:szCs w:val="1"/>
                <w:color w:val="auto"/>
              </w:rPr>
            </w:pPr>
          </w:p>
        </w:tc>
      </w:tr>
      <w:tr>
        <w:trPr>
          <w:trHeight w:val="97"/>
        </w:trPr>
        <w:tc>
          <w:tcPr>
            <w:tcW w:w="21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180" w:type="dxa"/>
            <w:vAlign w:val="bottom"/>
          </w:tcPr>
          <w:p>
            <w:pPr>
              <w:ind w:left="40"/>
              <w:spacing w:after="0"/>
              <w:rPr>
                <w:sz w:val="20"/>
                <w:szCs w:val="20"/>
                <w:color w:val="auto"/>
              </w:rPr>
            </w:pPr>
            <w:r>
              <w:rPr>
                <w:rFonts w:ascii="Arial" w:cs="Arial" w:eastAsia="Arial" w:hAnsi="Arial"/>
                <w:sz w:val="13"/>
                <w:szCs w:val="13"/>
                <w:color w:val="auto"/>
              </w:rPr>
              <w:t>Automotive interest expense</w:t>
            </w:r>
          </w:p>
        </w:tc>
        <w:tc>
          <w:tcPr>
            <w:tcW w:w="140" w:type="dxa"/>
            <w:vAlign w:val="bottom"/>
          </w:tcPr>
          <w:p>
            <w:pPr>
              <w:spacing w:after="0"/>
              <w:rPr>
                <w:sz w:val="15"/>
                <w:szCs w:val="15"/>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0" w:type="dxa"/>
            <w:vAlign w:val="bottom"/>
            <w:vMerge w:val="restart"/>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153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91"/>
        </w:trPr>
        <w:tc>
          <w:tcPr>
            <w:tcW w:w="2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Interest income and other non-</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641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651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68"/>
        </w:trPr>
        <w:tc>
          <w:tcPr>
            <w:tcW w:w="21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operating income, net</w:t>
            </w: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180" w:type="dxa"/>
            <w:vAlign w:val="bottom"/>
          </w:tcPr>
          <w:p>
            <w:pPr>
              <w:ind w:left="40"/>
              <w:spacing w:after="0"/>
              <w:rPr>
                <w:sz w:val="20"/>
                <w:szCs w:val="20"/>
                <w:color w:val="auto"/>
              </w:rPr>
            </w:pPr>
            <w:r>
              <w:rPr>
                <w:rFonts w:ascii="Arial" w:cs="Arial" w:eastAsia="Arial" w:hAnsi="Arial"/>
                <w:sz w:val="13"/>
                <w:szCs w:val="13"/>
                <w:color w:val="auto"/>
              </w:rPr>
              <w:t>Equity income</w:t>
            </w:r>
          </w:p>
        </w:tc>
        <w:tc>
          <w:tcPr>
            <w:tcW w:w="140" w:type="dxa"/>
            <w:vAlign w:val="bottom"/>
          </w:tcPr>
          <w:p>
            <w:pPr>
              <w:spacing w:after="0"/>
              <w:rPr>
                <w:sz w:val="15"/>
                <w:szCs w:val="15"/>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530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vMerge w:val="restart"/>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91"/>
        </w:trPr>
        <w:tc>
          <w:tcPr>
            <w:tcW w:w="218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20" w:type="dxa"/>
            <w:vAlign w:val="bottom"/>
            <w:tcBorders>
              <w:bottom w:val="single" w:sz="8" w:color="CCEEFF"/>
            </w:tcBorders>
            <w:vMerge w:val="continue"/>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18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Income (loss) before income taxes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2,337</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54"/>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2,630</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2,285</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(165)</w:t>
            </w:r>
          </w:p>
        </w:tc>
        <w:tc>
          <w:tcPr>
            <w:tcW w:w="10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2,430</w:t>
            </w:r>
          </w:p>
        </w:tc>
        <w:tc>
          <w:tcPr>
            <w:tcW w:w="0" w:type="dxa"/>
            <w:vAlign w:val="bottom"/>
          </w:tcPr>
          <w:p>
            <w:pPr>
              <w:spacing w:after="0"/>
              <w:rPr>
                <w:sz w:val="1"/>
                <w:szCs w:val="1"/>
                <w:color w:val="auto"/>
              </w:rPr>
            </w:pPr>
          </w:p>
        </w:tc>
      </w:tr>
      <w:tr>
        <w:trPr>
          <w:trHeight w:val="97"/>
        </w:trPr>
        <w:tc>
          <w:tcPr>
            <w:tcW w:w="218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92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5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20" w:type="dxa"/>
            <w:vAlign w:val="bottom"/>
            <w:vMerge w:val="continue"/>
            <w:shd w:val="clear" w:color="auto" w:fill="CCEEFF"/>
          </w:tcPr>
          <w:p>
            <w:pPr>
              <w:spacing w:after="0"/>
              <w:rPr>
                <w:sz w:val="8"/>
                <w:szCs w:val="8"/>
                <w:color w:val="auto"/>
              </w:rPr>
            </w:pPr>
          </w:p>
        </w:tc>
        <w:tc>
          <w:tcPr>
            <w:tcW w:w="56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vMerge w:val="continue"/>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180" w:type="dxa"/>
            <w:vAlign w:val="bottom"/>
          </w:tcPr>
          <w:p>
            <w:pPr>
              <w:ind w:left="40"/>
              <w:spacing w:after="0"/>
              <w:rPr>
                <w:sz w:val="20"/>
                <w:szCs w:val="20"/>
                <w:color w:val="auto"/>
              </w:rPr>
            </w:pPr>
            <w:r>
              <w:rPr>
                <w:rFonts w:ascii="Arial" w:cs="Arial" w:eastAsia="Arial" w:hAnsi="Arial"/>
                <w:sz w:val="13"/>
                <w:szCs w:val="13"/>
                <w:color w:val="auto"/>
              </w:rPr>
              <w:t>Income tax expense</w:t>
            </w: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29"/>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4"/>
                <w:szCs w:val="14"/>
                <w:color w:val="auto"/>
              </w:rPr>
              <w:t>2,316</w:t>
            </w:r>
          </w:p>
        </w:tc>
        <w:tc>
          <w:tcPr>
            <w:tcW w:w="0" w:type="dxa"/>
            <w:vAlign w:val="bottom"/>
          </w:tcPr>
          <w:p>
            <w:pPr>
              <w:spacing w:after="0"/>
              <w:rPr>
                <w:sz w:val="1"/>
                <w:szCs w:val="1"/>
                <w:color w:val="auto"/>
              </w:rPr>
            </w:pPr>
          </w:p>
        </w:tc>
      </w:tr>
      <w:tr>
        <w:trPr>
          <w:trHeight w:val="85"/>
        </w:trPr>
        <w:tc>
          <w:tcPr>
            <w:tcW w:w="2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337" w:right="239" w:bottom="39" w:gutter="0" w:footer="0" w:header="0"/>
        </w:sectPr>
      </w:pPr>
    </w:p>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Income from continuing operations</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3"/>
          <w:szCs w:val="13"/>
          <w:color w:val="auto"/>
        </w:rPr>
        <w:t>Loss from discontinued operations,</w:t>
      </w:r>
    </w:p>
    <w:p>
      <w:pPr>
        <w:ind w:left="200"/>
        <w:spacing w:after="0"/>
        <w:rPr>
          <w:sz w:val="20"/>
          <w:szCs w:val="20"/>
          <w:color w:val="auto"/>
        </w:rPr>
      </w:pPr>
      <w:r>
        <w:rPr>
          <w:rFonts w:ascii="Arial" w:cs="Arial" w:eastAsia="Arial" w:hAnsi="Arial"/>
          <w:sz w:val="13"/>
          <w:szCs w:val="13"/>
          <w:color w:val="auto"/>
        </w:rPr>
        <w:t>net of tax</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(loss)</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2"/>
          <w:szCs w:val="12"/>
          <w:color w:val="auto"/>
        </w:rPr>
        <w:t>Net loss attributable to noncontrolling</w:t>
      </w:r>
    </w:p>
    <w:p>
      <w:pPr>
        <w:ind w:left="40"/>
        <w:spacing w:after="0"/>
        <w:rPr>
          <w:sz w:val="20"/>
          <w:szCs w:val="20"/>
          <w:color w:val="auto"/>
        </w:rPr>
      </w:pPr>
      <w:r>
        <w:rPr>
          <w:rFonts w:ascii="Arial" w:cs="Arial" w:eastAsia="Arial" w:hAnsi="Arial"/>
          <w:sz w:val="13"/>
          <w:szCs w:val="13"/>
          <w:color w:val="auto"/>
        </w:rPr>
        <w:t>interests</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 (loss) attributable to</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stockholders</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800" w:type="dxa"/>
            <w:vAlign w:val="bottom"/>
          </w:tcPr>
          <w:p>
            <w:pPr>
              <w:jc w:val="right"/>
              <w:ind w:right="28"/>
              <w:spacing w:after="0"/>
              <w:rPr>
                <w:sz w:val="20"/>
                <w:szCs w:val="20"/>
                <w:color w:val="auto"/>
              </w:rPr>
            </w:pPr>
            <w:r>
              <w:rPr>
                <w:rFonts w:ascii="Arial" w:cs="Arial" w:eastAsia="Arial" w:hAnsi="Arial"/>
                <w:sz w:val="14"/>
                <w:szCs w:val="14"/>
                <w:color w:val="auto"/>
              </w:rPr>
              <w:t>2,530</w:t>
            </w:r>
          </w:p>
        </w:tc>
        <w:tc>
          <w:tcPr>
            <w:tcW w:w="37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114</w:t>
            </w:r>
          </w:p>
        </w:tc>
      </w:tr>
      <w:tr>
        <w:trPr>
          <w:trHeight w:val="330"/>
        </w:trPr>
        <w:tc>
          <w:tcPr>
            <w:tcW w:w="4580" w:type="dxa"/>
            <w:vAlign w:val="bottom"/>
            <w:gridSpan w:val="2"/>
          </w:tcPr>
          <w:p>
            <w:pPr>
              <w:jc w:val="right"/>
              <w:ind w:right="388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3,096</w:t>
            </w:r>
          </w:p>
        </w:tc>
      </w:tr>
      <w:tr>
        <w:trPr>
          <w:trHeight w:val="244"/>
        </w:trPr>
        <w:tc>
          <w:tcPr>
            <w:tcW w:w="8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2,530</w:t>
            </w:r>
          </w:p>
        </w:tc>
        <w:tc>
          <w:tcPr>
            <w:tcW w:w="378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(2,982)</w:t>
            </w:r>
          </w:p>
        </w:tc>
      </w:tr>
      <w:tr>
        <w:trPr>
          <w:trHeight w:val="330"/>
        </w:trPr>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3780" w:type="dxa"/>
            <w:vAlign w:val="bottom"/>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w:t>
            </w:r>
          </w:p>
        </w:tc>
      </w:tr>
      <w:tr>
        <w:trPr>
          <w:trHeight w:val="291"/>
        </w:trPr>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   2,534</w:t>
            </w:r>
          </w:p>
        </w:tc>
        <w:tc>
          <w:tcPr>
            <w:tcW w:w="37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(2,981)</w:t>
            </w: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-599440</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-222250</wp:posOffset>
            </wp:positionV>
            <wp:extent cx="724662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40" w:space="720"/>
            <w:col w:w="5360"/>
          </w:cols>
          <w:pgMar w:left="240" w:top="337" w:right="239" w:bottom="39" w:gutter="0" w:footer="0" w:header="0"/>
          <w:type w:val="continuous"/>
        </w:sectPr>
      </w:pP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Net income (loss) attributable to</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152"/>
              <w:spacing w:after="0"/>
              <w:rPr>
                <w:sz w:val="20"/>
                <w:szCs w:val="20"/>
                <w:color w:val="auto"/>
              </w:rPr>
            </w:pPr>
            <w:r>
              <w:rPr>
                <w:rFonts w:ascii="Arial" w:cs="Arial" w:eastAsia="Arial" w:hAnsi="Arial"/>
                <w:sz w:val="14"/>
                <w:szCs w:val="14"/>
                <w:color w:val="auto"/>
              </w:rPr>
              <w:t>$</w:t>
            </w:r>
          </w:p>
        </w:tc>
        <w:tc>
          <w:tcPr>
            <w:tcW w:w="1120" w:type="dxa"/>
            <w:vAlign w:val="bottom"/>
            <w:gridSpan w:val="3"/>
            <w:vMerge w:val="restart"/>
            <w:shd w:val="clear" w:color="auto" w:fill="CCEEFF"/>
          </w:tcPr>
          <w:p>
            <w:pPr>
              <w:jc w:val="right"/>
              <w:ind w:right="677"/>
              <w:spacing w:after="0"/>
              <w:rPr>
                <w:sz w:val="20"/>
                <w:szCs w:val="20"/>
                <w:color w:val="auto"/>
              </w:rPr>
            </w:pPr>
            <w:r>
              <w:rPr>
                <w:rFonts w:ascii="Arial" w:cs="Arial" w:eastAsia="Arial" w:hAnsi="Arial"/>
                <w:sz w:val="14"/>
                <w:szCs w:val="14"/>
                <w:color w:val="auto"/>
              </w:rPr>
              <w:t>2,503</w:t>
            </w: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(2,983)</w:t>
            </w:r>
          </w:p>
        </w:tc>
        <w:tc>
          <w:tcPr>
            <w:tcW w:w="0" w:type="dxa"/>
            <w:vAlign w:val="bottom"/>
          </w:tcPr>
          <w:p>
            <w:pPr>
              <w:spacing w:after="0"/>
              <w:rPr>
                <w:sz w:val="1"/>
                <w:szCs w:val="1"/>
                <w:color w:val="auto"/>
              </w:rPr>
            </w:pPr>
          </w:p>
        </w:tc>
      </w:tr>
      <w:tr>
        <w:trPr>
          <w:trHeight w:val="184"/>
        </w:trPr>
        <w:tc>
          <w:tcPr>
            <w:tcW w:w="182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common stockholders</w:t>
            </w: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120" w:type="dxa"/>
            <w:vAlign w:val="bottom"/>
            <w:gridSpan w:val="3"/>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83"/>
        </w:trPr>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8"/>
          </w:tcPr>
          <w:p>
            <w:pPr>
              <w:ind w:left="60"/>
              <w:spacing w:after="0"/>
              <w:rPr>
                <w:sz w:val="20"/>
                <w:szCs w:val="20"/>
                <w:color w:val="auto"/>
              </w:rPr>
            </w:pPr>
            <w:r>
              <w:rPr>
                <w:rFonts w:ascii="Arial" w:cs="Arial" w:eastAsia="Arial" w:hAnsi="Arial"/>
                <w:sz w:val="11"/>
                <w:szCs w:val="11"/>
                <w:b w:val="1"/>
                <w:bCs w:val="1"/>
                <w:color w:val="auto"/>
              </w:rPr>
              <w:t>Nine Months Ended September 30, 2018</w:t>
            </w: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520" w:type="dxa"/>
            <w:vAlign w:val="bottom"/>
            <w:gridSpan w:val="7"/>
          </w:tcPr>
          <w:p>
            <w:pPr>
              <w:jc w:val="right"/>
              <w:ind w:right="293"/>
              <w:spacing w:after="0"/>
              <w:rPr>
                <w:sz w:val="20"/>
                <w:szCs w:val="20"/>
                <w:color w:val="auto"/>
              </w:rPr>
            </w:pPr>
            <w:r>
              <w:rPr>
                <w:rFonts w:ascii="Arial" w:cs="Arial" w:eastAsia="Arial" w:hAnsi="Arial"/>
                <w:sz w:val="11"/>
                <w:szCs w:val="11"/>
                <w:b w:val="1"/>
                <w:bCs w:val="1"/>
                <w:color w:val="auto"/>
              </w:rPr>
              <w:t>Nine Months Ended September 30, 2017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18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gridSpan w:val="3"/>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2"/>
        </w:trPr>
        <w:tc>
          <w:tcPr>
            <w:tcW w:w="1820" w:type="dxa"/>
            <w:vAlign w:val="bottom"/>
          </w:tcPr>
          <w:p>
            <w:pPr>
              <w:spacing w:after="0"/>
              <w:rPr>
                <w:sz w:val="21"/>
                <w:szCs w:val="2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Automotive</w:t>
            </w:r>
          </w:p>
        </w:tc>
        <w:tc>
          <w:tcPr>
            <w:tcW w:w="720" w:type="dxa"/>
            <w:vAlign w:val="bottom"/>
            <w:gridSpan w:val="3"/>
          </w:tcPr>
          <w:p>
            <w:pPr>
              <w:ind w:left="40"/>
              <w:spacing w:after="0"/>
              <w:rPr>
                <w:sz w:val="20"/>
                <w:szCs w:val="20"/>
                <w:color w:val="auto"/>
              </w:rPr>
            </w:pPr>
            <w:r>
              <w:rPr>
                <w:rFonts w:ascii="Arial" w:cs="Arial" w:eastAsia="Arial" w:hAnsi="Arial"/>
                <w:sz w:val="11"/>
                <w:szCs w:val="11"/>
                <w:b w:val="1"/>
                <w:bCs w:val="1"/>
                <w:color w:val="auto"/>
              </w:rPr>
              <w:t>GM Cruise</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Eliminations</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rPr>
              <w:t>Combined</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2"/>
          </w:tcPr>
          <w:p>
            <w:pPr>
              <w:ind w:left="120"/>
              <w:spacing w:after="0"/>
              <w:rPr>
                <w:sz w:val="20"/>
                <w:szCs w:val="20"/>
                <w:color w:val="auto"/>
              </w:rPr>
            </w:pPr>
            <w:r>
              <w:rPr>
                <w:rFonts w:ascii="Arial" w:cs="Arial" w:eastAsia="Arial" w:hAnsi="Arial"/>
                <w:sz w:val="11"/>
                <w:szCs w:val="11"/>
                <w:b w:val="1"/>
                <w:bCs w:val="1"/>
                <w:color w:val="auto"/>
              </w:rPr>
              <w:t>Automotive</w:t>
            </w:r>
          </w:p>
        </w:tc>
        <w:tc>
          <w:tcPr>
            <w:tcW w:w="840" w:type="dxa"/>
            <w:vAlign w:val="bottom"/>
            <w:gridSpan w:val="3"/>
          </w:tcPr>
          <w:p>
            <w:pPr>
              <w:ind w:left="40"/>
              <w:spacing w:after="0"/>
              <w:rPr>
                <w:sz w:val="20"/>
                <w:szCs w:val="20"/>
                <w:color w:val="auto"/>
              </w:rPr>
            </w:pPr>
            <w:r>
              <w:rPr>
                <w:rFonts w:ascii="Arial" w:cs="Arial" w:eastAsia="Arial" w:hAnsi="Arial"/>
                <w:sz w:val="11"/>
                <w:szCs w:val="11"/>
                <w:b w:val="1"/>
                <w:bCs w:val="1"/>
                <w:color w:val="auto"/>
              </w:rPr>
              <w:t>GM Cruise</w:t>
            </w: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GM Financial</w:t>
            </w:r>
          </w:p>
        </w:tc>
        <w:tc>
          <w:tcPr>
            <w:tcW w:w="140" w:type="dxa"/>
            <w:vAlign w:val="bottom"/>
          </w:tcPr>
          <w:p>
            <w:pPr>
              <w:spacing w:after="0"/>
              <w:rPr>
                <w:sz w:val="21"/>
                <w:szCs w:val="21"/>
                <w:color w:val="auto"/>
              </w:rPr>
            </w:pPr>
          </w:p>
        </w:tc>
        <w:tc>
          <w:tcPr>
            <w:tcW w:w="800" w:type="dxa"/>
            <w:vAlign w:val="bottom"/>
          </w:tcPr>
          <w:p>
            <w:pPr>
              <w:jc w:val="right"/>
              <w:ind w:right="73"/>
              <w:spacing w:after="0"/>
              <w:rPr>
                <w:sz w:val="20"/>
                <w:szCs w:val="20"/>
                <w:color w:val="auto"/>
              </w:rPr>
            </w:pPr>
            <w:r>
              <w:rPr>
                <w:rFonts w:ascii="Arial" w:cs="Arial" w:eastAsia="Arial" w:hAnsi="Arial"/>
                <w:sz w:val="11"/>
                <w:szCs w:val="11"/>
                <w:b w:val="1"/>
                <w:bCs w:val="1"/>
                <w:color w:val="auto"/>
                <w:w w:val="97"/>
              </w:rPr>
              <w:t>Eliminations</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52"/>
              <w:spacing w:after="0"/>
              <w:rPr>
                <w:sz w:val="20"/>
                <w:szCs w:val="20"/>
                <w:color w:val="auto"/>
              </w:rPr>
            </w:pPr>
            <w:r>
              <w:rPr>
                <w:rFonts w:ascii="Arial" w:cs="Arial" w:eastAsia="Arial" w:hAnsi="Arial"/>
                <w:sz w:val="11"/>
                <w:szCs w:val="11"/>
                <w:b w:val="1"/>
                <w:bCs w:val="1"/>
                <w:color w:val="auto"/>
                <w:w w:val="92"/>
              </w:rPr>
              <w:t>Combined</w:t>
            </w:r>
          </w:p>
        </w:tc>
        <w:tc>
          <w:tcPr>
            <w:tcW w:w="0" w:type="dxa"/>
            <w:vAlign w:val="bottom"/>
          </w:tcPr>
          <w:p>
            <w:pPr>
              <w:spacing w:after="0"/>
              <w:rPr>
                <w:sz w:val="1"/>
                <w:szCs w:val="1"/>
                <w:color w:val="auto"/>
              </w:rPr>
            </w:pPr>
          </w:p>
        </w:tc>
      </w:tr>
      <w:tr>
        <w:trPr>
          <w:trHeight w:val="22"/>
        </w:trPr>
        <w:tc>
          <w:tcPr>
            <w:tcW w:w="182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Net sales and revenue</w:t>
            </w: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182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18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Automotive</w:t>
            </w:r>
          </w:p>
        </w:tc>
        <w:tc>
          <w:tcPr>
            <w:tcW w:w="84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   98,312</w:t>
            </w:r>
          </w:p>
        </w:tc>
        <w:tc>
          <w:tcPr>
            <w:tcW w:w="2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4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73"/>
              <w:spacing w:after="0"/>
              <w:rPr>
                <w:sz w:val="20"/>
                <w:szCs w:val="20"/>
                <w:color w:val="auto"/>
              </w:rPr>
            </w:pPr>
            <w:r>
              <w:rPr>
                <w:rFonts w:ascii="Arial" w:cs="Arial" w:eastAsia="Arial" w:hAnsi="Arial"/>
                <w:sz w:val="14"/>
                <w:szCs w:val="14"/>
                <w:color w:val="auto"/>
              </w:rPr>
              <w:t>(70)</w:t>
            </w:r>
          </w:p>
        </w:tc>
        <w:tc>
          <w:tcPr>
            <w:tcW w:w="22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98,242</w:t>
            </w:r>
          </w:p>
        </w:tc>
        <w:tc>
          <w:tcPr>
            <w:tcW w:w="1120" w:type="dxa"/>
            <w:vAlign w:val="bottom"/>
            <w:gridSpan w:val="3"/>
            <w:vMerge w:val="restart"/>
            <w:shd w:val="clear" w:color="auto" w:fill="CCEEFF"/>
          </w:tcPr>
          <w:p>
            <w:pPr>
              <w:jc w:val="right"/>
              <w:ind w:right="37"/>
              <w:spacing w:after="0"/>
              <w:rPr>
                <w:sz w:val="20"/>
                <w:szCs w:val="20"/>
                <w:color w:val="auto"/>
              </w:rPr>
            </w:pPr>
            <w:r>
              <w:rPr>
                <w:rFonts w:ascii="Arial" w:cs="Arial" w:eastAsia="Arial" w:hAnsi="Arial"/>
                <w:sz w:val="14"/>
                <w:szCs w:val="14"/>
                <w:color w:val="auto"/>
              </w:rPr>
              <w:t>$   99,126</w:t>
            </w:r>
          </w:p>
        </w:tc>
        <w:tc>
          <w:tcPr>
            <w:tcW w:w="22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73"/>
              <w:spacing w:after="0"/>
              <w:rPr>
                <w:sz w:val="20"/>
                <w:szCs w:val="20"/>
                <w:color w:val="auto"/>
              </w:rPr>
            </w:pPr>
            <w:r>
              <w:rPr>
                <w:rFonts w:ascii="Arial" w:cs="Arial" w:eastAsia="Arial" w:hAnsi="Arial"/>
                <w:sz w:val="14"/>
                <w:szCs w:val="14"/>
                <w:color w:val="auto"/>
              </w:rPr>
              <w:t>(143)</w:t>
            </w:r>
          </w:p>
        </w:tc>
        <w:tc>
          <w:tcPr>
            <w:tcW w:w="3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98,983</w:t>
            </w:r>
          </w:p>
        </w:tc>
        <w:tc>
          <w:tcPr>
            <w:tcW w:w="0" w:type="dxa"/>
            <w:vAlign w:val="bottom"/>
          </w:tcPr>
          <w:p>
            <w:pPr>
              <w:spacing w:after="0"/>
              <w:rPr>
                <w:sz w:val="1"/>
                <w:szCs w:val="1"/>
                <w:color w:val="auto"/>
              </w:rPr>
            </w:pPr>
          </w:p>
        </w:tc>
      </w:tr>
      <w:tr>
        <w:trPr>
          <w:trHeight w:val="97"/>
        </w:trPr>
        <w:tc>
          <w:tcPr>
            <w:tcW w:w="182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540" w:type="dxa"/>
            <w:vAlign w:val="bottom"/>
            <w:gridSpan w:val="2"/>
            <w:vMerge w:val="continue"/>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120" w:type="dxa"/>
            <w:vAlign w:val="bottom"/>
            <w:gridSpan w:val="3"/>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vMerge w:val="continue"/>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180" w:type="dxa"/>
            <w:vAlign w:val="bottom"/>
            <w:vMerge w:val="continue"/>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340" w:type="dxa"/>
            <w:vAlign w:val="bottom"/>
            <w:gridSpan w:val="2"/>
            <w:vMerge w:val="continue"/>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1820" w:type="dxa"/>
            <w:vAlign w:val="bottom"/>
          </w:tcPr>
          <w:p>
            <w:pPr>
              <w:ind w:left="180"/>
              <w:spacing w:after="0"/>
              <w:rPr>
                <w:sz w:val="20"/>
                <w:szCs w:val="20"/>
                <w:color w:val="auto"/>
              </w:rPr>
            </w:pPr>
            <w:r>
              <w:rPr>
                <w:rFonts w:ascii="Arial" w:cs="Arial" w:eastAsia="Arial" w:hAnsi="Arial"/>
                <w:sz w:val="13"/>
                <w:szCs w:val="13"/>
                <w:color w:val="auto"/>
              </w:rPr>
              <w:t>GM Financial</w:t>
            </w:r>
          </w:p>
        </w:tc>
        <w:tc>
          <w:tcPr>
            <w:tcW w:w="840" w:type="dxa"/>
            <w:vAlign w:val="bottom"/>
            <w:vMerge w:val="restart"/>
          </w:tcPr>
          <w:p>
            <w:pPr>
              <w:jc w:val="right"/>
              <w:ind w:right="53"/>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vMerge w:val="restart"/>
          </w:tcPr>
          <w:p>
            <w:pPr>
              <w:ind w:left="18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restart"/>
          </w:tcPr>
          <w:p>
            <w:pPr>
              <w:jc w:val="right"/>
              <w:ind w:right="28"/>
              <w:spacing w:after="0"/>
              <w:rPr>
                <w:sz w:val="20"/>
                <w:szCs w:val="20"/>
                <w:color w:val="auto"/>
              </w:rPr>
            </w:pPr>
            <w:r>
              <w:rPr>
                <w:rFonts w:ascii="Arial" w:cs="Arial" w:eastAsia="Arial" w:hAnsi="Arial"/>
                <w:sz w:val="14"/>
                <w:szCs w:val="14"/>
                <w:color w:val="auto"/>
              </w:rPr>
              <w:t>10,417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73"/>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10,408</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vMerge w:val="restart"/>
          </w:tcPr>
          <w:p>
            <w:pPr>
              <w:jc w:val="right"/>
              <w:ind w:right="37"/>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vMerge w:val="restart"/>
          </w:tcPr>
          <w:p>
            <w:pPr>
              <w:ind w:left="16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vMerge w:val="restart"/>
          </w:tcPr>
          <w:p>
            <w:pPr>
              <w:jc w:val="right"/>
              <w:ind w:right="28"/>
              <w:spacing w:after="0"/>
              <w:rPr>
                <w:sz w:val="20"/>
                <w:szCs w:val="20"/>
                <w:color w:val="auto"/>
              </w:rPr>
            </w:pPr>
            <w:r>
              <w:rPr>
                <w:rFonts w:ascii="Arial" w:cs="Arial" w:eastAsia="Arial" w:hAnsi="Arial"/>
                <w:sz w:val="14"/>
                <w:szCs w:val="14"/>
                <w:color w:val="auto"/>
              </w:rPr>
              <w:t>8,899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restart"/>
          </w:tcPr>
          <w:p>
            <w:pPr>
              <w:jc w:val="right"/>
              <w:ind w:right="73"/>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vMerge w:val="restart"/>
          </w:tcPr>
          <w:p>
            <w:pPr>
              <w:jc w:val="right"/>
              <w:ind w:right="32"/>
              <w:spacing w:after="0"/>
              <w:rPr>
                <w:sz w:val="20"/>
                <w:szCs w:val="20"/>
                <w:color w:val="auto"/>
              </w:rPr>
            </w:pPr>
            <w:r>
              <w:rPr>
                <w:rFonts w:ascii="Arial" w:cs="Arial" w:eastAsia="Arial" w:hAnsi="Arial"/>
                <w:sz w:val="14"/>
                <w:szCs w:val="14"/>
                <w:color w:val="auto"/>
              </w:rPr>
              <w:t>8,890</w:t>
            </w:r>
          </w:p>
        </w:tc>
        <w:tc>
          <w:tcPr>
            <w:tcW w:w="0" w:type="dxa"/>
            <w:vAlign w:val="bottom"/>
          </w:tcPr>
          <w:p>
            <w:pPr>
              <w:spacing w:after="0"/>
              <w:rPr>
                <w:sz w:val="1"/>
                <w:szCs w:val="1"/>
                <w:color w:val="auto"/>
              </w:rPr>
            </w:pPr>
          </w:p>
        </w:tc>
      </w:tr>
      <w:tr>
        <w:trPr>
          <w:trHeight w:val="91"/>
        </w:trPr>
        <w:tc>
          <w:tcPr>
            <w:tcW w:w="1820" w:type="dxa"/>
            <w:vAlign w:val="bottom"/>
            <w:tcBorders>
              <w:bottom w:val="single" w:sz="8" w:color="CCEEFF"/>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CCEEFF"/>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CCEEFF"/>
            </w:tcBorders>
            <w:vMerge w:val="continue"/>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00" w:type="dxa"/>
            <w:vAlign w:val="bottom"/>
            <w:tcBorders>
              <w:bottom w:val="single" w:sz="8" w:color="CCEEFF"/>
            </w:tcBorders>
          </w:tcPr>
          <w:p>
            <w:pPr>
              <w:spacing w:after="0"/>
              <w:rPr>
                <w:sz w:val="7"/>
                <w:szCs w:val="7"/>
                <w:color w:val="auto"/>
              </w:rPr>
            </w:pPr>
          </w:p>
        </w:tc>
        <w:tc>
          <w:tcPr>
            <w:tcW w:w="84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CCEEFF"/>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CCEEFF"/>
            </w:tcBorders>
            <w:vMerge w:val="continue"/>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8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Total net sales and revenue</w:t>
            </w:r>
          </w:p>
        </w:tc>
        <w:tc>
          <w:tcPr>
            <w:tcW w:w="84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rPr>
              <w:t>98,312</w:t>
            </w: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4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5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10,417</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73"/>
              <w:spacing w:after="0"/>
              <w:rPr>
                <w:sz w:val="20"/>
                <w:szCs w:val="20"/>
                <w:color w:val="auto"/>
              </w:rPr>
            </w:pPr>
            <w:r>
              <w:rPr>
                <w:rFonts w:ascii="Arial" w:cs="Arial" w:eastAsia="Arial" w:hAnsi="Arial"/>
                <w:sz w:val="14"/>
                <w:szCs w:val="14"/>
                <w:color w:val="auto"/>
              </w:rPr>
              <w:t>(79)</w:t>
            </w:r>
          </w:p>
        </w:tc>
        <w:tc>
          <w:tcPr>
            <w:tcW w:w="220" w:type="dxa"/>
            <w:vAlign w:val="bottom"/>
            <w:shd w:val="clear" w:color="auto" w:fill="CCEEFF"/>
          </w:tcPr>
          <w:p>
            <w:pPr>
              <w:spacing w:after="0"/>
              <w:rPr>
                <w:sz w:val="13"/>
                <w:szCs w:val="13"/>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108,650</w:t>
            </w:r>
          </w:p>
        </w:tc>
        <w:tc>
          <w:tcPr>
            <w:tcW w:w="1120" w:type="dxa"/>
            <w:vAlign w:val="bottom"/>
            <w:gridSpan w:val="3"/>
            <w:vMerge w:val="restart"/>
            <w:shd w:val="clear" w:color="auto" w:fill="CCEEFF"/>
          </w:tcPr>
          <w:p>
            <w:pPr>
              <w:jc w:val="right"/>
              <w:ind w:right="37"/>
              <w:spacing w:after="0"/>
              <w:rPr>
                <w:sz w:val="20"/>
                <w:szCs w:val="20"/>
                <w:color w:val="auto"/>
              </w:rPr>
            </w:pPr>
            <w:r>
              <w:rPr>
                <w:rFonts w:ascii="Arial" w:cs="Arial" w:eastAsia="Arial" w:hAnsi="Arial"/>
                <w:sz w:val="14"/>
                <w:szCs w:val="14"/>
                <w:color w:val="auto"/>
              </w:rPr>
              <w:t>99,126</w:t>
            </w:r>
          </w:p>
        </w:tc>
        <w:tc>
          <w:tcPr>
            <w:tcW w:w="2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8,899</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73"/>
              <w:spacing w:after="0"/>
              <w:rPr>
                <w:sz w:val="20"/>
                <w:szCs w:val="20"/>
                <w:color w:val="auto"/>
              </w:rPr>
            </w:pPr>
            <w:r>
              <w:rPr>
                <w:rFonts w:ascii="Arial" w:cs="Arial" w:eastAsia="Arial" w:hAnsi="Arial"/>
                <w:sz w:val="14"/>
                <w:szCs w:val="14"/>
                <w:color w:val="auto"/>
              </w:rPr>
              <w:t>(152)</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107,873</w:t>
            </w:r>
          </w:p>
        </w:tc>
        <w:tc>
          <w:tcPr>
            <w:tcW w:w="0" w:type="dxa"/>
            <w:vAlign w:val="bottom"/>
          </w:tcPr>
          <w:p>
            <w:pPr>
              <w:spacing w:after="0"/>
              <w:rPr>
                <w:sz w:val="1"/>
                <w:szCs w:val="1"/>
                <w:color w:val="auto"/>
              </w:rPr>
            </w:pPr>
          </w:p>
        </w:tc>
      </w:tr>
      <w:tr>
        <w:trPr>
          <w:trHeight w:val="97"/>
        </w:trPr>
        <w:tc>
          <w:tcPr>
            <w:tcW w:w="182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gridSpan w:val="2"/>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8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120" w:type="dxa"/>
            <w:vAlign w:val="bottom"/>
            <w:gridSpan w:val="3"/>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246620" cy="2057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ectPr>
          <w:pgSz w:w="11900" w:h="16838" w:orient="portrait"/>
          <w:cols w:equalWidth="0" w:num="1">
            <w:col w:w="11420"/>
          </w:cols>
          <w:pgMar w:left="240" w:top="337" w:right="239" w:bottom="39" w:gutter="0" w:footer="0" w:header="0"/>
          <w:type w:val="continuous"/>
        </w:sectPr>
      </w:pP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780" w:type="dxa"/>
            <w:vAlign w:val="bottom"/>
          </w:tcPr>
          <w:p>
            <w:pPr>
              <w:ind w:left="140"/>
              <w:spacing w:after="0"/>
              <w:rPr>
                <w:sz w:val="20"/>
                <w:szCs w:val="20"/>
                <w:color w:val="auto"/>
              </w:rPr>
            </w:pPr>
            <w:r>
              <w:rPr>
                <w:rFonts w:ascii="Arial" w:cs="Arial" w:eastAsia="Arial" w:hAnsi="Arial"/>
                <w:sz w:val="13"/>
                <w:szCs w:val="13"/>
                <w:color w:val="auto"/>
                <w:w w:val="97"/>
              </w:rPr>
              <w:t>Automotive and other cost of</w:t>
            </w:r>
          </w:p>
        </w:tc>
        <w:tc>
          <w:tcPr>
            <w:tcW w:w="200" w:type="dxa"/>
            <w:vAlign w:val="bottom"/>
          </w:tcPr>
          <w:p>
            <w:pPr>
              <w:spacing w:after="0"/>
              <w:rPr>
                <w:sz w:val="12"/>
                <w:szCs w:val="12"/>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88,346</w:t>
            </w:r>
          </w:p>
        </w:tc>
        <w:tc>
          <w:tcPr>
            <w:tcW w:w="0" w:type="dxa"/>
            <w:vAlign w:val="bottom"/>
          </w:tcPr>
          <w:p>
            <w:pPr>
              <w:spacing w:after="0"/>
              <w:rPr>
                <w:sz w:val="1"/>
                <w:szCs w:val="1"/>
                <w:color w:val="auto"/>
              </w:rPr>
            </w:pPr>
          </w:p>
        </w:tc>
      </w:tr>
      <w:tr>
        <w:trPr>
          <w:trHeight w:val="156"/>
        </w:trPr>
        <w:tc>
          <w:tcPr>
            <w:tcW w:w="1780" w:type="dxa"/>
            <w:vAlign w:val="bottom"/>
          </w:tcPr>
          <w:p>
            <w:pPr>
              <w:ind w:left="300"/>
              <w:spacing w:after="0"/>
              <w:rPr>
                <w:sz w:val="20"/>
                <w:szCs w:val="20"/>
                <w:color w:val="auto"/>
              </w:rPr>
            </w:pPr>
            <w:r>
              <w:rPr>
                <w:rFonts w:ascii="Arial" w:cs="Arial" w:eastAsia="Arial" w:hAnsi="Arial"/>
                <w:sz w:val="13"/>
                <w:szCs w:val="13"/>
                <w:color w:val="auto"/>
              </w:rPr>
              <w:t>sales</w:t>
            </w: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780" w:type="dxa"/>
            <w:vAlign w:val="bottom"/>
          </w:tcPr>
          <w:p>
            <w:pPr>
              <w:ind w:left="140"/>
              <w:spacing w:after="0"/>
              <w:rPr>
                <w:sz w:val="20"/>
                <w:szCs w:val="20"/>
                <w:color w:val="auto"/>
              </w:rPr>
            </w:pPr>
            <w:r>
              <w:rPr>
                <w:rFonts w:ascii="Arial" w:cs="Arial" w:eastAsia="Arial" w:hAnsi="Arial"/>
                <w:sz w:val="13"/>
                <w:szCs w:val="13"/>
                <w:color w:val="auto"/>
              </w:rPr>
              <w:t>GM Financial interest,</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300"/>
              <w:spacing w:after="0" w:line="135" w:lineRule="exact"/>
              <w:rPr>
                <w:sz w:val="20"/>
                <w:szCs w:val="20"/>
                <w:color w:val="auto"/>
              </w:rPr>
            </w:pPr>
            <w:r>
              <w:rPr>
                <w:rFonts w:ascii="Arial" w:cs="Arial" w:eastAsia="Arial" w:hAnsi="Arial"/>
                <w:sz w:val="13"/>
                <w:szCs w:val="13"/>
                <w:color w:val="auto"/>
              </w:rPr>
              <w:t>operating and other</w:t>
            </w:r>
          </w:p>
        </w:tc>
        <w:tc>
          <w:tcPr>
            <w:tcW w:w="20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1780" w:type="dxa"/>
            <w:vAlign w:val="bottom"/>
          </w:tcPr>
          <w:p>
            <w:pPr>
              <w:ind w:left="300"/>
              <w:spacing w:after="0"/>
              <w:rPr>
                <w:sz w:val="20"/>
                <w:szCs w:val="20"/>
                <w:color w:val="auto"/>
              </w:rPr>
            </w:pPr>
            <w:r>
              <w:rPr>
                <w:rFonts w:ascii="Arial" w:cs="Arial" w:eastAsia="Arial" w:hAnsi="Arial"/>
                <w:sz w:val="13"/>
                <w:szCs w:val="13"/>
                <w:color w:val="auto"/>
              </w:rPr>
              <w:t>expenses</w:t>
            </w: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780" w:type="dxa"/>
            <w:vAlign w:val="bottom"/>
          </w:tcPr>
          <w:p>
            <w:pPr>
              <w:ind w:left="140"/>
              <w:spacing w:after="0"/>
              <w:rPr>
                <w:sz w:val="20"/>
                <w:szCs w:val="20"/>
                <w:color w:val="auto"/>
              </w:rPr>
            </w:pPr>
            <w:r>
              <w:rPr>
                <w:rFonts w:ascii="Arial" w:cs="Arial" w:eastAsia="Arial" w:hAnsi="Arial"/>
                <w:sz w:val="13"/>
                <w:szCs w:val="13"/>
                <w:color w:val="auto"/>
              </w:rPr>
              <w:t>Automotive and other</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780" w:type="dxa"/>
            <w:vAlign w:val="bottom"/>
          </w:tcPr>
          <w:p>
            <w:pPr>
              <w:ind w:left="300"/>
              <w:spacing w:after="0" w:line="135" w:lineRule="exact"/>
              <w:rPr>
                <w:sz w:val="20"/>
                <w:szCs w:val="20"/>
                <w:color w:val="auto"/>
              </w:rPr>
            </w:pPr>
            <w:r>
              <w:rPr>
                <w:rFonts w:ascii="Arial" w:cs="Arial" w:eastAsia="Arial" w:hAnsi="Arial"/>
                <w:sz w:val="13"/>
                <w:szCs w:val="13"/>
                <w:color w:val="auto"/>
              </w:rPr>
              <w:t>selling, general and</w:t>
            </w:r>
          </w:p>
        </w:tc>
        <w:tc>
          <w:tcPr>
            <w:tcW w:w="200" w:type="dxa"/>
            <w:vAlign w:val="bottom"/>
          </w:tcPr>
          <w:p>
            <w:pPr>
              <w:spacing w:after="0"/>
              <w:rPr>
                <w:sz w:val="11"/>
                <w:szCs w:val="11"/>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7,152</w:t>
            </w:r>
          </w:p>
        </w:tc>
        <w:tc>
          <w:tcPr>
            <w:tcW w:w="0" w:type="dxa"/>
            <w:vAlign w:val="bottom"/>
          </w:tcPr>
          <w:p>
            <w:pPr>
              <w:spacing w:after="0"/>
              <w:rPr>
                <w:sz w:val="1"/>
                <w:szCs w:val="1"/>
                <w:color w:val="auto"/>
              </w:rPr>
            </w:pPr>
          </w:p>
        </w:tc>
      </w:tr>
      <w:tr>
        <w:trPr>
          <w:trHeight w:val="162"/>
        </w:trPr>
        <w:tc>
          <w:tcPr>
            <w:tcW w:w="1780" w:type="dxa"/>
            <w:vAlign w:val="bottom"/>
          </w:tcPr>
          <w:p>
            <w:pPr>
              <w:ind w:left="300"/>
              <w:spacing w:after="0"/>
              <w:rPr>
                <w:sz w:val="20"/>
                <w:szCs w:val="20"/>
                <w:color w:val="auto"/>
              </w:rPr>
            </w:pPr>
            <w:r>
              <w:rPr>
                <w:rFonts w:ascii="Arial" w:cs="Arial" w:eastAsia="Arial" w:hAnsi="Arial"/>
                <w:sz w:val="13"/>
                <w:szCs w:val="13"/>
                <w:color w:val="auto"/>
              </w:rPr>
              <w:t>administrative expense</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80" w:type="dxa"/>
            <w:vAlign w:val="bottom"/>
          </w:tcPr>
          <w:p>
            <w:pPr>
              <w:ind w:left="140"/>
              <w:spacing w:after="0"/>
              <w:rPr>
                <w:sz w:val="20"/>
                <w:szCs w:val="20"/>
                <w:color w:val="auto"/>
              </w:rPr>
            </w:pPr>
            <w:r>
              <w:rPr>
                <w:rFonts w:ascii="Arial" w:cs="Arial" w:eastAsia="Arial" w:hAnsi="Arial"/>
                <w:sz w:val="13"/>
                <w:szCs w:val="13"/>
                <w:color w:val="auto"/>
              </w:rPr>
              <w:t>Total costs and expenses</w:t>
            </w:r>
          </w:p>
        </w:tc>
        <w:tc>
          <w:tcPr>
            <w:tcW w:w="200" w:type="dxa"/>
            <w:vAlign w:val="bottom"/>
          </w:tcPr>
          <w:p>
            <w:pPr>
              <w:spacing w:after="0"/>
              <w:rPr>
                <w:sz w:val="13"/>
                <w:szCs w:val="13"/>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95,498</w:t>
            </w:r>
          </w:p>
        </w:tc>
        <w:tc>
          <w:tcPr>
            <w:tcW w:w="0" w:type="dxa"/>
            <w:vAlign w:val="bottom"/>
          </w:tcPr>
          <w:p>
            <w:pPr>
              <w:spacing w:after="0"/>
              <w:rPr>
                <w:sz w:val="1"/>
                <w:szCs w:val="1"/>
                <w:color w:val="auto"/>
              </w:rPr>
            </w:pPr>
          </w:p>
        </w:tc>
      </w:tr>
      <w:tr>
        <w:trPr>
          <w:trHeight w:val="91"/>
        </w:trPr>
        <w:tc>
          <w:tcPr>
            <w:tcW w:w="17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1780" w:type="dxa"/>
            <w:vAlign w:val="bottom"/>
          </w:tcPr>
          <w:p>
            <w:pPr>
              <w:ind w:left="340"/>
              <w:spacing w:after="0"/>
              <w:rPr>
                <w:sz w:val="20"/>
                <w:szCs w:val="20"/>
                <w:color w:val="auto"/>
              </w:rPr>
            </w:pPr>
            <w:r>
              <w:rPr>
                <w:rFonts w:ascii="Arial" w:cs="Arial" w:eastAsia="Arial" w:hAnsi="Arial"/>
                <w:sz w:val="13"/>
                <w:szCs w:val="13"/>
                <w:color w:val="auto"/>
              </w:rPr>
              <w:t>Operating income (loss)</w:t>
            </w:r>
          </w:p>
        </w:tc>
        <w:tc>
          <w:tcPr>
            <w:tcW w:w="200" w:type="dxa"/>
            <w:vAlign w:val="bottom"/>
          </w:tcPr>
          <w:p>
            <w:pPr>
              <w:spacing w:after="0"/>
              <w:rPr>
                <w:sz w:val="13"/>
                <w:szCs w:val="13"/>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2,814</w:t>
            </w:r>
          </w:p>
        </w:tc>
        <w:tc>
          <w:tcPr>
            <w:tcW w:w="0" w:type="dxa"/>
            <w:vAlign w:val="bottom"/>
          </w:tcPr>
          <w:p>
            <w:pPr>
              <w:spacing w:after="0"/>
              <w:rPr>
                <w:sz w:val="1"/>
                <w:szCs w:val="1"/>
                <w:color w:val="auto"/>
              </w:rPr>
            </w:pPr>
          </w:p>
        </w:tc>
      </w:tr>
      <w:tr>
        <w:trPr>
          <w:trHeight w:val="85"/>
        </w:trPr>
        <w:tc>
          <w:tcPr>
            <w:tcW w:w="1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1780" w:type="dxa"/>
            <w:vAlign w:val="bottom"/>
          </w:tcPr>
          <w:p>
            <w:pPr>
              <w:spacing w:after="0"/>
              <w:rPr>
                <w:sz w:val="20"/>
                <w:szCs w:val="20"/>
                <w:color w:val="auto"/>
              </w:rPr>
            </w:pPr>
            <w:r>
              <w:rPr>
                <w:rFonts w:ascii="Arial" w:cs="Arial" w:eastAsia="Arial" w:hAnsi="Arial"/>
                <w:sz w:val="13"/>
                <w:szCs w:val="13"/>
                <w:color w:val="auto"/>
              </w:rPr>
              <w:t>Automotive interest expense</w:t>
            </w:r>
          </w:p>
        </w:tc>
        <w:tc>
          <w:tcPr>
            <w:tcW w:w="20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85"/>
        </w:trPr>
        <w:tc>
          <w:tcPr>
            <w:tcW w:w="1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1780" w:type="dxa"/>
            <w:vAlign w:val="bottom"/>
          </w:tcPr>
          <w:p>
            <w:pPr>
              <w:spacing w:after="0"/>
              <w:rPr>
                <w:sz w:val="20"/>
                <w:szCs w:val="20"/>
                <w:color w:val="auto"/>
              </w:rPr>
            </w:pPr>
            <w:r>
              <w:rPr>
                <w:rFonts w:ascii="Arial" w:cs="Arial" w:eastAsia="Arial" w:hAnsi="Arial"/>
                <w:sz w:val="13"/>
                <w:szCs w:val="13"/>
                <w:color w:val="auto"/>
                <w:w w:val="99"/>
              </w:rPr>
              <w:t>Interest income and other non-</w:t>
            </w:r>
          </w:p>
        </w:tc>
        <w:tc>
          <w:tcPr>
            <w:tcW w:w="200" w:type="dxa"/>
            <w:vAlign w:val="bottom"/>
          </w:tcPr>
          <w:p>
            <w:pPr>
              <w:spacing w:after="0"/>
              <w:rPr>
                <w:sz w:val="14"/>
                <w:szCs w:val="14"/>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2,121</w:t>
            </w:r>
          </w:p>
        </w:tc>
        <w:tc>
          <w:tcPr>
            <w:tcW w:w="0" w:type="dxa"/>
            <w:vAlign w:val="bottom"/>
          </w:tcPr>
          <w:p>
            <w:pPr>
              <w:spacing w:after="0"/>
              <w:rPr>
                <w:sz w:val="1"/>
                <w:szCs w:val="1"/>
                <w:color w:val="auto"/>
              </w:rPr>
            </w:pPr>
          </w:p>
        </w:tc>
      </w:tr>
      <w:tr>
        <w:trPr>
          <w:trHeight w:val="156"/>
        </w:trPr>
        <w:tc>
          <w:tcPr>
            <w:tcW w:w="1780" w:type="dxa"/>
            <w:vAlign w:val="bottom"/>
          </w:tcPr>
          <w:p>
            <w:pPr>
              <w:ind w:left="160"/>
              <w:spacing w:after="0"/>
              <w:rPr>
                <w:sz w:val="20"/>
                <w:szCs w:val="20"/>
                <w:color w:val="auto"/>
              </w:rPr>
            </w:pPr>
            <w:r>
              <w:rPr>
                <w:rFonts w:ascii="Arial" w:cs="Arial" w:eastAsia="Arial" w:hAnsi="Arial"/>
                <w:sz w:val="13"/>
                <w:szCs w:val="13"/>
                <w:color w:val="auto"/>
              </w:rPr>
              <w:t>operating income, net</w:t>
            </w:r>
          </w:p>
        </w:tc>
        <w:tc>
          <w:tcPr>
            <w:tcW w:w="20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780" w:type="dxa"/>
            <w:vAlign w:val="bottom"/>
          </w:tcPr>
          <w:p>
            <w:pPr>
              <w:spacing w:after="0"/>
              <w:rPr>
                <w:sz w:val="20"/>
                <w:szCs w:val="20"/>
                <w:color w:val="auto"/>
              </w:rPr>
            </w:pPr>
            <w:r>
              <w:rPr>
                <w:rFonts w:ascii="Arial" w:cs="Arial" w:eastAsia="Arial" w:hAnsi="Arial"/>
                <w:sz w:val="13"/>
                <w:szCs w:val="13"/>
                <w:color w:val="auto"/>
              </w:rPr>
              <w:t>Equity income</w:t>
            </w:r>
          </w:p>
        </w:tc>
        <w:tc>
          <w:tcPr>
            <w:tcW w:w="20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1,674</w:t>
            </w:r>
          </w:p>
        </w:tc>
        <w:tc>
          <w:tcPr>
            <w:tcW w:w="0" w:type="dxa"/>
            <w:vAlign w:val="bottom"/>
          </w:tcPr>
          <w:p>
            <w:pPr>
              <w:spacing w:after="0"/>
              <w:rPr>
                <w:sz w:val="1"/>
                <w:szCs w:val="1"/>
                <w:color w:val="auto"/>
              </w:rPr>
            </w:pPr>
          </w:p>
        </w:tc>
      </w:tr>
      <w:tr>
        <w:trPr>
          <w:trHeight w:val="91"/>
        </w:trPr>
        <w:tc>
          <w:tcPr>
            <w:tcW w:w="178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1780" w:type="dxa"/>
            <w:vAlign w:val="bottom"/>
          </w:tcPr>
          <w:p>
            <w:pPr>
              <w:spacing w:after="0" w:line="143" w:lineRule="exact"/>
              <w:rPr>
                <w:sz w:val="20"/>
                <w:szCs w:val="20"/>
                <w:color w:val="auto"/>
              </w:rPr>
            </w:pPr>
            <w:r>
              <w:rPr>
                <w:rFonts w:ascii="Arial" w:cs="Arial" w:eastAsia="Arial" w:hAnsi="Arial"/>
                <w:sz w:val="13"/>
                <w:szCs w:val="13"/>
                <w:color w:val="auto"/>
              </w:rPr>
              <w:t>Income (loss) before income</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vMerge w:val="restart"/>
          </w:tcPr>
          <w:p>
            <w:pPr>
              <w:jc w:val="right"/>
              <w:ind w:right="48"/>
              <w:spacing w:after="0"/>
              <w:rPr>
                <w:sz w:val="20"/>
                <w:szCs w:val="20"/>
                <w:color w:val="auto"/>
              </w:rPr>
            </w:pPr>
            <w:r>
              <w:rPr>
                <w:rFonts w:ascii="Arial" w:cs="Arial" w:eastAsia="Arial" w:hAnsi="Arial"/>
                <w:sz w:val="14"/>
                <w:szCs w:val="14"/>
                <w:color w:val="auto"/>
              </w:rPr>
              <w:t>6,134</w:t>
            </w:r>
          </w:p>
        </w:tc>
        <w:tc>
          <w:tcPr>
            <w:tcW w:w="0" w:type="dxa"/>
            <w:vAlign w:val="bottom"/>
          </w:tcPr>
          <w:p>
            <w:pPr>
              <w:spacing w:after="0"/>
              <w:rPr>
                <w:sz w:val="1"/>
                <w:szCs w:val="1"/>
                <w:color w:val="auto"/>
              </w:rPr>
            </w:pPr>
          </w:p>
        </w:tc>
      </w:tr>
      <w:tr>
        <w:trPr>
          <w:trHeight w:val="156"/>
        </w:trPr>
        <w:tc>
          <w:tcPr>
            <w:tcW w:w="1780" w:type="dxa"/>
            <w:vAlign w:val="bottom"/>
          </w:tcPr>
          <w:p>
            <w:pPr>
              <w:ind w:left="160"/>
              <w:spacing w:after="0"/>
              <w:rPr>
                <w:sz w:val="20"/>
                <w:szCs w:val="20"/>
                <w:color w:val="auto"/>
              </w:rPr>
            </w:pPr>
            <w:r>
              <w:rPr>
                <w:rFonts w:ascii="Arial" w:cs="Arial" w:eastAsia="Arial" w:hAnsi="Arial"/>
                <w:sz w:val="13"/>
                <w:szCs w:val="13"/>
                <w:color w:val="auto"/>
              </w:rPr>
              <w:t>taxes</w:t>
            </w:r>
          </w:p>
        </w:tc>
        <w:tc>
          <w:tcPr>
            <w:tcW w:w="20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Income tax expense</w:t>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3"/>
          <w:szCs w:val="13"/>
          <w:color w:val="auto"/>
        </w:rPr>
        <w:t>Income from continuing</w:t>
      </w:r>
    </w:p>
    <w:p>
      <w:pPr>
        <w:ind w:left="200"/>
        <w:spacing w:after="0"/>
        <w:rPr>
          <w:sz w:val="20"/>
          <w:szCs w:val="20"/>
          <w:color w:val="auto"/>
        </w:rPr>
      </w:pPr>
      <w:r>
        <w:rPr>
          <w:rFonts w:ascii="Arial" w:cs="Arial" w:eastAsia="Arial" w:hAnsi="Arial"/>
          <w:sz w:val="13"/>
          <w:szCs w:val="13"/>
          <w:color w:val="auto"/>
        </w:rPr>
        <w:t>operations</w:t>
      </w:r>
    </w:p>
    <w:p>
      <w:pPr>
        <w:spacing w:after="0" w:line="37" w:lineRule="exact"/>
        <w:rPr>
          <w:sz w:val="20"/>
          <w:szCs w:val="20"/>
          <w:color w:val="auto"/>
        </w:rPr>
      </w:pPr>
    </w:p>
    <w:p>
      <w:pPr>
        <w:jc w:val="right"/>
        <w:ind w:right="1320"/>
        <w:spacing w:after="0"/>
        <w:rPr>
          <w:sz w:val="20"/>
          <w:szCs w:val="20"/>
          <w:color w:val="auto"/>
        </w:rPr>
      </w:pPr>
      <w:r>
        <w:rPr>
          <w:rFonts w:ascii="Arial" w:cs="Arial" w:eastAsia="Arial" w:hAnsi="Arial"/>
          <w:sz w:val="12"/>
          <w:szCs w:val="12"/>
          <w:color w:val="auto"/>
        </w:rPr>
        <w:t>Loss from discontinued</w:t>
      </w:r>
    </w:p>
    <w:p>
      <w:pPr>
        <w:jc w:val="right"/>
        <w:ind w:right="1280"/>
        <w:spacing w:after="0"/>
        <w:rPr>
          <w:sz w:val="20"/>
          <w:szCs w:val="20"/>
          <w:color w:val="auto"/>
        </w:rPr>
      </w:pPr>
      <w:r>
        <w:rPr>
          <w:rFonts w:ascii="Arial" w:cs="Arial" w:eastAsia="Arial" w:hAnsi="Arial"/>
          <w:sz w:val="13"/>
          <w:szCs w:val="13"/>
          <w:color w:val="auto"/>
        </w:rPr>
        <w:t>operations, net of tax</w:t>
      </w:r>
    </w:p>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Net income</w:t>
      </w:r>
    </w:p>
    <w:p>
      <w:pPr>
        <w:spacing w:after="0" w:line="137" w:lineRule="exact"/>
        <w:rPr>
          <w:sz w:val="20"/>
          <w:szCs w:val="20"/>
          <w:color w:val="auto"/>
        </w:rPr>
      </w:pPr>
    </w:p>
    <w:p>
      <w:pPr>
        <w:jc w:val="right"/>
        <w:ind w:left="40" w:right="980"/>
        <w:spacing w:after="0" w:line="259" w:lineRule="auto"/>
        <w:rPr>
          <w:sz w:val="20"/>
          <w:szCs w:val="20"/>
          <w:color w:val="auto"/>
        </w:rPr>
      </w:pPr>
      <w:r>
        <w:rPr>
          <w:rFonts w:ascii="Arial" w:cs="Arial" w:eastAsia="Arial" w:hAnsi="Arial"/>
          <w:sz w:val="12"/>
          <w:szCs w:val="12"/>
          <w:color w:val="auto"/>
        </w:rPr>
        <w:t>Net (income) loss attributable to noncontrolling interests</w:t>
      </w:r>
    </w:p>
    <w:p>
      <w:pPr>
        <w:spacing w:after="0" w:line="10" w:lineRule="exact"/>
        <w:rPr>
          <w:sz w:val="20"/>
          <w:szCs w:val="20"/>
          <w:color w:val="auto"/>
        </w:rPr>
      </w:pPr>
    </w:p>
    <w:p>
      <w:pPr>
        <w:ind w:left="200" w:right="1080" w:hanging="161"/>
        <w:spacing w:after="0" w:line="246" w:lineRule="auto"/>
        <w:rPr>
          <w:sz w:val="20"/>
          <w:szCs w:val="20"/>
          <w:color w:val="auto"/>
        </w:rPr>
      </w:pPr>
      <w:r>
        <w:rPr>
          <w:rFonts w:ascii="Arial" w:cs="Arial" w:eastAsia="Arial" w:hAnsi="Arial"/>
          <w:sz w:val="13"/>
          <w:szCs w:val="13"/>
          <w:b w:val="1"/>
          <w:bCs w:val="1"/>
          <w:color w:val="auto"/>
        </w:rPr>
        <w:t>Net income attributable to stockholders</w:t>
      </w:r>
    </w:p>
    <w:p>
      <w:pPr>
        <w:spacing w:after="0" w:line="288" w:lineRule="exact"/>
        <w:rPr>
          <w:sz w:val="20"/>
          <w:szCs w:val="20"/>
          <w:color w:val="auto"/>
        </w:rPr>
      </w:pPr>
    </w:p>
    <w:p>
      <w:pPr>
        <w:ind w:left="200" w:right="1080" w:hanging="161"/>
        <w:spacing w:after="0" w:line="287" w:lineRule="auto"/>
        <w:rPr>
          <w:sz w:val="20"/>
          <w:szCs w:val="20"/>
          <w:color w:val="auto"/>
        </w:rPr>
      </w:pPr>
      <w:r>
        <w:rPr>
          <w:rFonts w:ascii="Arial" w:cs="Arial" w:eastAsia="Arial" w:hAnsi="Arial"/>
          <w:sz w:val="12"/>
          <w:szCs w:val="12"/>
          <w:b w:val="1"/>
          <w:bCs w:val="1"/>
          <w:color w:val="auto"/>
        </w:rPr>
        <w:t>Net income attributable to common stockholders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60" w:type="dxa"/>
            <w:vAlign w:val="bottom"/>
          </w:tcPr>
          <w:p>
            <w:pPr>
              <w:spacing w:after="0"/>
              <w:rPr>
                <w:sz w:val="14"/>
                <w:szCs w:val="1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514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(72)</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88,788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85,856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439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(147)</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86,148</w:t>
            </w:r>
          </w:p>
        </w:tc>
      </w:tr>
      <w:tr>
        <w:trPr>
          <w:trHeight w:val="459"/>
        </w:trPr>
        <w:tc>
          <w:tcPr>
            <w:tcW w:w="160" w:type="dxa"/>
            <w:vAlign w:val="bottom"/>
          </w:tcPr>
          <w:p>
            <w:pPr>
              <w:spacing w:after="0"/>
              <w:rPr>
                <w:sz w:val="24"/>
                <w:szCs w:val="2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9,081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9,074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8,133</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3"/>
          </w:tcPr>
          <w:p>
            <w:pPr>
              <w:jc w:val="right"/>
              <w:ind w:right="4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8,133</w:t>
            </w:r>
          </w:p>
        </w:tc>
      </w:tr>
      <w:tr>
        <w:trPr>
          <w:trHeight w:val="465"/>
        </w:trPr>
        <w:tc>
          <w:tcPr>
            <w:tcW w:w="160" w:type="dxa"/>
            <w:vAlign w:val="bottom"/>
          </w:tcPr>
          <w:p>
            <w:pPr>
              <w:spacing w:after="0"/>
              <w:rPr>
                <w:sz w:val="24"/>
                <w:szCs w:val="2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60" w:type="dxa"/>
            <w:vAlign w:val="bottom"/>
            <w:gridSpan w:val="3"/>
          </w:tcPr>
          <w:p>
            <w:pPr>
              <w:jc w:val="right"/>
              <w:ind w:right="4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7,172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7,120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000" w:type="dxa"/>
            <w:vAlign w:val="bottom"/>
            <w:gridSpan w:val="3"/>
          </w:tcPr>
          <w:p>
            <w:pPr>
              <w:jc w:val="right"/>
              <w:ind w:right="4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7,136</w:t>
            </w:r>
          </w:p>
        </w:tc>
      </w:tr>
      <w:tr>
        <w:trPr>
          <w:trHeight w:val="250"/>
        </w:trPr>
        <w:tc>
          <w:tcPr>
            <w:tcW w:w="16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9,081</w:t>
            </w:r>
          </w:p>
        </w:tc>
        <w:tc>
          <w:tcPr>
            <w:tcW w:w="22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(79)</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98"/>
              </w:rPr>
              <w:t>105,034</w:t>
            </w:r>
          </w:p>
        </w:tc>
        <w:tc>
          <w:tcPr>
            <w:tcW w:w="20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92,976</w:t>
            </w:r>
          </w:p>
        </w:tc>
        <w:tc>
          <w:tcPr>
            <w:tcW w:w="2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455</w:t>
            </w:r>
          </w:p>
        </w:tc>
        <w:tc>
          <w:tcPr>
            <w:tcW w:w="2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8,133</w:t>
            </w:r>
          </w:p>
        </w:tc>
        <w:tc>
          <w:tcPr>
            <w:tcW w:w="2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(147)</w:t>
            </w:r>
          </w:p>
        </w:tc>
        <w:tc>
          <w:tcPr>
            <w:tcW w:w="2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101,417</w:t>
            </w:r>
          </w:p>
        </w:tc>
      </w:tr>
      <w:tr>
        <w:trPr>
          <w:trHeight w:val="244"/>
        </w:trPr>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(534)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1,336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3"/>
          </w:tcPr>
          <w:p>
            <w:pPr>
              <w:jc w:val="right"/>
              <w:ind w:right="4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3,616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6,150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(455)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766</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6,456</w:t>
            </w:r>
          </w:p>
        </w:tc>
      </w:tr>
      <w:tr>
        <w:trPr>
          <w:trHeight w:val="270"/>
        </w:trPr>
        <w:tc>
          <w:tcPr>
            <w:tcW w:w="160" w:type="dxa"/>
            <w:vAlign w:val="bottom"/>
          </w:tcPr>
          <w:p>
            <w:pPr>
              <w:spacing w:after="0"/>
              <w:rPr>
                <w:sz w:val="23"/>
                <w:szCs w:val="23"/>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3"/>
                <w:szCs w:val="23"/>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470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435</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660" w:type="dxa"/>
            <w:vAlign w:val="bottom"/>
          </w:tcPr>
          <w:p>
            <w:pPr>
              <w:jc w:val="right"/>
              <w:ind w:right="68"/>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430</w:t>
            </w:r>
          </w:p>
        </w:tc>
      </w:tr>
      <w:tr>
        <w:trPr>
          <w:trHeight w:val="324"/>
        </w:trPr>
        <w:tc>
          <w:tcPr>
            <w:tcW w:w="160" w:type="dxa"/>
            <w:vAlign w:val="bottom"/>
          </w:tcPr>
          <w:p>
            <w:pPr>
              <w:spacing w:after="0"/>
              <w:rPr>
                <w:sz w:val="24"/>
                <w:szCs w:val="24"/>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960" w:type="dxa"/>
            <w:vAlign w:val="bottom"/>
            <w:gridSpan w:val="3"/>
          </w:tcPr>
          <w:p>
            <w:pPr>
              <w:jc w:val="right"/>
              <w:ind w:right="4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2,130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1,259</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1000" w:type="dxa"/>
            <w:vAlign w:val="bottom"/>
            <w:gridSpan w:val="3"/>
          </w:tcPr>
          <w:p>
            <w:pPr>
              <w:jc w:val="right"/>
              <w:ind w:right="4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1,259</w:t>
            </w:r>
          </w:p>
        </w:tc>
      </w:tr>
      <w:tr>
        <w:trPr>
          <w:trHeight w:val="276"/>
        </w:trPr>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w:t>
            </w:r>
          </w:p>
        </w:tc>
        <w:tc>
          <w:tcPr>
            <w:tcW w:w="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1,815</w:t>
            </w: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1,456</w:t>
            </w: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1,585</w:t>
            </w:r>
          </w:p>
        </w:tc>
      </w:tr>
      <w:tr>
        <w:trPr>
          <w:trHeight w:val="298"/>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1,477</w:t>
            </w:r>
          </w:p>
        </w:tc>
        <w:tc>
          <w:tcPr>
            <w:tcW w:w="220" w:type="dxa"/>
            <w:vAlign w:val="bottom"/>
          </w:tcPr>
          <w:p>
            <w:pPr>
              <w:spacing w:after="0"/>
              <w:rPr>
                <w:sz w:val="24"/>
                <w:szCs w:val="24"/>
                <w:color w:val="auto"/>
              </w:rPr>
            </w:pPr>
          </w:p>
        </w:tc>
        <w:tc>
          <w:tcPr>
            <w:tcW w:w="32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7,091</w:t>
            </w:r>
          </w:p>
        </w:tc>
        <w:tc>
          <w:tcPr>
            <w:tcW w:w="4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8,430</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(455)</w:t>
            </w:r>
          </w:p>
        </w:tc>
        <w:tc>
          <w:tcPr>
            <w:tcW w:w="2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895</w:t>
            </w:r>
          </w:p>
        </w:tc>
        <w:tc>
          <w:tcPr>
            <w:tcW w:w="22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3"/>
          </w:tcPr>
          <w:p>
            <w:pPr>
              <w:jc w:val="right"/>
              <w:ind w:right="44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8,870</w:t>
            </w:r>
          </w:p>
        </w:tc>
      </w:tr>
      <w:tr>
        <w:trPr>
          <w:trHeight w:val="276"/>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1,085</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3,637</w:t>
            </w:r>
          </w:p>
        </w:tc>
      </w:tr>
      <w:tr>
        <w:trPr>
          <w:trHeight w:val="298"/>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6,006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5,233</w:t>
            </w:r>
          </w:p>
        </w:tc>
      </w:tr>
      <w:tr>
        <w:trPr>
          <w:trHeight w:val="330"/>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3,935</w:t>
            </w:r>
          </w:p>
        </w:tc>
      </w:tr>
      <w:tr>
        <w:trPr>
          <w:trHeight w:val="244"/>
        </w:trPr>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5,936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1,298</w:t>
            </w:r>
          </w:p>
        </w:tc>
      </w:tr>
      <w:tr>
        <w:trPr>
          <w:trHeight w:val="330"/>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291"/>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gridSpan w:val="2"/>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5,970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1,287</w:t>
            </w:r>
          </w:p>
        </w:tc>
      </w:tr>
      <w:tr>
        <w:trPr>
          <w:trHeight w:val="20"/>
        </w:trPr>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542"/>
        </w:trPr>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5,910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28"/>
              <w:spacing w:after="0"/>
              <w:rPr>
                <w:sz w:val="20"/>
                <w:szCs w:val="20"/>
                <w:color w:val="auto"/>
              </w:rPr>
            </w:pPr>
            <w:r>
              <w:rPr>
                <w:rFonts w:ascii="Arial" w:cs="Arial" w:eastAsia="Arial" w:hAnsi="Arial"/>
                <w:sz w:val="14"/>
                <w:szCs w:val="14"/>
                <w:color w:val="auto"/>
              </w:rPr>
              <w:t>1,285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-2924810</wp:posOffset>
            </wp:positionV>
            <wp:extent cx="724662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-2461260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-2118360</wp:posOffset>
            </wp:positionV>
            <wp:extent cx="7246620" cy="2057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-1741170</wp:posOffset>
            </wp:positionV>
            <wp:extent cx="7246620" cy="2057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-1363980</wp:posOffset>
            </wp:positionV>
            <wp:extent cx="72466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-952500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-574675</wp:posOffset>
            </wp:positionV>
            <wp:extent cx="7246620"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-197485</wp:posOffset>
            </wp:positionV>
            <wp:extent cx="724662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2660" w:space="220"/>
            <w:col w:w="8540"/>
          </w:cols>
          <w:pgMar w:left="240" w:top="337" w:right="239" w:bottom="39" w:gutter="0" w:footer="0" w:header="0"/>
          <w:type w:val="continuous"/>
        </w:sectPr>
      </w:pPr>
    </w:p>
    <w:p>
      <w:pPr>
        <w:spacing w:after="0" w:line="34"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337" w:right="239" w:bottom="39"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Basic and Diluted Earnings per Share</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basic and diluted earnings (loss) per share (in millions, except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3"/>
                <w:szCs w:val="13"/>
                <w:b w:val="1"/>
                <w:bCs w:val="1"/>
                <w:color w:val="auto"/>
              </w:rPr>
              <w:t>Three Months Ended</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3"/>
                <w:szCs w:val="13"/>
                <w:b w:val="1"/>
                <w:bCs w:val="1"/>
                <w:color w:val="auto"/>
              </w:rPr>
              <w:t>Nine Months Ended</w:t>
            </w:r>
          </w:p>
        </w:tc>
        <w:tc>
          <w:tcPr>
            <w:tcW w:w="660" w:type="dxa"/>
            <w:vAlign w:val="bottom"/>
            <w:tcBorders>
              <w:bottom w:val="single" w:sz="8" w:color="auto"/>
            </w:tcBorders>
          </w:tcPr>
          <w:p>
            <w:pPr>
              <w:spacing w:after="0"/>
              <w:rPr>
                <w:sz w:val="15"/>
                <w:szCs w:val="15"/>
                <w:color w:val="auto"/>
              </w:rPr>
            </w:pPr>
          </w:p>
        </w:tc>
      </w:tr>
      <w:tr>
        <w:trPr>
          <w:trHeight w:val="183"/>
        </w:trPr>
        <w:tc>
          <w:tcPr>
            <w:tcW w:w="5620" w:type="dxa"/>
            <w:vAlign w:val="bottom"/>
          </w:tcPr>
          <w:p>
            <w:pPr>
              <w:spacing w:after="0"/>
              <w:rPr>
                <w:sz w:val="15"/>
                <w:szCs w:val="15"/>
                <w:color w:val="auto"/>
              </w:rPr>
            </w:pPr>
          </w:p>
        </w:tc>
        <w:tc>
          <w:tcPr>
            <w:tcW w:w="150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2018</w:t>
            </w:r>
          </w:p>
        </w:tc>
        <w:tc>
          <w:tcPr>
            <w:tcW w:w="1460" w:type="dxa"/>
            <w:vAlign w:val="bottom"/>
            <w:gridSpan w:val="3"/>
          </w:tcPr>
          <w:p>
            <w:pPr>
              <w:ind w:left="80"/>
              <w:spacing w:after="0"/>
              <w:rPr>
                <w:sz w:val="20"/>
                <w:szCs w:val="20"/>
                <w:color w:val="auto"/>
              </w:rPr>
            </w:pPr>
            <w:r>
              <w:rPr>
                <w:rFonts w:ascii="Arial" w:cs="Arial" w:eastAsia="Arial" w:hAnsi="Arial"/>
                <w:sz w:val="13"/>
                <w:szCs w:val="13"/>
                <w:b w:val="1"/>
                <w:bCs w:val="1"/>
                <w:color w:val="auto"/>
              </w:rPr>
              <w:t>September 30, 2017</w:t>
            </w:r>
          </w:p>
        </w:tc>
        <w:tc>
          <w:tcPr>
            <w:tcW w:w="1480" w:type="dxa"/>
            <w:vAlign w:val="bottom"/>
            <w:gridSpan w:val="3"/>
          </w:tcPr>
          <w:p>
            <w:pPr>
              <w:ind w:left="100"/>
              <w:spacing w:after="0"/>
              <w:rPr>
                <w:sz w:val="20"/>
                <w:szCs w:val="20"/>
                <w:color w:val="auto"/>
              </w:rPr>
            </w:pPr>
            <w:r>
              <w:rPr>
                <w:rFonts w:ascii="Arial" w:cs="Arial" w:eastAsia="Arial" w:hAnsi="Arial"/>
                <w:sz w:val="13"/>
                <w:szCs w:val="13"/>
                <w:b w:val="1"/>
                <w:bCs w:val="1"/>
                <w:color w:val="auto"/>
              </w:rPr>
              <w:t>September 30, 2018</w:t>
            </w:r>
          </w:p>
        </w:tc>
        <w:tc>
          <w:tcPr>
            <w:tcW w:w="1360" w:type="dxa"/>
            <w:vAlign w:val="bottom"/>
            <w:gridSpan w:val="2"/>
          </w:tcPr>
          <w:p>
            <w:pPr>
              <w:jc w:val="right"/>
              <w:ind w:right="19"/>
              <w:spacing w:after="0"/>
              <w:rPr>
                <w:sz w:val="20"/>
                <w:szCs w:val="20"/>
                <w:color w:val="auto"/>
              </w:rPr>
            </w:pPr>
            <w:r>
              <w:rPr>
                <w:rFonts w:ascii="Arial" w:cs="Arial" w:eastAsia="Arial" w:hAnsi="Arial"/>
                <w:sz w:val="13"/>
                <w:szCs w:val="13"/>
                <w:b w:val="1"/>
                <w:bCs w:val="1"/>
                <w:color w:val="auto"/>
              </w:rPr>
              <w:t>September 30, 2017</w:t>
            </w:r>
          </w:p>
        </w:tc>
      </w:tr>
      <w:tr>
        <w:trPr>
          <w:trHeight w:val="237"/>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Basic earnings per share</w:t>
            </w: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r>
      <w:tr>
        <w:trPr>
          <w:trHeight w:val="249"/>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continuing operations(a)</w:t>
            </w:r>
          </w:p>
        </w:tc>
        <w:tc>
          <w:tcPr>
            <w:tcW w:w="460" w:type="dxa"/>
            <w:vAlign w:val="bottom"/>
            <w:shd w:val="clear" w:color="auto" w:fill="CCEEFF"/>
          </w:tcPr>
          <w:p>
            <w:pPr>
              <w:jc w:val="right"/>
              <w:ind w:right="285"/>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2,534</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85"/>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6,040</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505"/>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5,222</w:t>
            </w:r>
          </w:p>
        </w:tc>
      </w:tr>
      <w:tr>
        <w:trPr>
          <w:trHeight w:val="23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cumulative dividends on subsidiary preferred stock</w:t>
            </w:r>
          </w:p>
        </w:tc>
        <w:tc>
          <w:tcPr>
            <w:tcW w:w="4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56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Income from continuing operations attributable to common stockholders</w:t>
            </w: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2,503</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113</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5,980</w:t>
            </w: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5,220</w:t>
            </w:r>
          </w:p>
        </w:tc>
      </w:tr>
      <w:tr>
        <w:trPr>
          <w:trHeight w:val="237"/>
        </w:trPr>
        <w:tc>
          <w:tcPr>
            <w:tcW w:w="5620" w:type="dxa"/>
            <w:vAlign w:val="bottom"/>
          </w:tcPr>
          <w:p>
            <w:pPr>
              <w:ind w:left="180"/>
              <w:spacing w:after="0"/>
              <w:rPr>
                <w:sz w:val="20"/>
                <w:szCs w:val="20"/>
                <w:color w:val="auto"/>
              </w:rPr>
            </w:pPr>
            <w:r>
              <w:rPr>
                <w:rFonts w:ascii="Arial" w:cs="Arial" w:eastAsia="Arial" w:hAnsi="Arial"/>
                <w:sz w:val="14"/>
                <w:szCs w:val="14"/>
                <w:color w:val="auto"/>
              </w:rPr>
              <w:t>Loss from discontinued operations, net of tax</w:t>
            </w:r>
          </w:p>
        </w:tc>
        <w:tc>
          <w:tcPr>
            <w:tcW w:w="4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tcPr>
          <w:p>
            <w:pPr>
              <w:spacing w:after="0"/>
              <w:rPr>
                <w:sz w:val="20"/>
                <w:szCs w:val="20"/>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3,096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22"/>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3,935</w:t>
            </w:r>
          </w:p>
        </w:tc>
      </w:tr>
      <w:tr>
        <w:trPr>
          <w:trHeight w:val="243"/>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Net income (loss) attributable to common stockholders</w:t>
            </w:r>
          </w:p>
        </w:tc>
        <w:tc>
          <w:tcPr>
            <w:tcW w:w="46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2,503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5,910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505"/>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1,285</w:t>
            </w:r>
          </w:p>
        </w:tc>
      </w:tr>
      <w:tr>
        <w:trPr>
          <w:trHeight w:val="20"/>
        </w:trPr>
        <w:tc>
          <w:tcPr>
            <w:tcW w:w="5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466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p>
      <w:pPr>
        <w:spacing w:after="0" w:line="32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Weighted-average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75"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4"/>
          <w:szCs w:val="14"/>
          <w:color w:val="auto"/>
        </w:rPr>
        <w:t>Basic earnings per common share – continuing operations</w:t>
      </w:r>
      <w:r>
        <w:rPr>
          <w:sz w:val="20"/>
          <w:szCs w:val="20"/>
          <w:color w:val="auto"/>
        </w:rPr>
        <w:tab/>
      </w:r>
      <w:r>
        <w:rPr>
          <w:rFonts w:ascii="Arial" w:cs="Arial" w:eastAsia="Arial" w:hAnsi="Arial"/>
          <w:sz w:val="14"/>
          <w:szCs w:val="14"/>
          <w:color w:val="auto"/>
        </w:rPr>
        <w:t>$</w:t>
      </w:r>
    </w:p>
    <w:p>
      <w:pPr>
        <w:spacing w:after="0" w:line="82"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4"/>
          <w:szCs w:val="14"/>
          <w:color w:val="auto"/>
        </w:rPr>
        <w:t>Basic loss per common share – discontinued operations</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4"/>
          <w:szCs w:val="14"/>
          <w:color w:val="auto"/>
        </w:rPr>
        <w:t>Basic earnings (loss) per common share</w:t>
      </w:r>
      <w:r>
        <w:rPr>
          <w:sz w:val="20"/>
          <w:szCs w:val="20"/>
          <w:color w:val="auto"/>
        </w:rPr>
        <w:tab/>
      </w:r>
      <w:r>
        <w:rPr>
          <w:rFonts w:ascii="Arial" w:cs="Arial" w:eastAsia="Arial" w:hAnsi="Arial"/>
          <w:sz w:val="14"/>
          <w:szCs w:val="14"/>
          <w:color w:val="auto"/>
        </w:rPr>
        <w:t>$</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50"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4"/>
          <w:szCs w:val="14"/>
          <w:color w:val="auto"/>
        </w:rPr>
        <w:t>Income from continuing operations attributable to common stockholders – diluted(a)</w:t>
      </w:r>
      <w:r>
        <w:rPr>
          <w:sz w:val="20"/>
          <w:szCs w:val="20"/>
          <w:color w:val="auto"/>
        </w:rPr>
        <w:tab/>
      </w:r>
      <w:r>
        <w:rPr>
          <w:rFonts w:ascii="Arial" w:cs="Arial" w:eastAsia="Arial" w:hAnsi="Arial"/>
          <w:sz w:val="14"/>
          <w:szCs w:val="14"/>
          <w:color w:val="auto"/>
        </w:rPr>
        <w:t>$</w:t>
      </w:r>
    </w:p>
    <w:p>
      <w:pPr>
        <w:spacing w:after="0" w:line="82"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4"/>
          <w:szCs w:val="14"/>
          <w:color w:val="auto"/>
        </w:rPr>
        <w:t>Loss from discontinued operations, net of tax – 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2466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62" w:lineRule="exact"/>
        <w:rPr>
          <w:sz w:val="20"/>
          <w:szCs w:val="20"/>
          <w:color w:val="auto"/>
        </w:rPr>
      </w:pPr>
    </w:p>
    <w:p>
      <w:pPr>
        <w:ind w:left="180"/>
        <w:spacing w:after="0"/>
        <w:tabs>
          <w:tab w:leader="none" w:pos="5620" w:val="left"/>
        </w:tabs>
        <w:rPr>
          <w:sz w:val="20"/>
          <w:szCs w:val="20"/>
          <w:color w:val="auto"/>
        </w:rPr>
      </w:pPr>
      <w:r>
        <w:rPr>
          <w:rFonts w:ascii="Arial" w:cs="Arial" w:eastAsia="Arial" w:hAnsi="Arial"/>
          <w:sz w:val="14"/>
          <w:szCs w:val="14"/>
          <w:color w:val="auto"/>
        </w:rPr>
        <w:t>Net income (loss) attributable to common stockholders – diluted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1,412</w:t>
            </w:r>
          </w:p>
        </w:tc>
        <w:tc>
          <w:tcPr>
            <w:tcW w:w="540" w:type="dxa"/>
            <w:vAlign w:val="bottom"/>
          </w:tcPr>
          <w:p>
            <w:pPr>
              <w:spacing w:after="0"/>
              <w:rPr>
                <w:sz w:val="16"/>
                <w:szCs w:val="16"/>
                <w:color w:val="auto"/>
              </w:rPr>
            </w:pP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1,445</w:t>
            </w:r>
          </w:p>
        </w:tc>
        <w:tc>
          <w:tcPr>
            <w:tcW w:w="540" w:type="dxa"/>
            <w:vAlign w:val="bottom"/>
          </w:tcPr>
          <w:p>
            <w:pPr>
              <w:spacing w:after="0"/>
              <w:rPr>
                <w:sz w:val="16"/>
                <w:szCs w:val="16"/>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1,410</w:t>
            </w:r>
          </w:p>
        </w:tc>
        <w:tc>
          <w:tcPr>
            <w:tcW w:w="5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1,483</w:t>
            </w:r>
          </w:p>
        </w:tc>
      </w:tr>
      <w:tr>
        <w:trPr>
          <w:trHeight w:val="486"/>
        </w:trPr>
        <w:tc>
          <w:tcPr>
            <w:tcW w:w="52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0.08</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4.24</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3.52</w:t>
            </w:r>
          </w:p>
        </w:tc>
      </w:tr>
      <w:tr>
        <w:trPr>
          <w:trHeight w:val="243"/>
        </w:trPr>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2.14</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2.65</w:t>
            </w:r>
          </w:p>
        </w:tc>
      </w:tr>
      <w:tr>
        <w:trPr>
          <w:trHeight w:val="243"/>
        </w:trPr>
        <w:tc>
          <w:tcPr>
            <w:tcW w:w="520" w:type="dxa"/>
            <w:vAlign w:val="bottom"/>
          </w:tcPr>
          <w:p>
            <w:pPr>
              <w:jc w:val="right"/>
              <w:ind w:right="39"/>
              <w:spacing w:after="0"/>
              <w:rPr>
                <w:sz w:val="20"/>
                <w:szCs w:val="20"/>
                <w:color w:val="auto"/>
              </w:rPr>
            </w:pPr>
            <w:r>
              <w:rPr>
                <w:rFonts w:ascii="Arial" w:cs="Arial" w:eastAsia="Arial" w:hAnsi="Arial"/>
                <w:sz w:val="16"/>
                <w:szCs w:val="16"/>
                <w:color w:val="auto"/>
              </w:rPr>
              <w:t>1.77</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4.19</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0.87</w:t>
            </w:r>
          </w:p>
        </w:tc>
      </w:tr>
      <w:tr>
        <w:trPr>
          <w:trHeight w:val="486"/>
        </w:trPr>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2,503</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113</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5,980</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5,220</w:t>
            </w:r>
          </w:p>
        </w:tc>
      </w:tr>
      <w:tr>
        <w:trPr>
          <w:trHeight w:val="243"/>
        </w:trPr>
        <w:tc>
          <w:tcPr>
            <w:tcW w:w="5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79"/>
              <w:spacing w:after="0"/>
              <w:rPr>
                <w:sz w:val="20"/>
                <w:szCs w:val="20"/>
                <w:color w:val="auto"/>
              </w:rPr>
            </w:pPr>
            <w:r>
              <w:rPr>
                <w:rFonts w:ascii="Arial" w:cs="Arial" w:eastAsia="Arial" w:hAnsi="Arial"/>
                <w:sz w:val="16"/>
                <w:szCs w:val="16"/>
                <w:color w:val="auto"/>
              </w:rPr>
              <w:t>3,096</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3,935</w:t>
            </w:r>
          </w:p>
        </w:tc>
      </w:tr>
      <w:tr>
        <w:trPr>
          <w:trHeight w:val="243"/>
        </w:trPr>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2,503</w:t>
            </w:r>
          </w:p>
        </w:tc>
        <w:tc>
          <w:tcPr>
            <w:tcW w:w="54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(2,983)</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5,910</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1,285</w:t>
            </w:r>
          </w:p>
        </w:tc>
      </w:tr>
    </w:tbl>
    <w:p>
      <w:pPr>
        <w:spacing w:after="0" w:line="200" w:lineRule="exact"/>
        <w:rPr>
          <w:sz w:val="20"/>
          <w:szCs w:val="20"/>
          <w:color w:val="auto"/>
        </w:rPr>
      </w:pPr>
    </w:p>
    <w:p>
      <w:pPr>
        <w:sectPr>
          <w:pgSz w:w="11900" w:h="16838" w:orient="portrait"/>
          <w:cols w:equalWidth="0" w:num="2">
            <w:col w:w="5780" w:space="720"/>
            <w:col w:w="4920"/>
          </w:cols>
          <w:pgMar w:left="240" w:top="337" w:right="239" w:bottom="1440" w:gutter="0" w:footer="0" w:header="0"/>
          <w:type w:val="continuous"/>
        </w:sectPr>
      </w:pP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 – diluted</w:t>
            </w:r>
          </w:p>
        </w:tc>
        <w:tc>
          <w:tcPr>
            <w:tcW w:w="13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1,431</w:t>
            </w:r>
          </w:p>
        </w:tc>
        <w:tc>
          <w:tcPr>
            <w:tcW w:w="58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1,472</w:t>
            </w:r>
          </w:p>
        </w:tc>
        <w:tc>
          <w:tcPr>
            <w:tcW w:w="5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1,431</w:t>
            </w:r>
          </w:p>
        </w:tc>
        <w:tc>
          <w:tcPr>
            <w:tcW w:w="5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1,507</w:t>
            </w:r>
          </w:p>
        </w:tc>
      </w:tr>
      <w:tr>
        <w:trPr>
          <w:trHeight w:val="243"/>
        </w:trPr>
        <w:tc>
          <w:tcPr>
            <w:tcW w:w="48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43"/>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 earnings per common share – continuing operations</w:t>
            </w:r>
          </w:p>
        </w:tc>
        <w:tc>
          <w:tcPr>
            <w:tcW w:w="13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0.08</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3.46</w:t>
            </w:r>
          </w:p>
        </w:tc>
      </w:tr>
      <w:tr>
        <w:trPr>
          <w:trHeight w:val="237"/>
        </w:trPr>
        <w:tc>
          <w:tcPr>
            <w:tcW w:w="4800" w:type="dxa"/>
            <w:vAlign w:val="bottom"/>
          </w:tcPr>
          <w:p>
            <w:pPr>
              <w:ind w:left="180"/>
              <w:spacing w:after="0"/>
              <w:rPr>
                <w:sz w:val="20"/>
                <w:szCs w:val="20"/>
                <w:color w:val="auto"/>
              </w:rPr>
            </w:pPr>
            <w:r>
              <w:rPr>
                <w:rFonts w:ascii="Arial" w:cs="Arial" w:eastAsia="Arial" w:hAnsi="Arial"/>
                <w:sz w:val="14"/>
                <w:szCs w:val="14"/>
                <w:color w:val="auto"/>
              </w:rPr>
              <w:t>Diluted loss per common share – discontinued operations</w:t>
            </w:r>
          </w:p>
        </w:tc>
        <w:tc>
          <w:tcPr>
            <w:tcW w:w="13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2.11</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0.05</w:t>
            </w:r>
          </w:p>
        </w:tc>
        <w:tc>
          <w:tcPr>
            <w:tcW w:w="58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2.61</w:t>
            </w:r>
          </w:p>
        </w:tc>
      </w:tr>
      <w:tr>
        <w:trPr>
          <w:trHeight w:val="249"/>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Diluted earnings (loss) per common share</w:t>
            </w:r>
          </w:p>
        </w:tc>
        <w:tc>
          <w:tcPr>
            <w:tcW w:w="13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1.75</w:t>
            </w:r>
          </w:p>
        </w:tc>
        <w:tc>
          <w:tcPr>
            <w:tcW w:w="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4.13</w:t>
            </w:r>
          </w:p>
        </w:tc>
        <w:tc>
          <w:tcPr>
            <w:tcW w:w="5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0.85</w:t>
            </w:r>
          </w:p>
        </w:tc>
      </w:tr>
      <w:tr>
        <w:trPr>
          <w:trHeight w:val="231"/>
        </w:trPr>
        <w:tc>
          <w:tcPr>
            <w:tcW w:w="4800" w:type="dxa"/>
            <w:vAlign w:val="bottom"/>
          </w:tcPr>
          <w:p>
            <w:pPr>
              <w:ind w:left="180"/>
              <w:spacing w:after="0"/>
              <w:rPr>
                <w:sz w:val="20"/>
                <w:szCs w:val="20"/>
                <w:color w:val="auto"/>
              </w:rPr>
            </w:pPr>
            <w:r>
              <w:rPr>
                <w:rFonts w:ascii="Arial" w:cs="Arial" w:eastAsia="Arial" w:hAnsi="Arial"/>
                <w:sz w:val="14"/>
                <w:szCs w:val="14"/>
                <w:color w:val="auto"/>
              </w:rPr>
              <w:t>Potentially dilutive securities(b)</w:t>
            </w:r>
          </w:p>
        </w:tc>
        <w:tc>
          <w:tcPr>
            <w:tcW w:w="132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580" w:type="dxa"/>
            <w:vAlign w:val="bottom"/>
          </w:tcPr>
          <w:p>
            <w:pPr>
              <w:spacing w:after="0"/>
              <w:rPr>
                <w:sz w:val="20"/>
                <w:szCs w:val="20"/>
                <w:color w:val="auto"/>
              </w:rPr>
            </w:pP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6</w:t>
            </w:r>
          </w:p>
        </w:tc>
        <w:tc>
          <w:tcPr>
            <w:tcW w:w="540" w:type="dxa"/>
            <w:vAlign w:val="bottom"/>
          </w:tcPr>
          <w:p>
            <w:pPr>
              <w:spacing w:after="0"/>
              <w:rPr>
                <w:sz w:val="20"/>
                <w:szCs w:val="20"/>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58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 of Net (income) loss attributable to noncontrolling interests.</w:t>
      </w:r>
    </w:p>
    <w:p>
      <w:pPr>
        <w:spacing w:after="0" w:line="1" w:lineRule="exact"/>
        <w:rPr>
          <w:rFonts w:ascii="Arial" w:cs="Arial" w:eastAsia="Arial" w:hAnsi="Arial"/>
          <w:sz w:val="14"/>
          <w:szCs w:val="14"/>
          <w:color w:val="auto"/>
        </w:rPr>
      </w:pPr>
    </w:p>
    <w:p>
      <w:pPr>
        <w:ind w:left="340" w:hanging="332"/>
        <w:spacing w:after="0" w:line="258"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Potentially dilutive securities attributable to outstanding stock options and Restricted Stock Units were excluded from the computation of diluted EPS because the securities would have had an antidilutive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337"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Combining Balance Sheet Information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except per share amounts) (Unaudited)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3"/>
          </w:tcPr>
          <w:p>
            <w:pPr>
              <w:ind w:left="240"/>
              <w:spacing w:after="0"/>
              <w:rPr>
                <w:sz w:val="20"/>
                <w:szCs w:val="20"/>
                <w:color w:val="auto"/>
              </w:rPr>
            </w:pPr>
            <w:r>
              <w:rPr>
                <w:rFonts w:ascii="Arial" w:cs="Arial" w:eastAsia="Arial" w:hAnsi="Arial"/>
                <w:sz w:val="11"/>
                <w:szCs w:val="11"/>
                <w:b w:val="1"/>
                <w:bCs w:val="1"/>
                <w:color w:val="auto"/>
              </w:rPr>
              <w:t>September 30, 2018</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tcPr>
          <w:p>
            <w:pPr>
              <w:ind w:left="260"/>
              <w:spacing w:after="0"/>
              <w:rPr>
                <w:sz w:val="20"/>
                <w:szCs w:val="20"/>
                <w:color w:val="auto"/>
              </w:rPr>
            </w:pPr>
            <w:r>
              <w:rPr>
                <w:rFonts w:ascii="Arial" w:cs="Arial" w:eastAsia="Arial" w:hAnsi="Arial"/>
                <w:sz w:val="11"/>
                <w:szCs w:val="11"/>
                <w:b w:val="1"/>
                <w:bCs w:val="1"/>
                <w:color w:val="auto"/>
              </w:rPr>
              <w:t>December 31, 2017</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80" w:type="dxa"/>
            <w:vAlign w:val="bottom"/>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7"/>
        </w:trPr>
        <w:tc>
          <w:tcPr>
            <w:tcW w:w="2280" w:type="dxa"/>
            <w:vAlign w:val="bottom"/>
          </w:tcPr>
          <w:p>
            <w:pPr>
              <w:spacing w:after="0"/>
              <w:rPr>
                <w:sz w:val="22"/>
                <w:szCs w:val="22"/>
                <w:color w:val="auto"/>
              </w:rPr>
            </w:pPr>
          </w:p>
        </w:tc>
        <w:tc>
          <w:tcPr>
            <w:tcW w:w="780" w:type="dxa"/>
            <w:vAlign w:val="bottom"/>
            <w:gridSpan w:val="3"/>
          </w:tcPr>
          <w:p>
            <w:pPr>
              <w:ind w:left="80"/>
              <w:spacing w:after="0"/>
              <w:rPr>
                <w:sz w:val="20"/>
                <w:szCs w:val="20"/>
                <w:color w:val="auto"/>
              </w:rPr>
            </w:pPr>
            <w:r>
              <w:rPr>
                <w:rFonts w:ascii="Arial" w:cs="Arial" w:eastAsia="Arial" w:hAnsi="Arial"/>
                <w:sz w:val="9"/>
                <w:szCs w:val="9"/>
                <w:b w:val="1"/>
                <w:bCs w:val="1"/>
                <w:color w:val="auto"/>
              </w:rPr>
              <w:t>Automotive</w:t>
            </w:r>
          </w:p>
        </w:tc>
        <w:tc>
          <w:tcPr>
            <w:tcW w:w="640" w:type="dxa"/>
            <w:vAlign w:val="bottom"/>
            <w:gridSpan w:val="2"/>
          </w:tcPr>
          <w:p>
            <w:pPr>
              <w:ind w:left="40"/>
              <w:spacing w:after="0"/>
              <w:rPr>
                <w:sz w:val="20"/>
                <w:szCs w:val="20"/>
                <w:color w:val="auto"/>
              </w:rPr>
            </w:pPr>
            <w:r>
              <w:rPr>
                <w:rFonts w:ascii="Arial" w:cs="Arial" w:eastAsia="Arial" w:hAnsi="Arial"/>
                <w:sz w:val="9"/>
                <w:szCs w:val="9"/>
                <w:b w:val="1"/>
                <w:bCs w:val="1"/>
                <w:color w:val="auto"/>
              </w:rPr>
              <w:t>GM Cruise</w:t>
            </w:r>
          </w:p>
        </w:tc>
        <w:tc>
          <w:tcPr>
            <w:tcW w:w="10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Arial" w:cs="Arial" w:eastAsia="Arial" w:hAnsi="Arial"/>
                <w:sz w:val="9"/>
                <w:szCs w:val="9"/>
                <w:b w:val="1"/>
                <w:bCs w:val="1"/>
                <w:color w:val="auto"/>
              </w:rPr>
              <w:t>GM Financial</w:t>
            </w:r>
          </w:p>
        </w:tc>
        <w:tc>
          <w:tcPr>
            <w:tcW w:w="1460" w:type="dxa"/>
            <w:vAlign w:val="bottom"/>
            <w:gridSpan w:val="3"/>
          </w:tcPr>
          <w:p>
            <w:pPr>
              <w:ind w:left="40"/>
              <w:spacing w:after="0"/>
              <w:rPr>
                <w:sz w:val="20"/>
                <w:szCs w:val="20"/>
                <w:color w:val="auto"/>
              </w:rPr>
            </w:pPr>
            <w:r>
              <w:rPr>
                <w:rFonts w:ascii="Arial" w:cs="Arial" w:eastAsia="Arial" w:hAnsi="Arial"/>
                <w:sz w:val="9"/>
                <w:szCs w:val="9"/>
                <w:b w:val="1"/>
                <w:bCs w:val="1"/>
                <w:color w:val="auto"/>
              </w:rPr>
              <w:t>Reclassifications/Eliminations</w:t>
            </w:r>
          </w:p>
        </w:tc>
        <w:tc>
          <w:tcPr>
            <w:tcW w:w="860" w:type="dxa"/>
            <w:vAlign w:val="bottom"/>
            <w:gridSpan w:val="2"/>
          </w:tcPr>
          <w:p>
            <w:pPr>
              <w:ind w:left="160"/>
              <w:spacing w:after="0"/>
              <w:rPr>
                <w:sz w:val="20"/>
                <w:szCs w:val="20"/>
                <w:color w:val="auto"/>
              </w:rPr>
            </w:pPr>
            <w:r>
              <w:rPr>
                <w:rFonts w:ascii="Arial" w:cs="Arial" w:eastAsia="Arial" w:hAnsi="Arial"/>
                <w:sz w:val="9"/>
                <w:szCs w:val="9"/>
                <w:b w:val="1"/>
                <w:bCs w:val="1"/>
                <w:color w:val="auto"/>
              </w:rPr>
              <w:t>Combined</w:t>
            </w:r>
          </w:p>
        </w:tc>
        <w:tc>
          <w:tcPr>
            <w:tcW w:w="800" w:type="dxa"/>
            <w:vAlign w:val="bottom"/>
            <w:gridSpan w:val="2"/>
          </w:tcPr>
          <w:p>
            <w:pPr>
              <w:ind w:left="100"/>
              <w:spacing w:after="0"/>
              <w:rPr>
                <w:sz w:val="20"/>
                <w:szCs w:val="20"/>
                <w:color w:val="auto"/>
              </w:rPr>
            </w:pPr>
            <w:r>
              <w:rPr>
                <w:rFonts w:ascii="Arial" w:cs="Arial" w:eastAsia="Arial" w:hAnsi="Arial"/>
                <w:sz w:val="9"/>
                <w:szCs w:val="9"/>
                <w:b w:val="1"/>
                <w:bCs w:val="1"/>
                <w:color w:val="auto"/>
              </w:rPr>
              <w:t>Automotive</w:t>
            </w:r>
          </w:p>
        </w:tc>
        <w:tc>
          <w:tcPr>
            <w:tcW w:w="640" w:type="dxa"/>
            <w:vAlign w:val="bottom"/>
            <w:gridSpan w:val="2"/>
          </w:tcPr>
          <w:p>
            <w:pPr>
              <w:ind w:left="40"/>
              <w:spacing w:after="0"/>
              <w:rPr>
                <w:sz w:val="20"/>
                <w:szCs w:val="20"/>
                <w:color w:val="auto"/>
              </w:rPr>
            </w:pPr>
            <w:r>
              <w:rPr>
                <w:rFonts w:ascii="Arial" w:cs="Arial" w:eastAsia="Arial" w:hAnsi="Arial"/>
                <w:sz w:val="9"/>
                <w:szCs w:val="9"/>
                <w:b w:val="1"/>
                <w:bCs w:val="1"/>
                <w:color w:val="auto"/>
              </w:rPr>
              <w:t>GM Cruise</w:t>
            </w:r>
          </w:p>
        </w:tc>
        <w:tc>
          <w:tcPr>
            <w:tcW w:w="100" w:type="dxa"/>
            <w:vAlign w:val="bottom"/>
          </w:tcPr>
          <w:p>
            <w:pPr>
              <w:spacing w:after="0"/>
              <w:rPr>
                <w:sz w:val="22"/>
                <w:szCs w:val="22"/>
                <w:color w:val="auto"/>
              </w:rPr>
            </w:pPr>
          </w:p>
        </w:tc>
        <w:tc>
          <w:tcPr>
            <w:tcW w:w="760" w:type="dxa"/>
            <w:vAlign w:val="bottom"/>
            <w:gridSpan w:val="2"/>
          </w:tcPr>
          <w:p>
            <w:pPr>
              <w:spacing w:after="0"/>
              <w:rPr>
                <w:sz w:val="20"/>
                <w:szCs w:val="20"/>
                <w:color w:val="auto"/>
              </w:rPr>
            </w:pPr>
            <w:r>
              <w:rPr>
                <w:rFonts w:ascii="Arial" w:cs="Arial" w:eastAsia="Arial" w:hAnsi="Arial"/>
                <w:sz w:val="9"/>
                <w:szCs w:val="9"/>
                <w:b w:val="1"/>
                <w:bCs w:val="1"/>
                <w:color w:val="auto"/>
              </w:rPr>
              <w:t>GM Financial</w:t>
            </w:r>
          </w:p>
        </w:tc>
        <w:tc>
          <w:tcPr>
            <w:tcW w:w="1460" w:type="dxa"/>
            <w:vAlign w:val="bottom"/>
            <w:gridSpan w:val="3"/>
          </w:tcPr>
          <w:p>
            <w:pPr>
              <w:ind w:left="40"/>
              <w:spacing w:after="0"/>
              <w:rPr>
                <w:sz w:val="20"/>
                <w:szCs w:val="20"/>
                <w:color w:val="auto"/>
              </w:rPr>
            </w:pPr>
            <w:r>
              <w:rPr>
                <w:rFonts w:ascii="Arial" w:cs="Arial" w:eastAsia="Arial" w:hAnsi="Arial"/>
                <w:sz w:val="9"/>
                <w:szCs w:val="9"/>
                <w:b w:val="1"/>
                <w:bCs w:val="1"/>
                <w:color w:val="auto"/>
              </w:rPr>
              <w:t>Reclassifications/Eliminations</w:t>
            </w:r>
          </w:p>
        </w:tc>
        <w:tc>
          <w:tcPr>
            <w:tcW w:w="760" w:type="dxa"/>
            <w:vAlign w:val="bottom"/>
          </w:tcPr>
          <w:p>
            <w:pPr>
              <w:jc w:val="right"/>
              <w:ind w:right="99"/>
              <w:spacing w:after="0"/>
              <w:rPr>
                <w:sz w:val="20"/>
                <w:szCs w:val="20"/>
                <w:color w:val="auto"/>
              </w:rPr>
            </w:pPr>
            <w:r>
              <w:rPr>
                <w:rFonts w:ascii="Arial" w:cs="Arial" w:eastAsia="Arial" w:hAnsi="Arial"/>
                <w:sz w:val="9"/>
                <w:szCs w:val="9"/>
                <w:b w:val="1"/>
                <w:bCs w:val="1"/>
                <w:color w:val="auto"/>
              </w:rPr>
              <w:t>Combined</w:t>
            </w:r>
          </w:p>
        </w:tc>
        <w:tc>
          <w:tcPr>
            <w:tcW w:w="0" w:type="dxa"/>
            <w:vAlign w:val="bottom"/>
          </w:tcPr>
          <w:p>
            <w:pPr>
              <w:spacing w:after="0"/>
              <w:rPr>
                <w:sz w:val="1"/>
                <w:szCs w:val="1"/>
                <w:color w:val="auto"/>
              </w:rPr>
            </w:pPr>
          </w:p>
        </w:tc>
      </w:tr>
      <w:tr>
        <w:trPr>
          <w:trHeight w:val="160"/>
        </w:trPr>
        <w:tc>
          <w:tcPr>
            <w:tcW w:w="2280" w:type="dxa"/>
            <w:vAlign w:val="bottom"/>
          </w:tcPr>
          <w:p>
            <w:pPr>
              <w:ind w:left="900"/>
              <w:spacing w:after="0"/>
              <w:rPr>
                <w:sz w:val="20"/>
                <w:szCs w:val="20"/>
                <w:color w:val="auto"/>
              </w:rPr>
            </w:pPr>
            <w:r>
              <w:rPr>
                <w:rFonts w:ascii="Arial" w:cs="Arial" w:eastAsia="Arial" w:hAnsi="Arial"/>
                <w:sz w:val="13"/>
                <w:szCs w:val="13"/>
                <w:b w:val="1"/>
                <w:bCs w:val="1"/>
                <w:color w:val="auto"/>
              </w:rPr>
              <w:t>ASSETS</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280" w:type="dxa"/>
            <w:vAlign w:val="bottom"/>
          </w:tcPr>
          <w:p>
            <w:pPr>
              <w:ind w:left="40"/>
              <w:spacing w:after="0"/>
              <w:rPr>
                <w:sz w:val="20"/>
                <w:szCs w:val="20"/>
                <w:color w:val="auto"/>
              </w:rPr>
            </w:pPr>
            <w:r>
              <w:rPr>
                <w:rFonts w:ascii="Arial" w:cs="Arial" w:eastAsia="Arial" w:hAnsi="Arial"/>
                <w:sz w:val="13"/>
                <w:szCs w:val="13"/>
                <w:b w:val="1"/>
                <w:bCs w:val="1"/>
                <w:color w:val="auto"/>
              </w:rPr>
              <w:t>Current Assets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Cash and cash equivalents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12,066</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w w:val="96"/>
              </w:rPr>
              <w:t>$ 1,823</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4,546</w:t>
            </w: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   18,435</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  11,224</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   23</w:t>
            </w:r>
          </w:p>
        </w:tc>
        <w:tc>
          <w:tcPr>
            <w:tcW w:w="10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6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4,265</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   15,512</w:t>
            </w:r>
          </w:p>
        </w:tc>
        <w:tc>
          <w:tcPr>
            <w:tcW w:w="0" w:type="dxa"/>
            <w:vAlign w:val="bottom"/>
          </w:tcPr>
          <w:p>
            <w:pPr>
              <w:spacing w:after="0"/>
              <w:rPr>
                <w:sz w:val="1"/>
                <w:szCs w:val="1"/>
                <w:color w:val="auto"/>
              </w:rPr>
            </w:pPr>
          </w:p>
        </w:tc>
      </w:tr>
      <w:tr>
        <w:trPr>
          <w:trHeight w:val="97"/>
        </w:trPr>
        <w:tc>
          <w:tcPr>
            <w:tcW w:w="2280" w:type="dxa"/>
            <w:vAlign w:val="bottom"/>
            <w:shd w:val="clear" w:color="auto" w:fill="CCEEFF"/>
          </w:tcPr>
          <w:p>
            <w:pPr>
              <w:spacing w:after="0"/>
              <w:rPr>
                <w:sz w:val="8"/>
                <w:szCs w:val="8"/>
                <w:color w:val="auto"/>
              </w:rPr>
            </w:pPr>
          </w:p>
        </w:tc>
        <w:tc>
          <w:tcPr>
            <w:tcW w:w="140" w:type="dxa"/>
            <w:vAlign w:val="bottom"/>
            <w:vMerge w:val="continue"/>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80" w:type="dxa"/>
            <w:vAlign w:val="bottom"/>
          </w:tcPr>
          <w:p>
            <w:pPr>
              <w:ind w:left="180"/>
              <w:spacing w:after="0"/>
              <w:rPr>
                <w:sz w:val="20"/>
                <w:szCs w:val="20"/>
                <w:color w:val="auto"/>
              </w:rPr>
            </w:pPr>
            <w:r>
              <w:rPr>
                <w:rFonts w:ascii="Arial" w:cs="Arial" w:eastAsia="Arial" w:hAnsi="Arial"/>
                <w:sz w:val="13"/>
                <w:szCs w:val="13"/>
                <w:color w:val="auto"/>
              </w:rPr>
              <w:t>Marketable securities</w:t>
            </w:r>
          </w:p>
        </w:tc>
        <w:tc>
          <w:tcPr>
            <w:tcW w:w="140" w:type="dxa"/>
            <w:vAlign w:val="bottom"/>
          </w:tcPr>
          <w:p>
            <w:pPr>
              <w:spacing w:after="0"/>
              <w:rPr>
                <w:sz w:val="15"/>
                <w:szCs w:val="15"/>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5,916</w:t>
            </w:r>
          </w:p>
        </w:tc>
        <w:tc>
          <w:tcPr>
            <w:tcW w:w="100" w:type="dxa"/>
            <w:vAlign w:val="bottom"/>
          </w:tcPr>
          <w:p>
            <w:pPr>
              <w:spacing w:after="0"/>
              <w:rPr>
                <w:sz w:val="15"/>
                <w:szCs w:val="15"/>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9"/>
              <w:spacing w:after="0"/>
              <w:rPr>
                <w:sz w:val="20"/>
                <w:szCs w:val="20"/>
                <w:color w:val="auto"/>
              </w:rPr>
            </w:pPr>
            <w:r>
              <w:rPr>
                <w:rFonts w:ascii="Arial" w:cs="Arial" w:eastAsia="Arial" w:hAnsi="Arial"/>
                <w:sz w:val="13"/>
                <w:szCs w:val="13"/>
                <w:color w:val="auto"/>
              </w:rPr>
              <w:t>5,916</w:t>
            </w:r>
          </w:p>
        </w:tc>
        <w:tc>
          <w:tcPr>
            <w:tcW w:w="100" w:type="dxa"/>
            <w:vAlign w:val="bottom"/>
          </w:tcPr>
          <w:p>
            <w:pPr>
              <w:spacing w:after="0"/>
              <w:rPr>
                <w:sz w:val="15"/>
                <w:szCs w:val="15"/>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3"/>
                <w:szCs w:val="13"/>
                <w:color w:val="auto"/>
              </w:rPr>
              <w:t>8,313</w:t>
            </w:r>
          </w:p>
        </w:tc>
        <w:tc>
          <w:tcPr>
            <w:tcW w:w="120" w:type="dxa"/>
            <w:vAlign w:val="bottom"/>
          </w:tcPr>
          <w:p>
            <w:pPr>
              <w:spacing w:after="0"/>
              <w:rPr>
                <w:sz w:val="15"/>
                <w:szCs w:val="15"/>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5"/>
                <w:szCs w:val="15"/>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9"/>
              <w:spacing w:after="0"/>
              <w:rPr>
                <w:sz w:val="20"/>
                <w:szCs w:val="20"/>
                <w:color w:val="auto"/>
              </w:rPr>
            </w:pPr>
            <w:r>
              <w:rPr>
                <w:rFonts w:ascii="Arial" w:cs="Arial" w:eastAsia="Arial" w:hAnsi="Arial"/>
                <w:sz w:val="13"/>
                <w:szCs w:val="13"/>
                <w:color w:val="auto"/>
              </w:rPr>
              <w:t>8,313</w:t>
            </w:r>
          </w:p>
        </w:tc>
        <w:tc>
          <w:tcPr>
            <w:tcW w:w="0" w:type="dxa"/>
            <w:vAlign w:val="bottom"/>
          </w:tcPr>
          <w:p>
            <w:pPr>
              <w:spacing w:after="0"/>
              <w:rPr>
                <w:sz w:val="1"/>
                <w:szCs w:val="1"/>
                <w:color w:val="auto"/>
              </w:rPr>
            </w:pPr>
          </w:p>
        </w:tc>
      </w:tr>
      <w:tr>
        <w:trPr>
          <w:trHeight w:val="89"/>
        </w:trPr>
        <w:tc>
          <w:tcPr>
            <w:tcW w:w="2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4"/>
        </w:trPr>
        <w:tc>
          <w:tcPr>
            <w:tcW w:w="2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Accounts and notes receivable,</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280" w:type="dxa"/>
            <w:vAlign w:val="bottom"/>
            <w:shd w:val="clear" w:color="auto" w:fill="CCEEFF"/>
          </w:tcPr>
          <w:p>
            <w:pPr>
              <w:ind w:left="340"/>
              <w:spacing w:after="0"/>
              <w:rPr>
                <w:sz w:val="20"/>
                <w:szCs w:val="20"/>
                <w:color w:val="auto"/>
              </w:rPr>
            </w:pPr>
            <w:r>
              <w:rPr>
                <w:rFonts w:ascii="Arial" w:cs="Arial" w:eastAsia="Arial" w:hAnsi="Arial"/>
                <w:sz w:val="13"/>
                <w:szCs w:val="13"/>
                <w:color w:val="auto"/>
              </w:rPr>
              <w:t>net(a)</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9,566</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1,655</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(850)</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10,376</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7,759</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3"/>
                <w:szCs w:val="13"/>
                <w:color w:val="auto"/>
              </w:rPr>
              <w:t>806</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(401)</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39"/>
              <w:spacing w:after="0"/>
              <w:rPr>
                <w:sz w:val="20"/>
                <w:szCs w:val="20"/>
                <w:color w:val="auto"/>
              </w:rPr>
            </w:pPr>
            <w:r>
              <w:rPr>
                <w:rFonts w:ascii="Arial" w:cs="Arial" w:eastAsia="Arial" w:hAnsi="Arial"/>
                <w:sz w:val="13"/>
                <w:szCs w:val="13"/>
                <w:color w:val="auto"/>
              </w:rPr>
              <w:t>8,164</w:t>
            </w:r>
          </w:p>
        </w:tc>
        <w:tc>
          <w:tcPr>
            <w:tcW w:w="0" w:type="dxa"/>
            <w:vAlign w:val="bottom"/>
          </w:tcPr>
          <w:p>
            <w:pPr>
              <w:spacing w:after="0"/>
              <w:rPr>
                <w:sz w:val="1"/>
                <w:szCs w:val="1"/>
                <w:color w:val="auto"/>
              </w:rPr>
            </w:pPr>
          </w:p>
        </w:tc>
      </w:tr>
      <w:tr>
        <w:trPr>
          <w:trHeight w:val="173"/>
        </w:trPr>
        <w:tc>
          <w:tcPr>
            <w:tcW w:w="2280" w:type="dxa"/>
            <w:vAlign w:val="bottom"/>
          </w:tcPr>
          <w:p>
            <w:pPr>
              <w:ind w:left="180"/>
              <w:spacing w:after="0"/>
              <w:rPr>
                <w:sz w:val="20"/>
                <w:szCs w:val="20"/>
                <w:color w:val="auto"/>
              </w:rPr>
            </w:pPr>
            <w:r>
              <w:rPr>
                <w:rFonts w:ascii="Arial" w:cs="Arial" w:eastAsia="Arial" w:hAnsi="Arial"/>
                <w:sz w:val="13"/>
                <w:szCs w:val="13"/>
                <w:color w:val="auto"/>
              </w:rPr>
              <w:t>GM Financial receivables, net(b)</w:t>
            </w:r>
          </w:p>
        </w:tc>
        <w:tc>
          <w:tcPr>
            <w:tcW w:w="140" w:type="dxa"/>
            <w:vAlign w:val="bottom"/>
          </w:tcPr>
          <w:p>
            <w:pPr>
              <w:spacing w:after="0"/>
              <w:rPr>
                <w:sz w:val="15"/>
                <w:szCs w:val="15"/>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80" w:type="dxa"/>
            <w:vAlign w:val="bottom"/>
            <w:vMerge w:val="restart"/>
          </w:tcPr>
          <w:p>
            <w:pPr>
              <w:jc w:val="right"/>
              <w:ind w:right="40"/>
              <w:spacing w:after="0"/>
              <w:rPr>
                <w:sz w:val="20"/>
                <w:szCs w:val="20"/>
                <w:color w:val="auto"/>
              </w:rPr>
            </w:pPr>
            <w:r>
              <w:rPr>
                <w:rFonts w:ascii="Arial" w:cs="Arial" w:eastAsia="Arial" w:hAnsi="Arial"/>
                <w:sz w:val="13"/>
                <w:szCs w:val="13"/>
                <w:color w:val="auto"/>
              </w:rPr>
              <w:t>23,933</w:t>
            </w: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80" w:type="dxa"/>
            <w:vAlign w:val="bottom"/>
            <w:vMerge w:val="restart"/>
          </w:tcPr>
          <w:p>
            <w:pPr>
              <w:jc w:val="right"/>
              <w:ind w:right="37"/>
              <w:spacing w:after="0"/>
              <w:rPr>
                <w:sz w:val="20"/>
                <w:szCs w:val="20"/>
                <w:color w:val="auto"/>
              </w:rPr>
            </w:pPr>
            <w:r>
              <w:rPr>
                <w:rFonts w:ascii="Arial" w:cs="Arial" w:eastAsia="Arial" w:hAnsi="Arial"/>
                <w:sz w:val="13"/>
                <w:szCs w:val="13"/>
                <w:color w:val="auto"/>
              </w:rPr>
              <w:t>(501)</w:t>
            </w:r>
          </w:p>
        </w:tc>
        <w:tc>
          <w:tcPr>
            <w:tcW w:w="120" w:type="dxa"/>
            <w:vAlign w:val="bottom"/>
          </w:tcPr>
          <w:p>
            <w:pPr>
              <w:spacing w:after="0"/>
              <w:rPr>
                <w:sz w:val="15"/>
                <w:szCs w:val="15"/>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13"/>
                <w:szCs w:val="13"/>
                <w:color w:val="auto"/>
              </w:rPr>
              <w:t>23,432</w:t>
            </w:r>
          </w:p>
        </w:tc>
        <w:tc>
          <w:tcPr>
            <w:tcW w:w="10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3"/>
                <w:szCs w:val="13"/>
                <w:color w:val="auto"/>
              </w:rPr>
              <w:t>20,901</w:t>
            </w: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jc w:val="right"/>
              <w:ind w:right="37"/>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15"/>
                <w:szCs w:val="15"/>
                <w:color w:val="auto"/>
              </w:rPr>
            </w:pPr>
          </w:p>
        </w:tc>
        <w:tc>
          <w:tcPr>
            <w:tcW w:w="760" w:type="dxa"/>
            <w:vAlign w:val="bottom"/>
            <w:vMerge w:val="restart"/>
          </w:tcPr>
          <w:p>
            <w:pPr>
              <w:jc w:val="right"/>
              <w:ind w:right="39"/>
              <w:spacing w:after="0"/>
              <w:rPr>
                <w:sz w:val="20"/>
                <w:szCs w:val="20"/>
                <w:color w:val="auto"/>
              </w:rPr>
            </w:pPr>
            <w:r>
              <w:rPr>
                <w:rFonts w:ascii="Arial" w:cs="Arial" w:eastAsia="Arial" w:hAnsi="Arial"/>
                <w:sz w:val="13"/>
                <w:szCs w:val="13"/>
                <w:color w:val="auto"/>
              </w:rPr>
              <w:t>20,521</w:t>
            </w:r>
          </w:p>
        </w:tc>
        <w:tc>
          <w:tcPr>
            <w:tcW w:w="0" w:type="dxa"/>
            <w:vAlign w:val="bottom"/>
          </w:tcPr>
          <w:p>
            <w:pPr>
              <w:spacing w:after="0"/>
              <w:rPr>
                <w:sz w:val="1"/>
                <w:szCs w:val="1"/>
                <w:color w:val="auto"/>
              </w:rPr>
            </w:pPr>
          </w:p>
        </w:tc>
      </w:tr>
      <w:tr>
        <w:trPr>
          <w:trHeight w:val="89"/>
        </w:trPr>
        <w:tc>
          <w:tcPr>
            <w:tcW w:w="2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Inventories</w:t>
            </w:r>
          </w:p>
        </w:tc>
        <w:tc>
          <w:tcPr>
            <w:tcW w:w="14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11,334</w:t>
            </w:r>
          </w:p>
        </w:tc>
        <w:tc>
          <w:tcPr>
            <w:tcW w:w="10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11,334</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10,663</w:t>
            </w:r>
          </w:p>
        </w:tc>
        <w:tc>
          <w:tcPr>
            <w:tcW w:w="120" w:type="dxa"/>
            <w:vAlign w:val="bottom"/>
            <w:shd w:val="clear" w:color="auto" w:fill="CCEEFF"/>
          </w:tcPr>
          <w:p>
            <w:pPr>
              <w:spacing w:after="0"/>
              <w:rPr>
                <w:sz w:val="15"/>
                <w:szCs w:val="15"/>
                <w:color w:val="auto"/>
              </w:rPr>
            </w:pPr>
          </w:p>
        </w:tc>
        <w:tc>
          <w:tcPr>
            <w:tcW w:w="6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10,663</w:t>
            </w:r>
          </w:p>
        </w:tc>
        <w:tc>
          <w:tcPr>
            <w:tcW w:w="0" w:type="dxa"/>
            <w:vAlign w:val="bottom"/>
          </w:tcPr>
          <w:p>
            <w:pPr>
              <w:spacing w:after="0"/>
              <w:rPr>
                <w:sz w:val="1"/>
                <w:szCs w:val="1"/>
                <w:color w:val="auto"/>
              </w:rPr>
            </w:pPr>
          </w:p>
        </w:tc>
      </w:tr>
      <w:tr>
        <w:trPr>
          <w:trHeight w:val="97"/>
        </w:trPr>
        <w:tc>
          <w:tcPr>
            <w:tcW w:w="2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80" w:type="dxa"/>
            <w:vAlign w:val="bottom"/>
            <w:gridSpan w:val="2"/>
            <w:vMerge w:val="continue"/>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800" w:type="dxa"/>
            <w:vAlign w:val="bottom"/>
            <w:gridSpan w:val="2"/>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gridSpan w:val="2"/>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3"/>
        </w:trPr>
        <w:tc>
          <w:tcPr>
            <w:tcW w:w="2280" w:type="dxa"/>
            <w:vAlign w:val="bottom"/>
          </w:tcPr>
          <w:p>
            <w:pPr>
              <w:ind w:left="180"/>
              <w:spacing w:after="0"/>
              <w:rPr>
                <w:sz w:val="20"/>
                <w:szCs w:val="20"/>
                <w:color w:val="auto"/>
              </w:rPr>
            </w:pPr>
            <w:r>
              <w:rPr>
                <w:rFonts w:ascii="Arial" w:cs="Arial" w:eastAsia="Arial" w:hAnsi="Arial"/>
                <w:sz w:val="13"/>
                <w:szCs w:val="13"/>
                <w:color w:val="auto"/>
              </w:rPr>
              <w:t>Equipment on operating leases, net</w:t>
            </w:r>
          </w:p>
        </w:tc>
        <w:tc>
          <w:tcPr>
            <w:tcW w:w="140" w:type="dxa"/>
            <w:vAlign w:val="bottom"/>
          </w:tcPr>
          <w:p>
            <w:pPr>
              <w:spacing w:after="0"/>
              <w:rPr>
                <w:sz w:val="15"/>
                <w:szCs w:val="15"/>
                <w:color w:val="auto"/>
              </w:rPr>
            </w:pPr>
          </w:p>
        </w:tc>
        <w:tc>
          <w:tcPr>
            <w:tcW w:w="540" w:type="dxa"/>
            <w:vAlign w:val="bottom"/>
            <w:vMerge w:val="restart"/>
          </w:tcPr>
          <w:p>
            <w:pPr>
              <w:jc w:val="right"/>
              <w:ind w:right="57"/>
              <w:spacing w:after="0"/>
              <w:rPr>
                <w:sz w:val="20"/>
                <w:szCs w:val="20"/>
                <w:color w:val="auto"/>
              </w:rPr>
            </w:pPr>
            <w:r>
              <w:rPr>
                <w:rFonts w:ascii="Arial" w:cs="Arial" w:eastAsia="Arial" w:hAnsi="Arial"/>
                <w:sz w:val="13"/>
                <w:szCs w:val="13"/>
                <w:color w:val="auto"/>
              </w:rPr>
              <w:t>474</w:t>
            </w:r>
          </w:p>
        </w:tc>
        <w:tc>
          <w:tcPr>
            <w:tcW w:w="100" w:type="dxa"/>
            <w:vAlign w:val="bottom"/>
          </w:tcPr>
          <w:p>
            <w:pPr>
              <w:spacing w:after="0"/>
              <w:rPr>
                <w:sz w:val="15"/>
                <w:szCs w:val="15"/>
                <w:color w:val="auto"/>
              </w:rPr>
            </w:pPr>
          </w:p>
        </w:tc>
        <w:tc>
          <w:tcPr>
            <w:tcW w:w="6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660" w:type="dxa"/>
            <w:vAlign w:val="bottom"/>
          </w:tcPr>
          <w:p>
            <w:pPr>
              <w:spacing w:after="0"/>
              <w:rPr>
                <w:sz w:val="15"/>
                <w:szCs w:val="15"/>
                <w:color w:val="auto"/>
              </w:rPr>
            </w:pPr>
          </w:p>
        </w:tc>
        <w:tc>
          <w:tcPr>
            <w:tcW w:w="8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9"/>
              <w:spacing w:after="0"/>
              <w:rPr>
                <w:sz w:val="20"/>
                <w:szCs w:val="20"/>
                <w:color w:val="auto"/>
              </w:rPr>
            </w:pPr>
            <w:r>
              <w:rPr>
                <w:rFonts w:ascii="Arial" w:cs="Arial" w:eastAsia="Arial" w:hAnsi="Arial"/>
                <w:sz w:val="13"/>
                <w:szCs w:val="13"/>
                <w:color w:val="auto"/>
              </w:rPr>
              <w:t>474</w:t>
            </w:r>
          </w:p>
        </w:tc>
        <w:tc>
          <w:tcPr>
            <w:tcW w:w="100" w:type="dxa"/>
            <w:vAlign w:val="bottom"/>
          </w:tcPr>
          <w:p>
            <w:pPr>
              <w:spacing w:after="0"/>
              <w:rPr>
                <w:sz w:val="15"/>
                <w:szCs w:val="15"/>
                <w:color w:val="auto"/>
              </w:rPr>
            </w:pPr>
          </w:p>
        </w:tc>
        <w:tc>
          <w:tcPr>
            <w:tcW w:w="680" w:type="dxa"/>
            <w:vAlign w:val="bottom"/>
            <w:vMerge w:val="restart"/>
          </w:tcPr>
          <w:p>
            <w:pPr>
              <w:jc w:val="right"/>
              <w:ind w:right="39"/>
              <w:spacing w:after="0"/>
              <w:rPr>
                <w:sz w:val="20"/>
                <w:szCs w:val="20"/>
                <w:color w:val="auto"/>
              </w:rPr>
            </w:pPr>
            <w:r>
              <w:rPr>
                <w:rFonts w:ascii="Arial" w:cs="Arial" w:eastAsia="Arial" w:hAnsi="Arial"/>
                <w:sz w:val="13"/>
                <w:szCs w:val="13"/>
                <w:color w:val="auto"/>
              </w:rPr>
              <w:t>1,106</w:t>
            </w:r>
          </w:p>
        </w:tc>
        <w:tc>
          <w:tcPr>
            <w:tcW w:w="120" w:type="dxa"/>
            <w:vAlign w:val="bottom"/>
          </w:tcPr>
          <w:p>
            <w:pPr>
              <w:spacing w:after="0"/>
              <w:rPr>
                <w:sz w:val="15"/>
                <w:szCs w:val="15"/>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700" w:type="dxa"/>
            <w:vAlign w:val="bottom"/>
          </w:tcPr>
          <w:p>
            <w:pPr>
              <w:spacing w:after="0"/>
              <w:rPr>
                <w:sz w:val="15"/>
                <w:szCs w:val="15"/>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ind w:right="39"/>
              <w:spacing w:after="0"/>
              <w:rPr>
                <w:sz w:val="20"/>
                <w:szCs w:val="20"/>
                <w:color w:val="auto"/>
              </w:rPr>
            </w:pPr>
            <w:r>
              <w:rPr>
                <w:rFonts w:ascii="Arial" w:cs="Arial" w:eastAsia="Arial" w:hAnsi="Arial"/>
                <w:sz w:val="13"/>
                <w:szCs w:val="13"/>
                <w:color w:val="auto"/>
              </w:rPr>
              <w:t>1,106</w:t>
            </w:r>
          </w:p>
        </w:tc>
        <w:tc>
          <w:tcPr>
            <w:tcW w:w="0" w:type="dxa"/>
            <w:vAlign w:val="bottom"/>
          </w:tcPr>
          <w:p>
            <w:pPr>
              <w:spacing w:after="0"/>
              <w:rPr>
                <w:sz w:val="1"/>
                <w:szCs w:val="1"/>
                <w:color w:val="auto"/>
              </w:rPr>
            </w:pPr>
          </w:p>
        </w:tc>
      </w:tr>
      <w:tr>
        <w:trPr>
          <w:trHeight w:val="89"/>
        </w:trPr>
        <w:tc>
          <w:tcPr>
            <w:tcW w:w="2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current assets</w:t>
            </w:r>
          </w:p>
        </w:tc>
        <w:tc>
          <w:tcPr>
            <w:tcW w:w="14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1,595</w:t>
            </w:r>
          </w:p>
        </w:tc>
        <w:tc>
          <w:tcPr>
            <w:tcW w:w="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3,279</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4,881</w:t>
            </w:r>
          </w:p>
        </w:tc>
        <w:tc>
          <w:tcPr>
            <w:tcW w:w="1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1,394</w:t>
            </w:r>
          </w:p>
        </w:tc>
        <w:tc>
          <w:tcPr>
            <w:tcW w:w="12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ind w:right="59"/>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ind w:right="60"/>
              <w:spacing w:after="0"/>
              <w:rPr>
                <w:sz w:val="20"/>
                <w:szCs w:val="20"/>
                <w:color w:val="auto"/>
              </w:rPr>
            </w:pPr>
            <w:r>
              <w:rPr>
                <w:rFonts w:ascii="Arial" w:cs="Arial" w:eastAsia="Arial" w:hAnsi="Arial"/>
                <w:sz w:val="13"/>
                <w:szCs w:val="13"/>
                <w:color w:val="auto"/>
              </w:rPr>
              <w:t>3,069</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7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CEEFF"/>
          </w:tcPr>
          <w:p>
            <w:pPr>
              <w:jc w:val="right"/>
              <w:ind w:right="39"/>
              <w:spacing w:after="0"/>
              <w:rPr>
                <w:sz w:val="20"/>
                <w:szCs w:val="20"/>
                <w:color w:val="auto"/>
              </w:rPr>
            </w:pPr>
            <w:r>
              <w:rPr>
                <w:rFonts w:ascii="Arial" w:cs="Arial" w:eastAsia="Arial" w:hAnsi="Arial"/>
                <w:sz w:val="13"/>
                <w:szCs w:val="13"/>
                <w:color w:val="auto"/>
              </w:rPr>
              <w:t>4,465</w:t>
            </w:r>
          </w:p>
        </w:tc>
        <w:tc>
          <w:tcPr>
            <w:tcW w:w="0" w:type="dxa"/>
            <w:vAlign w:val="bottom"/>
          </w:tcPr>
          <w:p>
            <w:pPr>
              <w:spacing w:after="0"/>
              <w:rPr>
                <w:sz w:val="1"/>
                <w:szCs w:val="1"/>
                <w:color w:val="auto"/>
              </w:rPr>
            </w:pPr>
          </w:p>
        </w:tc>
      </w:tr>
      <w:tr>
        <w:trPr>
          <w:trHeight w:val="97"/>
        </w:trPr>
        <w:tc>
          <w:tcPr>
            <w:tcW w:w="22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vMerge w:val="continue"/>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60" w:type="dxa"/>
            <w:vAlign w:val="bottom"/>
            <w:gridSpan w:val="2"/>
            <w:vMerge w:val="continue"/>
            <w:shd w:val="clear" w:color="auto" w:fill="CCEEFF"/>
          </w:tcPr>
          <w:p>
            <w:pPr>
              <w:spacing w:after="0"/>
              <w:rPr>
                <w:sz w:val="8"/>
                <w:szCs w:val="8"/>
                <w:color w:val="auto"/>
              </w:rPr>
            </w:pPr>
          </w:p>
        </w:tc>
        <w:tc>
          <w:tcPr>
            <w:tcW w:w="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280" w:type="dxa"/>
            <w:vAlign w:val="bottom"/>
          </w:tcPr>
          <w:p>
            <w:pPr>
              <w:ind w:left="180"/>
              <w:spacing w:after="0"/>
              <w:rPr>
                <w:sz w:val="20"/>
                <w:szCs w:val="20"/>
                <w:color w:val="auto"/>
              </w:rPr>
            </w:pPr>
            <w:r>
              <w:rPr>
                <w:rFonts w:ascii="Arial" w:cs="Arial" w:eastAsia="Arial" w:hAnsi="Arial"/>
                <w:sz w:val="13"/>
                <w:szCs w:val="13"/>
                <w:color w:val="auto"/>
              </w:rPr>
              <w:t>Total current assets</w:t>
            </w: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40,951</w:t>
            </w:r>
          </w:p>
        </w:tc>
        <w:tc>
          <w:tcPr>
            <w:tcW w:w="100" w:type="dxa"/>
            <w:vAlign w:val="bottom"/>
          </w:tcPr>
          <w:p>
            <w:pPr>
              <w:spacing w:after="0"/>
              <w:rPr>
                <w:sz w:val="13"/>
                <w:szCs w:val="13"/>
                <w:color w:val="auto"/>
              </w:rPr>
            </w:pPr>
          </w:p>
        </w:tc>
        <w:tc>
          <w:tcPr>
            <w:tcW w:w="5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3"/>
                <w:szCs w:val="13"/>
                <w:color w:val="auto"/>
              </w:rPr>
              <w:t>1,833</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3"/>
                <w:szCs w:val="13"/>
                <w:color w:val="auto"/>
              </w:rPr>
              <w:t>33,413</w:t>
            </w:r>
          </w:p>
        </w:tc>
        <w:tc>
          <w:tcPr>
            <w:tcW w:w="10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(1,349)</w:t>
            </w:r>
          </w:p>
        </w:tc>
        <w:tc>
          <w:tcPr>
            <w:tcW w:w="12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3"/>
                <w:szCs w:val="13"/>
                <w:color w:val="auto"/>
              </w:rPr>
              <w:t>74,848</w:t>
            </w:r>
          </w:p>
        </w:tc>
        <w:tc>
          <w:tcPr>
            <w:tcW w:w="100" w:type="dxa"/>
            <w:vAlign w:val="bottom"/>
          </w:tcPr>
          <w:p>
            <w:pPr>
              <w:spacing w:after="0"/>
              <w:rPr>
                <w:sz w:val="13"/>
                <w:szCs w:val="13"/>
                <w:color w:val="auto"/>
              </w:rPr>
            </w:pPr>
          </w:p>
        </w:tc>
        <w:tc>
          <w:tcPr>
            <w:tcW w:w="6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3"/>
                <w:szCs w:val="13"/>
                <w:color w:val="auto"/>
              </w:rPr>
              <w:t>40,459</w:t>
            </w:r>
          </w:p>
        </w:tc>
        <w:tc>
          <w:tcPr>
            <w:tcW w:w="120" w:type="dxa"/>
            <w:vAlign w:val="bottom"/>
          </w:tcPr>
          <w:p>
            <w:pPr>
              <w:spacing w:after="0"/>
              <w:rPr>
                <w:sz w:val="13"/>
                <w:szCs w:val="13"/>
                <w:color w:val="auto"/>
              </w:rPr>
            </w:pPr>
          </w:p>
        </w:tc>
        <w:tc>
          <w:tcPr>
            <w:tcW w:w="54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3"/>
                <w:szCs w:val="13"/>
                <w:color w:val="auto"/>
              </w:rPr>
              <w:t>29,041</w:t>
            </w:r>
          </w:p>
        </w:tc>
        <w:tc>
          <w:tcPr>
            <w:tcW w:w="1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3"/>
                <w:szCs w:val="13"/>
                <w:color w:val="auto"/>
              </w:rPr>
              <w:t>(781)</w:t>
            </w:r>
          </w:p>
        </w:tc>
        <w:tc>
          <w:tcPr>
            <w:tcW w:w="120" w:type="dxa"/>
            <w:vAlign w:val="bottom"/>
          </w:tcPr>
          <w:p>
            <w:pPr>
              <w:spacing w:after="0"/>
              <w:rPr>
                <w:sz w:val="13"/>
                <w:szCs w:val="13"/>
                <w:color w:val="auto"/>
              </w:rPr>
            </w:pPr>
          </w:p>
        </w:tc>
        <w:tc>
          <w:tcPr>
            <w:tcW w:w="7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3"/>
                <w:szCs w:val="13"/>
                <w:color w:val="auto"/>
              </w:rPr>
              <w:t>68,744</w:t>
            </w:r>
          </w:p>
        </w:tc>
        <w:tc>
          <w:tcPr>
            <w:tcW w:w="0" w:type="dxa"/>
            <w:vAlign w:val="bottom"/>
          </w:tcPr>
          <w:p>
            <w:pPr>
              <w:spacing w:after="0"/>
              <w:rPr>
                <w:sz w:val="1"/>
                <w:szCs w:val="1"/>
                <w:color w:val="auto"/>
              </w:rPr>
            </w:pPr>
          </w:p>
        </w:tc>
      </w:tr>
      <w:tr>
        <w:trPr>
          <w:trHeight w:val="81"/>
        </w:trPr>
        <w:tc>
          <w:tcPr>
            <w:tcW w:w="2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Assets</w:t>
      </w:r>
    </w:p>
    <w:p>
      <w:pPr>
        <w:sectPr>
          <w:pgSz w:w="11900" w:h="16838" w:orient="portrait"/>
          <w:cols w:equalWidth="0" w:num="1">
            <w:col w:w="11420"/>
          </w:cols>
          <w:pgMar w:left="240" w:top="337" w:right="239" w:bottom="453" w:gutter="0" w:footer="0" w:header="0"/>
        </w:sectPr>
      </w:pP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GM Financial receivables, net(b)</w:t>
      </w:r>
    </w:p>
    <w:p>
      <w:pPr>
        <w:spacing w:after="0" w:line="121" w:lineRule="exact"/>
        <w:rPr>
          <w:sz w:val="20"/>
          <w:szCs w:val="20"/>
          <w:color w:val="auto"/>
        </w:rPr>
      </w:pPr>
    </w:p>
    <w:p>
      <w:pPr>
        <w:ind w:left="340" w:right="420" w:hanging="161"/>
        <w:spacing w:after="0" w:line="259" w:lineRule="auto"/>
        <w:rPr>
          <w:sz w:val="20"/>
          <w:szCs w:val="20"/>
          <w:color w:val="auto"/>
        </w:rPr>
      </w:pPr>
      <w:r>
        <w:rPr>
          <w:rFonts w:ascii="Arial" w:cs="Arial" w:eastAsia="Arial" w:hAnsi="Arial"/>
          <w:sz w:val="12"/>
          <w:szCs w:val="12"/>
          <w:color w:val="auto"/>
        </w:rPr>
        <w:t>Equity in net assets of nonconsolidated affiliates</w:t>
      </w:r>
    </w:p>
    <w:p>
      <w:pPr>
        <w:spacing w:after="0" w:line="26"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Property, net</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2"/>
          <w:szCs w:val="12"/>
          <w:color w:val="auto"/>
        </w:rPr>
        <w:t>Goodwill and intangible assets, net</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2"/>
          <w:szCs w:val="12"/>
          <w:color w:val="auto"/>
        </w:rPr>
        <w:t>Equipment on operating leases, net</w:t>
      </w:r>
    </w:p>
    <w:p>
      <w:pPr>
        <w:spacing w:after="0" w:line="132" w:lineRule="exact"/>
        <w:rPr>
          <w:sz w:val="20"/>
          <w:szCs w:val="20"/>
          <w:color w:val="auto"/>
        </w:rPr>
      </w:pPr>
    </w:p>
    <w:p>
      <w:pPr>
        <w:ind w:left="180"/>
        <w:spacing w:after="0"/>
        <w:rPr>
          <w:sz w:val="20"/>
          <w:szCs w:val="20"/>
          <w:color w:val="auto"/>
        </w:rPr>
      </w:pPr>
      <w:r>
        <w:rPr>
          <w:rFonts w:ascii="Arial" w:cs="Arial" w:eastAsia="Arial" w:hAnsi="Arial"/>
          <w:sz w:val="13"/>
          <w:szCs w:val="13"/>
          <w:color w:val="auto"/>
        </w:rPr>
        <w:t>Deferred income taxes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assets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assets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Assets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b w:val="1"/>
          <w:bCs w:val="1"/>
          <w:color w:val="auto"/>
        </w:rPr>
        <w:t>LIABILITIES AND EQUITY</w:t>
      </w:r>
    </w:p>
    <w:p>
      <w:pPr>
        <w:spacing w:after="0" w:line="14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Current Liabilities</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2"/>
          <w:szCs w:val="12"/>
          <w:color w:val="auto"/>
        </w:rPr>
        <w:t>Accounts payable (principally trade)</w:t>
      </w:r>
    </w:p>
    <w:p>
      <w:pPr>
        <w:ind w:left="340"/>
        <w:spacing w:after="0"/>
        <w:rPr>
          <w:sz w:val="20"/>
          <w:szCs w:val="20"/>
          <w:color w:val="auto"/>
        </w:rPr>
      </w:pPr>
      <w:r>
        <w:rPr>
          <w:rFonts w:ascii="Arial" w:cs="Arial" w:eastAsia="Arial" w:hAnsi="Arial"/>
          <w:sz w:val="13"/>
          <w:szCs w:val="13"/>
          <w:color w:val="auto"/>
        </w:rPr>
        <w:t>(a)</w:t>
      </w:r>
    </w:p>
    <w:p>
      <w:pPr>
        <w:spacing w:after="0" w:line="40" w:lineRule="exact"/>
        <w:rPr>
          <w:sz w:val="20"/>
          <w:szCs w:val="20"/>
          <w:color w:val="auto"/>
        </w:rPr>
      </w:pPr>
    </w:p>
    <w:p>
      <w:pPr>
        <w:ind w:left="340" w:right="20" w:hanging="161"/>
        <w:spacing w:after="0" w:line="230" w:lineRule="auto"/>
        <w:rPr>
          <w:sz w:val="20"/>
          <w:szCs w:val="20"/>
          <w:color w:val="auto"/>
        </w:rPr>
      </w:pPr>
      <w:r>
        <w:rPr>
          <w:rFonts w:ascii="Arial" w:cs="Arial" w:eastAsia="Arial" w:hAnsi="Arial"/>
          <w:sz w:val="13"/>
          <w:szCs w:val="13"/>
          <w:color w:val="auto"/>
        </w:rPr>
        <w:t>Short-term debt and current portion of long-term debt</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Automotive(b)</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Accrued liabilities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current liabilities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Non-current Liabilities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color w:val="auto"/>
        </w:rPr>
        <w:t>Long-term debt</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Automotive(b)</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340" w:right="100" w:hanging="161"/>
        <w:spacing w:after="0" w:line="230" w:lineRule="auto"/>
        <w:rPr>
          <w:sz w:val="20"/>
          <w:szCs w:val="20"/>
          <w:color w:val="auto"/>
        </w:rPr>
      </w:pPr>
      <w:r>
        <w:rPr>
          <w:rFonts w:ascii="Arial" w:cs="Arial" w:eastAsia="Arial" w:hAnsi="Arial"/>
          <w:sz w:val="13"/>
          <w:szCs w:val="13"/>
          <w:color w:val="auto"/>
        </w:rPr>
        <w:t>Postretirement benefits other than pensions</w:t>
      </w:r>
    </w:p>
    <w:p>
      <w:pPr>
        <w:spacing w:after="0" w:line="3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Pensions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Other liabilities</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Total non-current liabilities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w:t>
      </w:r>
    </w:p>
    <w:p>
      <w:pPr>
        <w:spacing w:after="0" w:line="1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Commitments and contingencies</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Equity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10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24,147</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24,086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21,271</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21,208</w:t>
            </w:r>
          </w:p>
        </w:tc>
      </w:tr>
      <w:tr>
        <w:trPr>
          <w:trHeight w:val="324"/>
        </w:trPr>
        <w:tc>
          <w:tcPr>
            <w:tcW w:w="1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7,847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1,308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9,155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7,886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1,187</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9,073</w:t>
            </w:r>
          </w:p>
        </w:tc>
      </w:tr>
      <w:tr>
        <w:trPr>
          <w:trHeight w:val="270"/>
        </w:trPr>
        <w:tc>
          <w:tcPr>
            <w:tcW w:w="100" w:type="dxa"/>
            <w:vAlign w:val="bottom"/>
          </w:tcPr>
          <w:p>
            <w:pPr>
              <w:spacing w:after="0"/>
              <w:rPr>
                <w:sz w:val="23"/>
                <w:szCs w:val="2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38,352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258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38,655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35,960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34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36,253</w:t>
            </w:r>
          </w:p>
        </w:tc>
      </w:tr>
      <w:tr>
        <w:trPr>
          <w:trHeight w:val="270"/>
        </w:trPr>
        <w:tc>
          <w:tcPr>
            <w:tcW w:w="100" w:type="dxa"/>
            <w:vAlign w:val="bottom"/>
          </w:tcPr>
          <w:p>
            <w:pPr>
              <w:spacing w:after="0"/>
              <w:rPr>
                <w:sz w:val="23"/>
                <w:szCs w:val="2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3,615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1,357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5,651</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3,803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679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1,367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5,849</w:t>
            </w:r>
          </w:p>
        </w:tc>
      </w:tr>
      <w:tr>
        <w:trPr>
          <w:trHeight w:val="270"/>
        </w:trPr>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44,128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44,128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42,882</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42,882</w:t>
            </w:r>
          </w:p>
        </w:tc>
      </w:tr>
      <w:tr>
        <w:trPr>
          <w:trHeight w:val="270"/>
        </w:trPr>
        <w:tc>
          <w:tcPr>
            <w:tcW w:w="100" w:type="dxa"/>
            <w:vAlign w:val="bottom"/>
          </w:tcPr>
          <w:p>
            <w:pPr>
              <w:spacing w:after="0"/>
              <w:rPr>
                <w:sz w:val="23"/>
                <w:szCs w:val="2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23,100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132</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23,242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23,301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jc w:val="right"/>
              <w:ind w:right="17"/>
              <w:spacing w:after="0"/>
              <w:rPr>
                <w:sz w:val="20"/>
                <w:szCs w:val="20"/>
                <w:color w:val="auto"/>
              </w:rPr>
            </w:pPr>
            <w:r>
              <w:rPr>
                <w:rFonts w:ascii="Arial" w:cs="Arial" w:eastAsia="Arial" w:hAnsi="Arial"/>
                <w:sz w:val="13"/>
                <w:szCs w:val="13"/>
                <w:color w:val="auto"/>
              </w:rPr>
              <w:t>(72)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315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23,544</w:t>
            </w:r>
          </w:p>
        </w:tc>
      </w:tr>
      <w:tr>
        <w:trPr>
          <w:trHeight w:val="280"/>
        </w:trPr>
        <w:tc>
          <w:tcPr>
            <w:tcW w:w="1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5,031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915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5,946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929</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4,929</w:t>
            </w:r>
          </w:p>
        </w:tc>
      </w:tr>
      <w:tr>
        <w:trPr>
          <w:trHeight w:val="250"/>
        </w:trPr>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77,945</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734</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72,245</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150,863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74,950</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641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68,210</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143,738</w:t>
            </w:r>
          </w:p>
        </w:tc>
      </w:tr>
      <w:tr>
        <w:trPr>
          <w:trHeight w:val="237"/>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118,896</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2"/>
              </w:rPr>
              <w:t>2,567</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105,658</w:t>
            </w:r>
          </w:p>
        </w:tc>
        <w:tc>
          <w:tcPr>
            <w:tcW w:w="100" w:type="dxa"/>
            <w:vAlign w:val="bottom"/>
          </w:tcPr>
          <w:p>
            <w:pPr>
              <w:spacing w:after="0"/>
              <w:rPr>
                <w:sz w:val="20"/>
                <w:szCs w:val="20"/>
                <w:color w:val="auto"/>
              </w:rPr>
            </w:pPr>
          </w:p>
        </w:tc>
        <w:tc>
          <w:tcPr>
            <w:tcW w:w="480" w:type="dxa"/>
            <w:vAlign w:val="bottom"/>
            <w:tcBorders>
              <w:bottom w:val="single" w:sz="8" w:color="auto"/>
            </w:tcBorders>
          </w:tcPr>
          <w:p>
            <w:pPr>
              <w:jc w:val="right"/>
              <w:ind w:right="317"/>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(1,410)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225,711</w:t>
            </w:r>
          </w:p>
        </w:tc>
        <w:tc>
          <w:tcPr>
            <w:tcW w:w="10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w w:val="93"/>
              </w:rPr>
              <w:t>115,409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666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97,251</w:t>
            </w:r>
          </w:p>
        </w:tc>
        <w:tc>
          <w:tcPr>
            <w:tcW w:w="100" w:type="dxa"/>
            <w:vAlign w:val="bottom"/>
          </w:tcPr>
          <w:p>
            <w:pPr>
              <w:spacing w:after="0"/>
              <w:rPr>
                <w:sz w:val="20"/>
                <w:szCs w:val="20"/>
                <w:color w:val="auto"/>
              </w:rPr>
            </w:pPr>
          </w:p>
        </w:tc>
        <w:tc>
          <w:tcPr>
            <w:tcW w:w="5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(844)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212,482</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35"/>
        </w:trPr>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25,329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629</w:t>
            </w:r>
          </w:p>
        </w:tc>
        <w:tc>
          <w:tcPr>
            <w:tcW w:w="100" w:type="dxa"/>
            <w:vAlign w:val="bottom"/>
          </w:tcPr>
          <w:p>
            <w:pPr>
              <w:spacing w:after="0"/>
              <w:rPr>
                <w:sz w:val="24"/>
                <w:szCs w:val="24"/>
                <w:color w:val="auto"/>
              </w:rPr>
            </w:pPr>
          </w:p>
        </w:tc>
        <w:tc>
          <w:tcPr>
            <w:tcW w:w="480" w:type="dxa"/>
            <w:vAlign w:val="bottom"/>
          </w:tcPr>
          <w:p>
            <w:pPr>
              <w:jc w:val="right"/>
              <w:ind w:right="317"/>
              <w:spacing w:after="0"/>
              <w:rPr>
                <w:sz w:val="20"/>
                <w:szCs w:val="20"/>
                <w:color w:val="auto"/>
              </w:rPr>
            </w:pPr>
            <w:r>
              <w:rPr>
                <w:rFonts w:ascii="Arial" w:cs="Arial" w:eastAsia="Arial" w:hAnsi="Arial"/>
                <w:sz w:val="13"/>
                <w:szCs w:val="13"/>
                <w:color w:val="auto"/>
              </w:rPr>
              <w:t>$</w:t>
            </w: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(848)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25,147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23,692</w:t>
            </w:r>
          </w:p>
        </w:tc>
        <w:tc>
          <w:tcPr>
            <w:tcW w:w="120" w:type="dxa"/>
            <w:vAlign w:val="bottom"/>
          </w:tcPr>
          <w:p>
            <w:pPr>
              <w:spacing w:after="0"/>
              <w:rPr>
                <w:sz w:val="24"/>
                <w:szCs w:val="24"/>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634</w:t>
            </w:r>
          </w:p>
        </w:tc>
        <w:tc>
          <w:tcPr>
            <w:tcW w:w="100" w:type="dxa"/>
            <w:vAlign w:val="bottom"/>
          </w:tcPr>
          <w:p>
            <w:pPr>
              <w:spacing w:after="0"/>
              <w:rPr>
                <w:sz w:val="24"/>
                <w:szCs w:val="24"/>
                <w:color w:val="auto"/>
              </w:rPr>
            </w:pPr>
          </w:p>
        </w:tc>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(401)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23,929</w:t>
            </w:r>
          </w:p>
        </w:tc>
      </w:tr>
      <w:tr>
        <w:trPr>
          <w:trHeight w:val="594"/>
        </w:trPr>
        <w:tc>
          <w:tcPr>
            <w:tcW w:w="1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3,416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(501)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2,915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2,895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(380)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2,515</w:t>
            </w:r>
          </w:p>
        </w:tc>
      </w:tr>
      <w:tr>
        <w:trPr>
          <w:trHeight w:val="270"/>
        </w:trPr>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27,950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27,950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24,450</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24,450</w:t>
            </w:r>
          </w:p>
        </w:tc>
      </w:tr>
      <w:tr>
        <w:trPr>
          <w:trHeight w:val="280"/>
        </w:trPr>
        <w:tc>
          <w:tcPr>
            <w:tcW w:w="1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23,915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4,166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28,104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22,518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3,452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25,996</w:t>
            </w:r>
          </w:p>
        </w:tc>
      </w:tr>
      <w:tr>
        <w:trPr>
          <w:trHeight w:val="241"/>
        </w:trPr>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52,660</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60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32,745</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(1,349)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84,116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49,105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28,536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(781)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76,890</w:t>
            </w:r>
          </w:p>
        </w:tc>
      </w:tr>
      <w:tr>
        <w:trPr>
          <w:trHeight w:val="810"/>
        </w:trPr>
        <w:tc>
          <w:tcPr>
            <w:tcW w:w="1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13,109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4"/>
                <w:szCs w:val="24"/>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13,048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11,050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10,987</w:t>
            </w:r>
          </w:p>
        </w:tc>
      </w:tr>
      <w:tr>
        <w:trPr>
          <w:trHeight w:val="270"/>
        </w:trPr>
        <w:tc>
          <w:tcPr>
            <w:tcW w:w="10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58,427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58,427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56,267</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56,267</w:t>
            </w:r>
          </w:p>
        </w:tc>
      </w:tr>
      <w:tr>
        <w:trPr>
          <w:trHeight w:val="324"/>
        </w:trPr>
        <w:tc>
          <w:tcPr>
            <w:tcW w:w="1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5,832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5,832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5,998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4"/>
                <w:szCs w:val="2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5,998</w:t>
            </w:r>
          </w:p>
        </w:tc>
      </w:tr>
      <w:tr>
        <w:trPr>
          <w:trHeight w:val="270"/>
        </w:trPr>
        <w:tc>
          <w:tcPr>
            <w:tcW w:w="100" w:type="dxa"/>
            <w:vAlign w:val="bottom"/>
          </w:tcPr>
          <w:p>
            <w:pPr>
              <w:spacing w:after="0"/>
              <w:rPr>
                <w:sz w:val="23"/>
                <w:szCs w:val="2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11,116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11,119</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13,743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23"/>
                <w:szCs w:val="23"/>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13,746</w:t>
            </w:r>
          </w:p>
        </w:tc>
      </w:tr>
      <w:tr>
        <w:trPr>
          <w:trHeight w:val="280"/>
        </w:trPr>
        <w:tc>
          <w:tcPr>
            <w:tcW w:w="10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10,041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2,197</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12,261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10,682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1,705</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12,394</w:t>
            </w:r>
          </w:p>
        </w:tc>
      </w:tr>
      <w:tr>
        <w:trPr>
          <w:trHeight w:val="250"/>
        </w:trPr>
        <w:tc>
          <w:tcPr>
            <w:tcW w:w="10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40,098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60,627</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100,687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41,473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57,975</w:t>
            </w:r>
          </w:p>
        </w:tc>
        <w:tc>
          <w:tcPr>
            <w:tcW w:w="100" w:type="dxa"/>
            <w:vAlign w:val="bottom"/>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(63)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99,392</w:t>
            </w:r>
          </w:p>
        </w:tc>
      </w:tr>
      <w:tr>
        <w:trPr>
          <w:trHeight w:val="241"/>
        </w:trPr>
        <w:tc>
          <w:tcPr>
            <w:tcW w:w="100" w:type="dxa"/>
            <w:vAlign w:val="bottom"/>
          </w:tcPr>
          <w:p>
            <w:pPr>
              <w:spacing w:after="0"/>
              <w:rPr>
                <w:sz w:val="20"/>
                <w:szCs w:val="20"/>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92,758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93,372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(1,410)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184,803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90,578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86,511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(844)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176,282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-4431665</wp:posOffset>
            </wp:positionV>
            <wp:extent cx="7246620" cy="205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-4053840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-3710940</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-3368040</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-3025140</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-2665095</wp:posOffset>
            </wp:positionV>
            <wp:extent cx="7246620" cy="2057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-2252980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-1910080</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-1567180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-1224280</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-881380</wp:posOffset>
            </wp:positionV>
            <wp:extent cx="724662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-503555</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-160655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181610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40" w:lineRule="exact"/>
        <w:rPr>
          <w:sz w:val="20"/>
          <w:szCs w:val="20"/>
          <w:color w:val="auto"/>
        </w:rPr>
      </w:pPr>
    </w:p>
    <w:p>
      <w:pPr>
        <w:sectPr>
          <w:pgSz w:w="11900" w:h="16838" w:orient="portrait"/>
          <w:cols w:equalWidth="0" w:num="2">
            <w:col w:w="2160" w:space="120"/>
            <w:col w:w="9140"/>
          </w:cols>
          <w:pgMar w:left="240" w:top="337" w:right="239" w:bottom="453" w:gutter="0" w:footer="0" w:header="0"/>
          <w:type w:val="continuous"/>
        </w:sectPr>
      </w:pPr>
    </w:p>
    <w:p>
      <w:pPr>
        <w:spacing w:after="0" w:line="18" w:lineRule="exact"/>
        <w:rPr>
          <w:sz w:val="20"/>
          <w:szCs w:val="20"/>
          <w:color w:val="auto"/>
        </w:rPr>
      </w:pPr>
    </w:p>
    <w:p>
      <w:pPr>
        <w:ind w:left="120" w:right="200"/>
        <w:spacing w:after="0" w:line="399" w:lineRule="auto"/>
        <w:rPr>
          <w:sz w:val="20"/>
          <w:szCs w:val="20"/>
          <w:color w:val="auto"/>
        </w:rPr>
      </w:pPr>
      <w:r>
        <w:rPr>
          <w:rFonts w:ascii="Arial" w:cs="Arial" w:eastAsia="Arial" w:hAnsi="Arial"/>
          <w:sz w:val="12"/>
          <w:szCs w:val="12"/>
          <w:color w:val="auto"/>
        </w:rPr>
        <w:t>Common stock, $0.01 par value Preferred stock, $0.01 par value</w:t>
      </w:r>
    </w:p>
    <w:p>
      <w:pPr>
        <w:ind w:left="120"/>
        <w:spacing w:after="0"/>
        <w:rPr>
          <w:sz w:val="20"/>
          <w:szCs w:val="20"/>
          <w:color w:val="auto"/>
        </w:rPr>
      </w:pPr>
      <w:r>
        <w:rPr>
          <w:rFonts w:ascii="Arial" w:cs="Arial" w:eastAsia="Arial" w:hAnsi="Arial"/>
          <w:sz w:val="13"/>
          <w:szCs w:val="13"/>
          <w:color w:val="auto"/>
        </w:rPr>
        <w:t>Additional paid-in capital(c)</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340" w:hanging="161"/>
        <w:spacing w:after="0" w:line="230" w:lineRule="auto"/>
        <w:rPr>
          <w:sz w:val="20"/>
          <w:szCs w:val="20"/>
          <w:color w:val="auto"/>
        </w:rPr>
      </w:pPr>
      <w:r>
        <w:rPr>
          <w:rFonts w:ascii="Arial" w:cs="Arial" w:eastAsia="Arial" w:hAnsi="Arial"/>
          <w:sz w:val="13"/>
          <w:szCs w:val="13"/>
          <w:color w:val="auto"/>
        </w:rPr>
        <w:t>Accumulated other comprehensive loss</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Noncontrolling interests(c)</w:t>
      </w:r>
    </w:p>
    <w:p>
      <w:pPr>
        <w:spacing w:after="0" w:line="10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Equity</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Liabilities and Equity</w:t>
      </w:r>
    </w:p>
    <w:p>
      <w:pPr>
        <w:spacing w:after="0" w:line="134" w:lineRule="exact"/>
        <w:rPr>
          <w:sz w:val="20"/>
          <w:szCs w:val="20"/>
          <w:color w:val="auto"/>
        </w:rPr>
      </w:pPr>
    </w:p>
    <w:p>
      <w:pPr>
        <w:spacing w:after="0"/>
        <w:rPr>
          <w:sz w:val="20"/>
          <w:szCs w:val="20"/>
          <w:color w:val="auto"/>
        </w:rPr>
      </w:pPr>
      <w:r>
        <w:rPr>
          <w:rFonts w:ascii="Arial" w:cs="Arial" w:eastAsia="Arial" w:hAnsi="Arial"/>
          <w:sz w:val="11"/>
          <w:szCs w:val="11"/>
          <w:color w:val="auto"/>
        </w:rPr>
        <w:t>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68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13"/>
                <w:szCs w:val="1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3"/>
                <w:szCs w:val="1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3"/>
                <w:szCs w:val="1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14</w:t>
            </w:r>
          </w:p>
        </w:tc>
      </w:tr>
      <w:tr>
        <w:trPr>
          <w:trHeight w:val="270"/>
        </w:trPr>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48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680" w:type="dxa"/>
            <w:vAlign w:val="bottom"/>
          </w:tcPr>
          <w:p>
            <w:pPr>
              <w:jc w:val="right"/>
              <w:ind w:right="57"/>
              <w:spacing w:after="0"/>
              <w:rPr>
                <w:sz w:val="20"/>
                <w:szCs w:val="20"/>
                <w:color w:val="auto"/>
              </w:rPr>
            </w:pPr>
            <w:r>
              <w:rPr>
                <w:rFonts w:ascii="Arial" w:cs="Arial" w:eastAsia="Arial" w:hAnsi="Arial"/>
                <w:sz w:val="13"/>
                <w:szCs w:val="13"/>
                <w:color w:val="auto"/>
              </w:rPr>
              <w:t>25,503</w:t>
            </w:r>
          </w:p>
        </w:tc>
        <w:tc>
          <w:tcPr>
            <w:tcW w:w="100" w:type="dxa"/>
            <w:vAlign w:val="bottom"/>
          </w:tcPr>
          <w:p>
            <w:pPr>
              <w:spacing w:after="0"/>
              <w:rPr>
                <w:sz w:val="23"/>
                <w:szCs w:val="23"/>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1,418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(1,418)</w:t>
            </w:r>
          </w:p>
        </w:tc>
        <w:tc>
          <w:tcPr>
            <w:tcW w:w="1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25,503</w:t>
            </w: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25,371</w:t>
            </w:r>
          </w:p>
        </w:tc>
        <w:tc>
          <w:tcPr>
            <w:tcW w:w="120" w:type="dxa"/>
            <w:vAlign w:val="bottom"/>
          </w:tcPr>
          <w:p>
            <w:pPr>
              <w:spacing w:after="0"/>
              <w:rPr>
                <w:sz w:val="23"/>
                <w:szCs w:val="2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25,371</w:t>
            </w:r>
          </w:p>
        </w:tc>
      </w:tr>
      <w:tr>
        <w:trPr>
          <w:trHeight w:val="270"/>
        </w:trPr>
        <w:tc>
          <w:tcPr>
            <w:tcW w:w="680" w:type="dxa"/>
            <w:vAlign w:val="bottom"/>
          </w:tcPr>
          <w:p>
            <w:pPr>
              <w:jc w:val="right"/>
              <w:ind w:right="57"/>
              <w:spacing w:after="0"/>
              <w:rPr>
                <w:sz w:val="20"/>
                <w:szCs w:val="20"/>
                <w:color w:val="auto"/>
              </w:rPr>
            </w:pPr>
            <w:r>
              <w:rPr>
                <w:rFonts w:ascii="Arial" w:cs="Arial" w:eastAsia="Arial" w:hAnsi="Arial"/>
                <w:sz w:val="13"/>
                <w:szCs w:val="13"/>
                <w:color w:val="auto"/>
              </w:rPr>
              <w:t>7,451</w:t>
            </w:r>
          </w:p>
        </w:tc>
        <w:tc>
          <w:tcPr>
            <w:tcW w:w="100" w:type="dxa"/>
            <w:vAlign w:val="bottom"/>
          </w:tcPr>
          <w:p>
            <w:pPr>
              <w:spacing w:after="0"/>
              <w:rPr>
                <w:sz w:val="23"/>
                <w:szCs w:val="23"/>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1,600</w:t>
            </w:r>
          </w:p>
        </w:tc>
        <w:tc>
          <w:tcPr>
            <w:tcW w:w="10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11,814</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20,865</w:t>
            </w:r>
          </w:p>
        </w:tc>
        <w:tc>
          <w:tcPr>
            <w:tcW w:w="100" w:type="dxa"/>
            <w:vAlign w:val="bottom"/>
          </w:tcPr>
          <w:p>
            <w:pPr>
              <w:spacing w:after="0"/>
              <w:rPr>
                <w:sz w:val="23"/>
                <w:szCs w:val="23"/>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6,499</w:t>
            </w:r>
          </w:p>
        </w:tc>
        <w:tc>
          <w:tcPr>
            <w:tcW w:w="120" w:type="dxa"/>
            <w:vAlign w:val="bottom"/>
          </w:tcPr>
          <w:p>
            <w:pPr>
              <w:spacing w:after="0"/>
              <w:rPr>
                <w:sz w:val="23"/>
                <w:szCs w:val="23"/>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629</w:t>
            </w:r>
          </w:p>
        </w:tc>
        <w:tc>
          <w:tcPr>
            <w:tcW w:w="100" w:type="dxa"/>
            <w:vAlign w:val="bottom"/>
          </w:tcPr>
          <w:p>
            <w:pPr>
              <w:spacing w:after="0"/>
              <w:rPr>
                <w:sz w:val="23"/>
                <w:szCs w:val="23"/>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10,499</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17,627</w:t>
            </w:r>
          </w:p>
        </w:tc>
      </w:tr>
      <w:tr>
        <w:trPr>
          <w:trHeight w:val="334"/>
        </w:trPr>
        <w:tc>
          <w:tcPr>
            <w:tcW w:w="680" w:type="dxa"/>
            <w:vAlign w:val="bottom"/>
          </w:tcPr>
          <w:p>
            <w:pPr>
              <w:jc w:val="right"/>
              <w:ind w:right="17"/>
              <w:spacing w:after="0"/>
              <w:rPr>
                <w:sz w:val="20"/>
                <w:szCs w:val="20"/>
                <w:color w:val="auto"/>
              </w:rPr>
            </w:pPr>
            <w:r>
              <w:rPr>
                <w:rFonts w:ascii="Arial" w:cs="Arial" w:eastAsia="Arial" w:hAnsi="Arial"/>
                <w:sz w:val="13"/>
                <w:szCs w:val="13"/>
                <w:color w:val="auto"/>
              </w:rPr>
              <w:t>(7,375)</w:t>
            </w:r>
          </w:p>
        </w:tc>
        <w:tc>
          <w:tcPr>
            <w:tcW w:w="10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(946)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(8,321)</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(7,267)</w:t>
            </w:r>
          </w:p>
        </w:tc>
        <w:tc>
          <w:tcPr>
            <w:tcW w:w="120" w:type="dxa"/>
            <w:vAlign w:val="bottom"/>
          </w:tcPr>
          <w:p>
            <w:pPr>
              <w:spacing w:after="0"/>
              <w:rPr>
                <w:sz w:val="24"/>
                <w:szCs w:val="2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(744)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(8,011)</w:t>
            </w:r>
          </w:p>
        </w:tc>
      </w:tr>
      <w:tr>
        <w:trPr>
          <w:trHeight w:val="241"/>
        </w:trPr>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25,593</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1,600</w:t>
            </w:r>
          </w:p>
        </w:tc>
        <w:tc>
          <w:tcPr>
            <w:tcW w:w="100" w:type="dxa"/>
            <w:vAlign w:val="bottom"/>
          </w:tcPr>
          <w:p>
            <w:pPr>
              <w:spacing w:after="0"/>
              <w:rPr>
                <w:sz w:val="20"/>
                <w:szCs w:val="20"/>
                <w:color w:val="auto"/>
              </w:rPr>
            </w:pPr>
          </w:p>
        </w:tc>
        <w:tc>
          <w:tcPr>
            <w:tcW w:w="7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12,286</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(1,418)</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38,061</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24,617</w:t>
            </w:r>
          </w:p>
        </w:tc>
        <w:tc>
          <w:tcPr>
            <w:tcW w:w="120" w:type="dxa"/>
            <w:vAlign w:val="bottom"/>
          </w:tcPr>
          <w:p>
            <w:pPr>
              <w:spacing w:after="0"/>
              <w:rPr>
                <w:sz w:val="20"/>
                <w:szCs w:val="20"/>
                <w:color w:val="auto"/>
              </w:rPr>
            </w:pPr>
          </w:p>
        </w:tc>
        <w:tc>
          <w:tcPr>
            <w:tcW w:w="54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629</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10,740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0"/>
                <w:szCs w:val="20"/>
                <w:color w:val="auto"/>
              </w:rPr>
            </w:pPr>
          </w:p>
        </w:tc>
        <w:tc>
          <w:tcPr>
            <w:tcW w:w="76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35,001</w:t>
            </w:r>
          </w:p>
        </w:tc>
      </w:tr>
      <w:tr>
        <w:trPr>
          <w:trHeight w:val="280"/>
        </w:trPr>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545</w:t>
            </w:r>
          </w:p>
        </w:tc>
        <w:tc>
          <w:tcPr>
            <w:tcW w:w="100" w:type="dxa"/>
            <w:vAlign w:val="bottom"/>
          </w:tcPr>
          <w:p>
            <w:pPr>
              <w:spacing w:after="0"/>
              <w:rPr>
                <w:sz w:val="24"/>
                <w:szCs w:val="24"/>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884</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1,418</w:t>
            </w:r>
          </w:p>
        </w:tc>
        <w:tc>
          <w:tcPr>
            <w:tcW w:w="120" w:type="dxa"/>
            <w:vAlign w:val="bottom"/>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2,847</w:t>
            </w:r>
          </w:p>
        </w:tc>
        <w:tc>
          <w:tcPr>
            <w:tcW w:w="100" w:type="dxa"/>
            <w:vAlign w:val="bottom"/>
          </w:tcPr>
          <w:p>
            <w:pPr>
              <w:spacing w:after="0"/>
              <w:rPr>
                <w:sz w:val="24"/>
                <w:szCs w:val="24"/>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214</w:t>
            </w:r>
          </w:p>
        </w:tc>
        <w:tc>
          <w:tcPr>
            <w:tcW w:w="120" w:type="dxa"/>
            <w:vAlign w:val="bottom"/>
          </w:tcPr>
          <w:p>
            <w:pPr>
              <w:spacing w:after="0"/>
              <w:rPr>
                <w:sz w:val="24"/>
                <w:szCs w:val="24"/>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985</w:t>
            </w:r>
          </w:p>
        </w:tc>
        <w:tc>
          <w:tcPr>
            <w:tcW w:w="120" w:type="dxa"/>
            <w:vAlign w:val="bottom"/>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1,199</w:t>
            </w:r>
          </w:p>
        </w:tc>
      </w:tr>
      <w:tr>
        <w:trPr>
          <w:trHeight w:val="250"/>
        </w:trPr>
        <w:tc>
          <w:tcPr>
            <w:tcW w:w="680" w:type="dxa"/>
            <w:vAlign w:val="bottom"/>
          </w:tcPr>
          <w:p>
            <w:pPr>
              <w:jc w:val="right"/>
              <w:ind w:right="57"/>
              <w:spacing w:after="0"/>
              <w:rPr>
                <w:sz w:val="20"/>
                <w:szCs w:val="20"/>
                <w:color w:val="auto"/>
              </w:rPr>
            </w:pPr>
            <w:r>
              <w:rPr>
                <w:rFonts w:ascii="Arial" w:cs="Arial" w:eastAsia="Arial" w:hAnsi="Arial"/>
                <w:sz w:val="13"/>
                <w:szCs w:val="13"/>
                <w:color w:val="auto"/>
              </w:rPr>
              <w:t>26,138</w:t>
            </w:r>
          </w:p>
        </w:tc>
        <w:tc>
          <w:tcPr>
            <w:tcW w:w="100" w:type="dxa"/>
            <w:vAlign w:val="bottom"/>
          </w:tcPr>
          <w:p>
            <w:pPr>
              <w:spacing w:after="0"/>
              <w:rPr>
                <w:sz w:val="21"/>
                <w:szCs w:val="21"/>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2,484</w:t>
            </w:r>
          </w:p>
        </w:tc>
        <w:tc>
          <w:tcPr>
            <w:tcW w:w="100" w:type="dxa"/>
            <w:vAlign w:val="bottom"/>
          </w:tcPr>
          <w:p>
            <w:pPr>
              <w:spacing w:after="0"/>
              <w:rPr>
                <w:sz w:val="21"/>
                <w:szCs w:val="21"/>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12,286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40,908</w:t>
            </w:r>
          </w:p>
        </w:tc>
        <w:tc>
          <w:tcPr>
            <w:tcW w:w="100" w:type="dxa"/>
            <w:vAlign w:val="bottom"/>
          </w:tcPr>
          <w:p>
            <w:pPr>
              <w:spacing w:after="0"/>
              <w:rPr>
                <w:sz w:val="21"/>
                <w:szCs w:val="21"/>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24,831</w:t>
            </w:r>
          </w:p>
        </w:tc>
        <w:tc>
          <w:tcPr>
            <w:tcW w:w="120" w:type="dxa"/>
            <w:vAlign w:val="bottom"/>
          </w:tcPr>
          <w:p>
            <w:pPr>
              <w:spacing w:after="0"/>
              <w:rPr>
                <w:sz w:val="21"/>
                <w:szCs w:val="21"/>
                <w:color w:val="auto"/>
              </w:rPr>
            </w:pP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629</w:t>
            </w:r>
          </w:p>
        </w:tc>
        <w:tc>
          <w:tcPr>
            <w:tcW w:w="100" w:type="dxa"/>
            <w:vAlign w:val="bottom"/>
          </w:tcPr>
          <w:p>
            <w:pPr>
              <w:spacing w:after="0"/>
              <w:rPr>
                <w:sz w:val="21"/>
                <w:szCs w:val="21"/>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10,740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36,200</w:t>
            </w:r>
          </w:p>
        </w:tc>
      </w:tr>
      <w:tr>
        <w:trPr>
          <w:trHeight w:val="237"/>
        </w:trPr>
        <w:tc>
          <w:tcPr>
            <w:tcW w:w="68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93"/>
              </w:rPr>
              <w:t>$ 118,896</w:t>
            </w:r>
          </w:p>
        </w:tc>
        <w:tc>
          <w:tcPr>
            <w:tcW w:w="1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96"/>
              </w:rPr>
              <w:t>$ 2,567</w:t>
            </w:r>
          </w:p>
        </w:tc>
        <w:tc>
          <w:tcPr>
            <w:tcW w:w="10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  105,658</w:t>
            </w:r>
          </w:p>
        </w:tc>
        <w:tc>
          <w:tcPr>
            <w:tcW w:w="10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1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(1,410)</w:t>
            </w:r>
          </w:p>
        </w:tc>
        <w:tc>
          <w:tcPr>
            <w:tcW w:w="1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  225,711</w:t>
            </w:r>
          </w:p>
        </w:tc>
        <w:tc>
          <w:tcPr>
            <w:tcW w:w="1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96"/>
              </w:rPr>
              <w:t>$ 115,409</w:t>
            </w:r>
          </w:p>
        </w:tc>
        <w:tc>
          <w:tcPr>
            <w:tcW w:w="1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  666</w:t>
            </w:r>
          </w:p>
        </w:tc>
        <w:tc>
          <w:tcPr>
            <w:tcW w:w="10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   97,251</w:t>
            </w:r>
          </w:p>
        </w:tc>
        <w:tc>
          <w:tcPr>
            <w:tcW w:w="100" w:type="dxa"/>
            <w:vAlign w:val="bottom"/>
          </w:tcPr>
          <w:p>
            <w:pPr>
              <w:spacing w:after="0"/>
              <w:rPr>
                <w:sz w:val="20"/>
                <w:szCs w:val="20"/>
                <w:color w:val="auto"/>
              </w:rPr>
            </w:pPr>
          </w:p>
        </w:tc>
        <w:tc>
          <w:tcPr>
            <w:tcW w:w="52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color w:val="auto"/>
              </w:rPr>
              <w:t>$</w:t>
            </w:r>
          </w:p>
        </w:tc>
        <w:tc>
          <w:tcPr>
            <w:tcW w:w="8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(844)</w:t>
            </w:r>
          </w:p>
        </w:tc>
        <w:tc>
          <w:tcPr>
            <w:tcW w:w="120" w:type="dxa"/>
            <w:vAlign w:val="bottom"/>
          </w:tcPr>
          <w:p>
            <w:pPr>
              <w:spacing w:after="0"/>
              <w:rPr>
                <w:sz w:val="20"/>
                <w:szCs w:val="20"/>
                <w:color w:val="auto"/>
              </w:rPr>
            </w:pPr>
          </w:p>
        </w:tc>
        <w:tc>
          <w:tcPr>
            <w:tcW w:w="7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  212,482</w:t>
            </w: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-1442085</wp:posOffset>
            </wp:positionH>
            <wp:positionV relativeFrom="paragraph">
              <wp:posOffset>-1423035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-1080135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-702310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-1442085</wp:posOffset>
            </wp:positionH>
            <wp:positionV relativeFrom="paragraph">
              <wp:posOffset>-359410</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9" w:lineRule="exact"/>
        <w:rPr>
          <w:sz w:val="20"/>
          <w:szCs w:val="20"/>
          <w:color w:val="auto"/>
        </w:rPr>
      </w:pPr>
    </w:p>
    <w:p>
      <w:pPr>
        <w:sectPr>
          <w:pgSz w:w="11900" w:h="16838" w:orient="portrait"/>
          <w:cols w:equalWidth="0" w:num="2">
            <w:col w:w="2100" w:space="180"/>
            <w:col w:w="9140"/>
          </w:cols>
          <w:pgMar w:left="240" w:top="337" w:right="239" w:bottom="453" w:gutter="0" w:footer="0" w:header="0"/>
          <w:type w:val="continuous"/>
        </w:sectPr>
      </w:pPr>
    </w:p>
    <w:p>
      <w:pPr>
        <w:ind w:left="340" w:hanging="332"/>
        <w:spacing w:after="0" w:line="230" w:lineRule="auto"/>
        <w:tabs>
          <w:tab w:leader="none" w:pos="3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Eliminations include GM Financial accounts receivable of $738 million offset by Automotive accounts payable and Automotive accounts receivable of $92 million offset by GM Financial accounts payable at September 30, 2018 and GM Financial accounts receivable of $309 million offset by Automotive accounts payable and Automotive accounts receivable of $92 million offset by GM Financial accounts payable at December 31, 2017.</w:t>
      </w:r>
    </w:p>
    <w:p>
      <w:pPr>
        <w:ind w:left="340" w:hanging="332"/>
        <w:spacing w:after="0" w:line="230" w:lineRule="auto"/>
        <w:tabs>
          <w:tab w:leader="none" w:pos="3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Eliminations include GM Financial loan receivable of $562 million and $443 million offset by an Automotive loan payable at September 30, 2018 and December 31, 2017.</w:t>
      </w:r>
    </w:p>
    <w:p>
      <w:pPr>
        <w:ind w:left="340" w:hanging="332"/>
        <w:spacing w:after="0"/>
        <w:tabs>
          <w:tab w:leader="none" w:pos="340" w:val="left"/>
        </w:tabs>
        <w:numPr>
          <w:ilvl w:val="0"/>
          <w:numId w:val="13"/>
        </w:numPr>
        <w:rPr>
          <w:rFonts w:ascii="Arial" w:cs="Arial" w:eastAsia="Arial" w:hAnsi="Arial"/>
          <w:sz w:val="11"/>
          <w:szCs w:val="11"/>
          <w:color w:val="auto"/>
        </w:rPr>
      </w:pPr>
      <w:r>
        <w:rPr>
          <w:rFonts w:ascii="Arial" w:cs="Arial" w:eastAsia="Arial" w:hAnsi="Arial"/>
          <w:sz w:val="11"/>
          <w:szCs w:val="11"/>
          <w:color w:val="auto"/>
        </w:rPr>
        <w:t>Reclassification of GM Financial Cumulative Perpetual Preferred Stock, Series A and B. The preferred stock is classified as noncontrolling interests in our condensed consolidated balance sheet.</w:t>
      </w:r>
    </w:p>
    <w:p>
      <w:pPr>
        <w:sectPr>
          <w:pgSz w:w="11900" w:h="16838" w:orient="portrait"/>
          <w:cols w:equalWidth="0" w:num="1">
            <w:col w:w="11420"/>
          </w:cols>
          <w:pgMar w:left="240" w:top="337" w:right="239" w:bottom="453" w:gutter="0" w:footer="0" w:header="0"/>
          <w:type w:val="continuous"/>
        </w:sectPr>
      </w:pPr>
    </w:p>
    <w:bookmarkStart w:id="19" w:name="page20"/>
    <w:bookmarkEnd w:id="19"/>
    <w:p>
      <w:pPr>
        <w:ind w:left="518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019"/>
          </w:cols>
          <w:pgMar w:left="1440" w:top="763" w:right="1440"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Combining Cash Flow Information</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millions) (Unaudited)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8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6"/>
          </w:tcPr>
          <w:p>
            <w:pPr>
              <w:ind w:left="20"/>
              <w:spacing w:after="0"/>
              <w:rPr>
                <w:sz w:val="20"/>
                <w:szCs w:val="20"/>
                <w:color w:val="auto"/>
              </w:rPr>
            </w:pPr>
            <w:r>
              <w:rPr>
                <w:rFonts w:ascii="Arial" w:cs="Arial" w:eastAsia="Arial" w:hAnsi="Arial"/>
                <w:sz w:val="9"/>
                <w:szCs w:val="9"/>
                <w:b w:val="1"/>
                <w:bCs w:val="1"/>
                <w:color w:val="auto"/>
                <w:w w:val="98"/>
              </w:rPr>
              <w:t>Nine Months Ended September 30, 2018</w:t>
            </w:r>
          </w:p>
        </w:tc>
        <w:tc>
          <w:tcPr>
            <w:tcW w:w="4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6"/>
          </w:tcPr>
          <w:p>
            <w:pPr>
              <w:ind w:left="20"/>
              <w:spacing w:after="0"/>
              <w:rPr>
                <w:sz w:val="20"/>
                <w:szCs w:val="20"/>
                <w:color w:val="auto"/>
              </w:rPr>
            </w:pPr>
            <w:r>
              <w:rPr>
                <w:rFonts w:ascii="Arial" w:cs="Arial" w:eastAsia="Arial" w:hAnsi="Arial"/>
                <w:sz w:val="9"/>
                <w:szCs w:val="9"/>
                <w:b w:val="1"/>
                <w:bCs w:val="1"/>
                <w:color w:val="auto"/>
                <w:w w:val="98"/>
              </w:rPr>
              <w:t>Nine Months Ended September 30, 2017</w:t>
            </w:r>
          </w:p>
        </w:tc>
        <w:tc>
          <w:tcPr>
            <w:tcW w:w="5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800" w:type="dxa"/>
            <w:vAlign w:val="bottom"/>
          </w:tcPr>
          <w:p>
            <w:pPr>
              <w:spacing w:after="0"/>
              <w:rPr>
                <w:sz w:val="22"/>
                <w:szCs w:val="22"/>
                <w:color w:val="auto"/>
              </w:rPr>
            </w:pPr>
          </w:p>
        </w:tc>
        <w:tc>
          <w:tcPr>
            <w:tcW w:w="780" w:type="dxa"/>
            <w:vAlign w:val="bottom"/>
            <w:gridSpan w:val="3"/>
          </w:tcPr>
          <w:p>
            <w:pPr>
              <w:ind w:left="80"/>
              <w:spacing w:after="0"/>
              <w:rPr>
                <w:sz w:val="20"/>
                <w:szCs w:val="20"/>
                <w:color w:val="auto"/>
              </w:rPr>
            </w:pPr>
            <w:r>
              <w:rPr>
                <w:rFonts w:ascii="Arial" w:cs="Arial" w:eastAsia="Arial" w:hAnsi="Arial"/>
                <w:sz w:val="9"/>
                <w:szCs w:val="9"/>
                <w:b w:val="1"/>
                <w:bCs w:val="1"/>
                <w:color w:val="auto"/>
              </w:rPr>
              <w:t>Automotive</w:t>
            </w:r>
          </w:p>
        </w:tc>
        <w:tc>
          <w:tcPr>
            <w:tcW w:w="500" w:type="dxa"/>
            <w:vAlign w:val="bottom"/>
            <w:gridSpan w:val="2"/>
          </w:tcPr>
          <w:p>
            <w:pPr>
              <w:jc w:val="right"/>
              <w:spacing w:after="0"/>
              <w:rPr>
                <w:sz w:val="20"/>
                <w:szCs w:val="20"/>
                <w:color w:val="auto"/>
              </w:rPr>
            </w:pPr>
            <w:r>
              <w:rPr>
                <w:rFonts w:ascii="Arial" w:cs="Arial" w:eastAsia="Arial" w:hAnsi="Arial"/>
                <w:sz w:val="9"/>
                <w:szCs w:val="9"/>
                <w:b w:val="1"/>
                <w:bCs w:val="1"/>
                <w:color w:val="auto"/>
              </w:rPr>
              <w:t>GM Cruise</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3"/>
          </w:tcPr>
          <w:p>
            <w:pPr>
              <w:ind w:left="40"/>
              <w:spacing w:after="0"/>
              <w:rPr>
                <w:sz w:val="20"/>
                <w:szCs w:val="20"/>
                <w:color w:val="auto"/>
              </w:rPr>
            </w:pPr>
            <w:r>
              <w:rPr>
                <w:rFonts w:ascii="Arial" w:cs="Arial" w:eastAsia="Arial" w:hAnsi="Arial"/>
                <w:sz w:val="9"/>
                <w:szCs w:val="9"/>
                <w:b w:val="1"/>
                <w:bCs w:val="1"/>
                <w:color w:val="auto"/>
              </w:rPr>
              <w:t>GM Financial</w:t>
            </w:r>
          </w:p>
        </w:tc>
        <w:tc>
          <w:tcPr>
            <w:tcW w:w="1400" w:type="dxa"/>
            <w:vAlign w:val="bottom"/>
            <w:gridSpan w:val="3"/>
          </w:tcPr>
          <w:p>
            <w:pPr>
              <w:ind w:left="40"/>
              <w:spacing w:after="0"/>
              <w:rPr>
                <w:sz w:val="20"/>
                <w:szCs w:val="20"/>
                <w:color w:val="auto"/>
              </w:rPr>
            </w:pPr>
            <w:r>
              <w:rPr>
                <w:rFonts w:ascii="Arial" w:cs="Arial" w:eastAsia="Arial" w:hAnsi="Arial"/>
                <w:sz w:val="9"/>
                <w:szCs w:val="9"/>
                <w:b w:val="1"/>
                <w:bCs w:val="1"/>
                <w:color w:val="auto"/>
              </w:rPr>
              <w:t>Reclassification/Eliminations</w:t>
            </w:r>
          </w:p>
        </w:tc>
        <w:tc>
          <w:tcPr>
            <w:tcW w:w="100" w:type="dxa"/>
            <w:vAlign w:val="bottom"/>
          </w:tcPr>
          <w:p>
            <w:pPr>
              <w:spacing w:after="0"/>
              <w:rPr>
                <w:sz w:val="22"/>
                <w:szCs w:val="22"/>
                <w:color w:val="auto"/>
              </w:rPr>
            </w:pPr>
          </w:p>
        </w:tc>
        <w:tc>
          <w:tcPr>
            <w:tcW w:w="660" w:type="dxa"/>
            <w:vAlign w:val="bottom"/>
            <w:gridSpan w:val="2"/>
          </w:tcPr>
          <w:p>
            <w:pPr>
              <w:spacing w:after="0"/>
              <w:rPr>
                <w:sz w:val="20"/>
                <w:szCs w:val="20"/>
                <w:color w:val="auto"/>
              </w:rPr>
            </w:pPr>
            <w:r>
              <w:rPr>
                <w:rFonts w:ascii="Arial" w:cs="Arial" w:eastAsia="Arial" w:hAnsi="Arial"/>
                <w:sz w:val="9"/>
                <w:szCs w:val="9"/>
                <w:b w:val="1"/>
                <w:bCs w:val="1"/>
                <w:color w:val="auto"/>
              </w:rPr>
              <w:t>Combined</w:t>
            </w:r>
          </w:p>
        </w:tc>
        <w:tc>
          <w:tcPr>
            <w:tcW w:w="780" w:type="dxa"/>
            <w:vAlign w:val="bottom"/>
            <w:gridSpan w:val="3"/>
          </w:tcPr>
          <w:p>
            <w:pPr>
              <w:ind w:left="80"/>
              <w:spacing w:after="0"/>
              <w:rPr>
                <w:sz w:val="20"/>
                <w:szCs w:val="20"/>
                <w:color w:val="auto"/>
              </w:rPr>
            </w:pPr>
            <w:r>
              <w:rPr>
                <w:rFonts w:ascii="Arial" w:cs="Arial" w:eastAsia="Arial" w:hAnsi="Arial"/>
                <w:sz w:val="9"/>
                <w:szCs w:val="9"/>
                <w:b w:val="1"/>
                <w:bCs w:val="1"/>
                <w:color w:val="auto"/>
              </w:rPr>
              <w:t>Automotive</w:t>
            </w:r>
          </w:p>
        </w:tc>
        <w:tc>
          <w:tcPr>
            <w:tcW w:w="500" w:type="dxa"/>
            <w:vAlign w:val="bottom"/>
            <w:gridSpan w:val="2"/>
          </w:tcPr>
          <w:p>
            <w:pPr>
              <w:jc w:val="right"/>
              <w:spacing w:after="0"/>
              <w:rPr>
                <w:sz w:val="20"/>
                <w:szCs w:val="20"/>
                <w:color w:val="auto"/>
              </w:rPr>
            </w:pPr>
            <w:r>
              <w:rPr>
                <w:rFonts w:ascii="Arial" w:cs="Arial" w:eastAsia="Arial" w:hAnsi="Arial"/>
                <w:sz w:val="9"/>
                <w:szCs w:val="9"/>
                <w:b w:val="1"/>
                <w:bCs w:val="1"/>
                <w:color w:val="auto"/>
              </w:rPr>
              <w:t>GM Cruise</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3"/>
          </w:tcPr>
          <w:p>
            <w:pPr>
              <w:ind w:left="40"/>
              <w:spacing w:after="0"/>
              <w:rPr>
                <w:sz w:val="20"/>
                <w:szCs w:val="20"/>
                <w:color w:val="auto"/>
              </w:rPr>
            </w:pPr>
            <w:r>
              <w:rPr>
                <w:rFonts w:ascii="Arial" w:cs="Arial" w:eastAsia="Arial" w:hAnsi="Arial"/>
                <w:sz w:val="9"/>
                <w:szCs w:val="9"/>
                <w:b w:val="1"/>
                <w:bCs w:val="1"/>
                <w:color w:val="auto"/>
              </w:rPr>
              <w:t>GM Financial</w:t>
            </w:r>
          </w:p>
        </w:tc>
        <w:tc>
          <w:tcPr>
            <w:tcW w:w="1400" w:type="dxa"/>
            <w:vAlign w:val="bottom"/>
            <w:gridSpan w:val="3"/>
          </w:tcPr>
          <w:p>
            <w:pPr>
              <w:ind w:left="40"/>
              <w:spacing w:after="0"/>
              <w:rPr>
                <w:sz w:val="20"/>
                <w:szCs w:val="20"/>
                <w:color w:val="auto"/>
              </w:rPr>
            </w:pPr>
            <w:r>
              <w:rPr>
                <w:rFonts w:ascii="Arial" w:cs="Arial" w:eastAsia="Arial" w:hAnsi="Arial"/>
                <w:sz w:val="9"/>
                <w:szCs w:val="9"/>
                <w:b w:val="1"/>
                <w:bCs w:val="1"/>
                <w:color w:val="auto"/>
              </w:rPr>
              <w:t>Reclassification/Eliminations</w:t>
            </w:r>
          </w:p>
        </w:tc>
        <w:tc>
          <w:tcPr>
            <w:tcW w:w="100" w:type="dxa"/>
            <w:vAlign w:val="bottom"/>
          </w:tcPr>
          <w:p>
            <w:pPr>
              <w:spacing w:after="0"/>
              <w:rPr>
                <w:sz w:val="22"/>
                <w:szCs w:val="22"/>
                <w:color w:val="auto"/>
              </w:rPr>
            </w:pPr>
          </w:p>
        </w:tc>
        <w:tc>
          <w:tcPr>
            <w:tcW w:w="560" w:type="dxa"/>
            <w:vAlign w:val="bottom"/>
          </w:tcPr>
          <w:p>
            <w:pPr>
              <w:jc w:val="right"/>
              <w:ind w:right="57"/>
              <w:spacing w:after="0"/>
              <w:rPr>
                <w:sz w:val="20"/>
                <w:szCs w:val="20"/>
                <w:color w:val="auto"/>
              </w:rPr>
            </w:pPr>
            <w:r>
              <w:rPr>
                <w:rFonts w:ascii="Arial" w:cs="Arial" w:eastAsia="Arial" w:hAnsi="Arial"/>
                <w:sz w:val="9"/>
                <w:szCs w:val="9"/>
                <w:b w:val="1"/>
                <w:bCs w:val="1"/>
                <w:color w:val="auto"/>
                <w:w w:val="95"/>
              </w:rPr>
              <w:t>Combined</w:t>
            </w:r>
          </w:p>
        </w:tc>
        <w:tc>
          <w:tcPr>
            <w:tcW w:w="0" w:type="dxa"/>
            <w:vAlign w:val="bottom"/>
          </w:tcPr>
          <w:p>
            <w:pPr>
              <w:spacing w:after="0"/>
              <w:rPr>
                <w:sz w:val="1"/>
                <w:szCs w:val="1"/>
                <w:color w:val="auto"/>
              </w:rPr>
            </w:pPr>
          </w:p>
        </w:tc>
      </w:tr>
      <w:tr>
        <w:trPr>
          <w:trHeight w:val="160"/>
        </w:trPr>
        <w:tc>
          <w:tcPr>
            <w:tcW w:w="2800" w:type="dxa"/>
            <w:vAlign w:val="bottom"/>
          </w:tcPr>
          <w:p>
            <w:pPr>
              <w:ind w:left="40"/>
              <w:spacing w:after="0"/>
              <w:rPr>
                <w:sz w:val="20"/>
                <w:szCs w:val="20"/>
                <w:color w:val="auto"/>
              </w:rPr>
            </w:pPr>
            <w:r>
              <w:rPr>
                <w:rFonts w:ascii="Arial" w:cs="Arial" w:eastAsia="Arial" w:hAnsi="Arial"/>
                <w:sz w:val="13"/>
                <w:szCs w:val="13"/>
                <w:b w:val="1"/>
                <w:bCs w:val="1"/>
                <w:color w:val="auto"/>
              </w:rPr>
              <w:t>Cash flows from operating activities</w:t>
            </w: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Income (loss) from 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(444)</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1,241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638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5,233</w:t>
            </w:r>
          </w:p>
        </w:tc>
        <w:tc>
          <w:tcPr>
            <w:tcW w:w="0" w:type="dxa"/>
            <w:vAlign w:val="bottom"/>
          </w:tcPr>
          <w:p>
            <w:pPr>
              <w:spacing w:after="0"/>
              <w:rPr>
                <w:sz w:val="1"/>
                <w:szCs w:val="1"/>
                <w:color w:val="auto"/>
              </w:rPr>
            </w:pPr>
          </w:p>
        </w:tc>
      </w:tr>
      <w:tr>
        <w:trPr>
          <w:trHeight w:val="156"/>
        </w:trPr>
        <w:tc>
          <w:tcPr>
            <w:tcW w:w="2800" w:type="dxa"/>
            <w:vAlign w:val="bottom"/>
          </w:tcPr>
          <w:p>
            <w:pPr>
              <w:ind w:left="180"/>
              <w:spacing w:after="0"/>
              <w:rPr>
                <w:sz w:val="20"/>
                <w:szCs w:val="20"/>
                <w:color w:val="auto"/>
              </w:rPr>
            </w:pPr>
            <w:r>
              <w:rPr>
                <w:rFonts w:ascii="Arial" w:cs="Arial" w:eastAsia="Arial" w:hAnsi="Arial"/>
                <w:sz w:val="13"/>
                <w:szCs w:val="13"/>
                <w:color w:val="auto"/>
                <w:w w:val="98"/>
              </w:rPr>
              <w:t>Depreciation and impairment of Equipment on</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340"/>
              <w:spacing w:after="0"/>
              <w:rPr>
                <w:sz w:val="20"/>
                <w:szCs w:val="20"/>
                <w:color w:val="auto"/>
              </w:rPr>
            </w:pPr>
            <w:r>
              <w:rPr>
                <w:rFonts w:ascii="Arial" w:cs="Arial" w:eastAsia="Arial" w:hAnsi="Arial"/>
                <w:sz w:val="13"/>
                <w:szCs w:val="13"/>
                <w:color w:val="auto"/>
              </w:rPr>
              <w:t>operating leases, net</w:t>
            </w:r>
          </w:p>
        </w:tc>
        <w:tc>
          <w:tcPr>
            <w:tcW w:w="140" w:type="dxa"/>
            <w:vAlign w:val="bottom"/>
          </w:tcPr>
          <w:p>
            <w:pPr>
              <w:spacing w:after="0"/>
              <w:rPr>
                <w:sz w:val="13"/>
                <w:szCs w:val="13"/>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124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5,509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5,633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4,722</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4,947</w:t>
            </w:r>
          </w:p>
        </w:tc>
        <w:tc>
          <w:tcPr>
            <w:tcW w:w="0" w:type="dxa"/>
            <w:vAlign w:val="bottom"/>
          </w:tcPr>
          <w:p>
            <w:pPr>
              <w:spacing w:after="0"/>
              <w:rPr>
                <w:sz w:val="1"/>
                <w:szCs w:val="1"/>
                <w:color w:val="auto"/>
              </w:rPr>
            </w:pPr>
          </w:p>
        </w:tc>
      </w:tr>
      <w:tr>
        <w:trPr>
          <w:trHeight w:val="164"/>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Depreciation, amortization and impairment</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charges on Property, net</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4,334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4,390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4,101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4,137</w:t>
            </w:r>
          </w:p>
        </w:tc>
        <w:tc>
          <w:tcPr>
            <w:tcW w:w="0" w:type="dxa"/>
            <w:vAlign w:val="bottom"/>
          </w:tcPr>
          <w:p>
            <w:pPr>
              <w:spacing w:after="0"/>
              <w:rPr>
                <w:sz w:val="1"/>
                <w:szCs w:val="1"/>
                <w:color w:val="auto"/>
              </w:rPr>
            </w:pPr>
          </w:p>
        </w:tc>
      </w:tr>
      <w:tr>
        <w:trPr>
          <w:trHeight w:val="156"/>
        </w:trPr>
        <w:tc>
          <w:tcPr>
            <w:tcW w:w="2800" w:type="dxa"/>
            <w:vAlign w:val="bottom"/>
          </w:tcPr>
          <w:p>
            <w:pPr>
              <w:ind w:left="180"/>
              <w:spacing w:after="0"/>
              <w:rPr>
                <w:sz w:val="20"/>
                <w:szCs w:val="20"/>
                <w:color w:val="auto"/>
              </w:rPr>
            </w:pPr>
            <w:r>
              <w:rPr>
                <w:rFonts w:ascii="Arial" w:cs="Arial" w:eastAsia="Arial" w:hAnsi="Arial"/>
                <w:sz w:val="13"/>
                <w:szCs w:val="13"/>
                <w:color w:val="auto"/>
              </w:rPr>
              <w:t>Foreign currency remeasurement and</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340"/>
              <w:spacing w:after="0"/>
              <w:rPr>
                <w:sz w:val="20"/>
                <w:szCs w:val="20"/>
                <w:color w:val="auto"/>
              </w:rPr>
            </w:pPr>
            <w:r>
              <w:rPr>
                <w:rFonts w:ascii="Arial" w:cs="Arial" w:eastAsia="Arial" w:hAnsi="Arial"/>
                <w:sz w:val="13"/>
                <w:szCs w:val="13"/>
                <w:color w:val="auto"/>
              </w:rPr>
              <w:t>transaction (gains) losses</w:t>
            </w:r>
          </w:p>
        </w:tc>
        <w:tc>
          <w:tcPr>
            <w:tcW w:w="140" w:type="dxa"/>
            <w:vAlign w:val="bottom"/>
          </w:tcPr>
          <w:p>
            <w:pPr>
              <w:spacing w:after="0"/>
              <w:rPr>
                <w:sz w:val="13"/>
                <w:szCs w:val="13"/>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280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64"/>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Undistributed earnings of nonconsolidated</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affiliates, net</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185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370</w:t>
            </w:r>
          </w:p>
        </w:tc>
        <w:tc>
          <w:tcPr>
            <w:tcW w:w="0" w:type="dxa"/>
            <w:vAlign w:val="bottom"/>
          </w:tcPr>
          <w:p>
            <w:pPr>
              <w:spacing w:after="0"/>
              <w:rPr>
                <w:sz w:val="1"/>
                <w:szCs w:val="1"/>
                <w:color w:val="auto"/>
              </w:rPr>
            </w:pPr>
          </w:p>
        </w:tc>
      </w:tr>
      <w:tr>
        <w:trPr>
          <w:trHeight w:val="208"/>
        </w:trPr>
        <w:tc>
          <w:tcPr>
            <w:tcW w:w="2800" w:type="dxa"/>
            <w:vAlign w:val="bottom"/>
          </w:tcPr>
          <w:p>
            <w:pPr>
              <w:ind w:left="180"/>
              <w:spacing w:after="0"/>
              <w:rPr>
                <w:sz w:val="20"/>
                <w:szCs w:val="20"/>
                <w:color w:val="auto"/>
              </w:rPr>
            </w:pPr>
            <w:r>
              <w:rPr>
                <w:rFonts w:ascii="Arial" w:cs="Arial" w:eastAsia="Arial" w:hAnsi="Arial"/>
                <w:sz w:val="13"/>
                <w:szCs w:val="13"/>
                <w:color w:val="auto"/>
              </w:rPr>
              <w:t>Pension contributions and OPEB payments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(1,109)</w:t>
            </w:r>
          </w:p>
        </w:tc>
        <w:tc>
          <w:tcPr>
            <w:tcW w:w="0" w:type="dxa"/>
            <w:vAlign w:val="bottom"/>
          </w:tcPr>
          <w:p>
            <w:pPr>
              <w:spacing w:after="0"/>
              <w:rPr>
                <w:sz w:val="1"/>
                <w:szCs w:val="1"/>
                <w:color w:val="auto"/>
              </w:rPr>
            </w:pPr>
          </w:p>
        </w:tc>
      </w:tr>
      <w:tr>
        <w:trPr>
          <w:trHeight w:val="224"/>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Pension and OPEB income, net</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0" w:type="dxa"/>
            <w:vAlign w:val="bottom"/>
          </w:tcPr>
          <w:p>
            <w:pPr>
              <w:spacing w:after="0"/>
              <w:rPr>
                <w:sz w:val="1"/>
                <w:szCs w:val="1"/>
                <w:color w:val="auto"/>
              </w:rPr>
            </w:pPr>
          </w:p>
        </w:tc>
      </w:tr>
      <w:tr>
        <w:trPr>
          <w:trHeight w:val="208"/>
        </w:trPr>
        <w:tc>
          <w:tcPr>
            <w:tcW w:w="2800" w:type="dxa"/>
            <w:vAlign w:val="bottom"/>
          </w:tcPr>
          <w:p>
            <w:pPr>
              <w:ind w:left="180"/>
              <w:spacing w:after="0"/>
              <w:rPr>
                <w:sz w:val="20"/>
                <w:szCs w:val="20"/>
                <w:color w:val="auto"/>
              </w:rPr>
            </w:pPr>
            <w:r>
              <w:rPr>
                <w:rFonts w:ascii="Arial" w:cs="Arial" w:eastAsia="Arial" w:hAnsi="Arial"/>
                <w:sz w:val="13"/>
                <w:szCs w:val="13"/>
                <w:color w:val="auto"/>
              </w:rPr>
              <w:t>Provision for deferred taxes</w:t>
            </w:r>
          </w:p>
        </w:tc>
        <w:tc>
          <w:tcPr>
            <w:tcW w:w="140" w:type="dxa"/>
            <w:vAlign w:val="bottom"/>
          </w:tcPr>
          <w:p>
            <w:pPr>
              <w:spacing w:after="0"/>
              <w:rPr>
                <w:sz w:val="18"/>
                <w:szCs w:val="18"/>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165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3,274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21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222</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3,517</w:t>
            </w:r>
          </w:p>
        </w:tc>
        <w:tc>
          <w:tcPr>
            <w:tcW w:w="0" w:type="dxa"/>
            <w:vAlign w:val="bottom"/>
          </w:tcPr>
          <w:p>
            <w:pPr>
              <w:spacing w:after="0"/>
              <w:rPr>
                <w:sz w:val="1"/>
                <w:szCs w:val="1"/>
                <w:color w:val="auto"/>
              </w:rPr>
            </w:pPr>
          </w:p>
        </w:tc>
      </w:tr>
      <w:tr>
        <w:trPr>
          <w:trHeight w:val="164"/>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Change in other operating assets and</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liabilities(a)(b)</w:t>
            </w:r>
          </w:p>
        </w:tc>
        <w:tc>
          <w:tcPr>
            <w:tcW w:w="14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(2,727)</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94</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(1,527)</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92"/>
              </w:rPr>
              <w:t>(1,098)</w:t>
            </w: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(5,258)</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(3,811)</w:t>
            </w:r>
          </w:p>
        </w:tc>
        <w:tc>
          <w:tcPr>
            <w:tcW w:w="1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136</w:t>
            </w:r>
          </w:p>
        </w:tc>
        <w:tc>
          <w:tcPr>
            <w:tcW w:w="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(702)</w:t>
            </w:r>
          </w:p>
        </w:tc>
        <w:tc>
          <w:tcPr>
            <w:tcW w:w="100" w:type="dxa"/>
            <w:vAlign w:val="bottom"/>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92"/>
              </w:rPr>
              <w:t>(1,684)</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(6,061)</w:t>
            </w:r>
          </w:p>
        </w:tc>
        <w:tc>
          <w:tcPr>
            <w:tcW w:w="0" w:type="dxa"/>
            <w:vAlign w:val="bottom"/>
          </w:tcPr>
          <w:p>
            <w:pPr>
              <w:spacing w:after="0"/>
              <w:rPr>
                <w:sz w:val="1"/>
                <w:szCs w:val="1"/>
                <w:color w:val="auto"/>
              </w:rPr>
            </w:pPr>
          </w:p>
        </w:tc>
      </w:tr>
      <w:tr>
        <w:trPr>
          <w:trHeight w:val="136"/>
        </w:trPr>
        <w:tc>
          <w:tcPr>
            <w:tcW w:w="2800" w:type="dxa"/>
            <w:vAlign w:val="bottom"/>
          </w:tcPr>
          <w:p>
            <w:pPr>
              <w:ind w:left="180"/>
              <w:spacing w:after="0" w:line="136" w:lineRule="exact"/>
              <w:rPr>
                <w:sz w:val="20"/>
                <w:szCs w:val="20"/>
                <w:color w:val="auto"/>
              </w:rPr>
            </w:pPr>
            <w:r>
              <w:rPr>
                <w:rFonts w:ascii="Arial" w:cs="Arial" w:eastAsia="Arial" w:hAnsi="Arial"/>
                <w:sz w:val="13"/>
                <w:szCs w:val="13"/>
                <w:color w:val="auto"/>
              </w:rPr>
              <w:t>Net cash provided by (used in) operating</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340"/>
              <w:spacing w:after="0"/>
              <w:rPr>
                <w:sz w:val="20"/>
                <w:szCs w:val="20"/>
                <w:color w:val="auto"/>
              </w:rPr>
            </w:pPr>
            <w:r>
              <w:rPr>
                <w:rFonts w:ascii="Arial" w:cs="Arial" w:eastAsia="Arial" w:hAnsi="Arial"/>
                <w:sz w:val="13"/>
                <w:szCs w:val="13"/>
                <w:color w:val="auto"/>
              </w:rPr>
              <w:t>activities – continuing operations</w:t>
            </w:r>
          </w:p>
        </w:tc>
        <w:tc>
          <w:tcPr>
            <w:tcW w:w="140" w:type="dxa"/>
            <w:vAlign w:val="bottom"/>
          </w:tcPr>
          <w:p>
            <w:pPr>
              <w:spacing w:after="0"/>
              <w:rPr>
                <w:sz w:val="13"/>
                <w:szCs w:val="13"/>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5,438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(428)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5,308</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w w:val="92"/>
              </w:rPr>
              <w:t>(1,092)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9,226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7,583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(318)</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4,795</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w w:val="92"/>
              </w:rPr>
              <w:t>(1,684)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10,376</w:t>
            </w:r>
          </w:p>
        </w:tc>
        <w:tc>
          <w:tcPr>
            <w:tcW w:w="0" w:type="dxa"/>
            <w:vAlign w:val="bottom"/>
          </w:tcPr>
          <w:p>
            <w:pPr>
              <w:spacing w:after="0"/>
              <w:rPr>
                <w:sz w:val="1"/>
                <w:szCs w:val="1"/>
                <w:color w:val="auto"/>
              </w:rPr>
            </w:pPr>
          </w:p>
        </w:tc>
      </w:tr>
      <w:tr>
        <w:trPr>
          <w:trHeight w:val="164"/>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cash provided by operating activities –</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discontinued operations</w:t>
            </w:r>
          </w:p>
        </w:tc>
        <w:tc>
          <w:tcPr>
            <w:tcW w:w="14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20"/>
        </w:trPr>
        <w:tc>
          <w:tcPr>
            <w:tcW w:w="2800" w:type="dxa"/>
            <w:vAlign w:val="bottom"/>
          </w:tcPr>
          <w:p>
            <w:pPr>
              <w:ind w:left="40"/>
              <w:spacing w:after="0" w:line="120" w:lineRule="exact"/>
              <w:rPr>
                <w:sz w:val="20"/>
                <w:szCs w:val="20"/>
                <w:color w:val="auto"/>
              </w:rPr>
            </w:pPr>
            <w:r>
              <w:rPr>
                <w:rFonts w:ascii="Arial" w:cs="Arial" w:eastAsia="Arial" w:hAnsi="Arial"/>
                <w:sz w:val="13"/>
                <w:szCs w:val="13"/>
                <w:b w:val="1"/>
                <w:bCs w:val="1"/>
                <w:color w:val="auto"/>
              </w:rPr>
              <w:t>Net cash provided by (used in) operating</w:t>
            </w:r>
          </w:p>
        </w:tc>
        <w:tc>
          <w:tcPr>
            <w:tcW w:w="1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800" w:type="dxa"/>
            <w:vAlign w:val="bottom"/>
          </w:tcPr>
          <w:p>
            <w:pPr>
              <w:ind w:left="200"/>
              <w:spacing w:after="0"/>
              <w:rPr>
                <w:sz w:val="20"/>
                <w:szCs w:val="20"/>
                <w:color w:val="auto"/>
              </w:rPr>
            </w:pPr>
            <w:r>
              <w:rPr>
                <w:rFonts w:ascii="Arial" w:cs="Arial" w:eastAsia="Arial" w:hAnsi="Arial"/>
                <w:sz w:val="13"/>
                <w:szCs w:val="13"/>
                <w:b w:val="1"/>
                <w:bCs w:val="1"/>
                <w:color w:val="auto"/>
              </w:rPr>
              <w:t>activities</w:t>
            </w:r>
          </w:p>
        </w:tc>
        <w:tc>
          <w:tcPr>
            <w:tcW w:w="140" w:type="dxa"/>
            <w:vAlign w:val="bottom"/>
          </w:tcPr>
          <w:p>
            <w:pPr>
              <w:spacing w:after="0"/>
              <w:rPr>
                <w:sz w:val="15"/>
                <w:szCs w:val="15"/>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5,438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(428)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5,308</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w w:val="92"/>
              </w:rPr>
              <w:t>(1,092)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9,226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7,598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(318)</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5,038</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w w:val="92"/>
              </w:rPr>
              <w:t>(1,878)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10,440</w:t>
            </w:r>
          </w:p>
        </w:tc>
        <w:tc>
          <w:tcPr>
            <w:tcW w:w="0" w:type="dxa"/>
            <w:vAlign w:val="bottom"/>
          </w:tcPr>
          <w:p>
            <w:pPr>
              <w:spacing w:after="0"/>
              <w:rPr>
                <w:sz w:val="1"/>
                <w:szCs w:val="1"/>
                <w:color w:val="auto"/>
              </w:rPr>
            </w:pPr>
          </w:p>
        </w:tc>
      </w:tr>
      <w:tr>
        <w:trPr>
          <w:trHeight w:val="181"/>
        </w:trPr>
        <w:tc>
          <w:tcPr>
            <w:tcW w:w="28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investing activities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800" w:type="dxa"/>
            <w:vAlign w:val="bottom"/>
          </w:tcPr>
          <w:p>
            <w:pPr>
              <w:ind w:left="180"/>
              <w:spacing w:after="0"/>
              <w:rPr>
                <w:sz w:val="20"/>
                <w:szCs w:val="20"/>
                <w:color w:val="auto"/>
              </w:rPr>
            </w:pPr>
            <w:r>
              <w:rPr>
                <w:rFonts w:ascii="Arial" w:cs="Arial" w:eastAsia="Arial" w:hAnsi="Arial"/>
                <w:sz w:val="13"/>
                <w:szCs w:val="13"/>
                <w:color w:val="auto"/>
              </w:rPr>
              <w:t>Expenditures for property</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(6,496)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(6,562)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(6,276)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(66)</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(6,353)</w:t>
            </w:r>
          </w:p>
        </w:tc>
        <w:tc>
          <w:tcPr>
            <w:tcW w:w="0" w:type="dxa"/>
            <w:vAlign w:val="bottom"/>
          </w:tcPr>
          <w:p>
            <w:pPr>
              <w:spacing w:after="0"/>
              <w:rPr>
                <w:sz w:val="1"/>
                <w:szCs w:val="1"/>
                <w:color w:val="auto"/>
              </w:rPr>
            </w:pPr>
          </w:p>
        </w:tc>
      </w:tr>
      <w:tr>
        <w:trPr>
          <w:trHeight w:val="164"/>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Available-for-sale marketable securities,</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acquisitions</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(4,499)</w:t>
            </w:r>
          </w:p>
        </w:tc>
        <w:tc>
          <w:tcPr>
            <w:tcW w:w="0" w:type="dxa"/>
            <w:vAlign w:val="bottom"/>
          </w:tcPr>
          <w:p>
            <w:pPr>
              <w:spacing w:after="0"/>
              <w:rPr>
                <w:sz w:val="1"/>
                <w:szCs w:val="1"/>
                <w:color w:val="auto"/>
              </w:rPr>
            </w:pPr>
          </w:p>
        </w:tc>
      </w:tr>
      <w:tr>
        <w:trPr>
          <w:trHeight w:val="156"/>
        </w:trPr>
        <w:tc>
          <w:tcPr>
            <w:tcW w:w="2800" w:type="dxa"/>
            <w:vAlign w:val="bottom"/>
          </w:tcPr>
          <w:p>
            <w:pPr>
              <w:ind w:left="180"/>
              <w:spacing w:after="0"/>
              <w:rPr>
                <w:sz w:val="20"/>
                <w:szCs w:val="20"/>
                <w:color w:val="auto"/>
              </w:rPr>
            </w:pPr>
            <w:r>
              <w:rPr>
                <w:rFonts w:ascii="Arial" w:cs="Arial" w:eastAsia="Arial" w:hAnsi="Arial"/>
                <w:sz w:val="13"/>
                <w:szCs w:val="13"/>
                <w:color w:val="auto"/>
              </w:rPr>
              <w:t>Available-for-sale marketable securities,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340"/>
              <w:spacing w:after="0"/>
              <w:rPr>
                <w:sz w:val="20"/>
                <w:szCs w:val="20"/>
                <w:color w:val="auto"/>
              </w:rPr>
            </w:pPr>
            <w:r>
              <w:rPr>
                <w:rFonts w:ascii="Arial" w:cs="Arial" w:eastAsia="Arial" w:hAnsi="Arial"/>
                <w:sz w:val="13"/>
                <w:szCs w:val="13"/>
                <w:color w:val="auto"/>
              </w:rPr>
              <w:t>liquidations</w:t>
            </w:r>
          </w:p>
        </w:tc>
        <w:tc>
          <w:tcPr>
            <w:tcW w:w="140" w:type="dxa"/>
            <w:vAlign w:val="bottom"/>
          </w:tcPr>
          <w:p>
            <w:pPr>
              <w:spacing w:after="0"/>
              <w:rPr>
                <w:sz w:val="13"/>
                <w:szCs w:val="13"/>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4,637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4,637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7,901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7,901</w:t>
            </w:r>
          </w:p>
        </w:tc>
        <w:tc>
          <w:tcPr>
            <w:tcW w:w="0" w:type="dxa"/>
            <w:vAlign w:val="bottom"/>
          </w:tcPr>
          <w:p>
            <w:pPr>
              <w:spacing w:after="0"/>
              <w:rPr>
                <w:sz w:val="1"/>
                <w:szCs w:val="1"/>
                <w:color w:val="auto"/>
              </w:rPr>
            </w:pPr>
          </w:p>
        </w:tc>
      </w:tr>
      <w:tr>
        <w:trPr>
          <w:trHeight w:val="224"/>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Purchases of finance receivables, net(a)(b)</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(18,680)</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1,383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(17,297)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(16,824)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1,690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(15,134)</w:t>
            </w:r>
          </w:p>
        </w:tc>
        <w:tc>
          <w:tcPr>
            <w:tcW w:w="0" w:type="dxa"/>
            <w:vAlign w:val="bottom"/>
          </w:tcPr>
          <w:p>
            <w:pPr>
              <w:spacing w:after="0"/>
              <w:rPr>
                <w:sz w:val="1"/>
                <w:szCs w:val="1"/>
                <w:color w:val="auto"/>
              </w:rPr>
            </w:pPr>
          </w:p>
        </w:tc>
      </w:tr>
      <w:tr>
        <w:trPr>
          <w:trHeight w:val="156"/>
        </w:trPr>
        <w:tc>
          <w:tcPr>
            <w:tcW w:w="2800" w:type="dxa"/>
            <w:vAlign w:val="bottom"/>
          </w:tcPr>
          <w:p>
            <w:pPr>
              <w:ind w:left="180"/>
              <w:spacing w:after="0"/>
              <w:rPr>
                <w:sz w:val="20"/>
                <w:szCs w:val="20"/>
                <w:color w:val="auto"/>
              </w:rPr>
            </w:pPr>
            <w:r>
              <w:rPr>
                <w:rFonts w:ascii="Arial" w:cs="Arial" w:eastAsia="Arial" w:hAnsi="Arial"/>
                <w:sz w:val="13"/>
                <w:szCs w:val="13"/>
                <w:color w:val="auto"/>
                <w:w w:val="97"/>
              </w:rPr>
              <w:t>Principal collections and recoveries on finance</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340"/>
              <w:spacing w:after="0"/>
              <w:rPr>
                <w:sz w:val="20"/>
                <w:szCs w:val="20"/>
                <w:color w:val="auto"/>
              </w:rPr>
            </w:pPr>
            <w:r>
              <w:rPr>
                <w:rFonts w:ascii="Arial" w:cs="Arial" w:eastAsia="Arial" w:hAnsi="Arial"/>
                <w:sz w:val="13"/>
                <w:szCs w:val="13"/>
                <w:color w:val="auto"/>
              </w:rPr>
              <w:t>receivables(b)</w:t>
            </w:r>
          </w:p>
        </w:tc>
        <w:tc>
          <w:tcPr>
            <w:tcW w:w="140" w:type="dxa"/>
            <w:vAlign w:val="bottom"/>
          </w:tcPr>
          <w:p>
            <w:pPr>
              <w:spacing w:after="0"/>
              <w:rPr>
                <w:sz w:val="13"/>
                <w:szCs w:val="13"/>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12,010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(234)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11,776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9,410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9,363</w:t>
            </w:r>
          </w:p>
        </w:tc>
        <w:tc>
          <w:tcPr>
            <w:tcW w:w="0" w:type="dxa"/>
            <w:vAlign w:val="bottom"/>
          </w:tcPr>
          <w:p>
            <w:pPr>
              <w:spacing w:after="0"/>
              <w:rPr>
                <w:sz w:val="1"/>
                <w:szCs w:val="1"/>
                <w:color w:val="auto"/>
              </w:rPr>
            </w:pPr>
          </w:p>
        </w:tc>
      </w:tr>
      <w:tr>
        <w:trPr>
          <w:trHeight w:val="224"/>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Purchases of leased vehicles, net</w:t>
            </w:r>
          </w:p>
        </w:tc>
        <w:tc>
          <w:tcPr>
            <w:tcW w:w="14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(13,051)</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(13,051)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(14,809)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(14,809)</w:t>
            </w:r>
          </w:p>
        </w:tc>
        <w:tc>
          <w:tcPr>
            <w:tcW w:w="0" w:type="dxa"/>
            <w:vAlign w:val="bottom"/>
          </w:tcPr>
          <w:p>
            <w:pPr>
              <w:spacing w:after="0"/>
              <w:rPr>
                <w:sz w:val="1"/>
                <w:szCs w:val="1"/>
                <w:color w:val="auto"/>
              </w:rPr>
            </w:pPr>
          </w:p>
        </w:tc>
      </w:tr>
      <w:tr>
        <w:trPr>
          <w:trHeight w:val="208"/>
        </w:trPr>
        <w:tc>
          <w:tcPr>
            <w:tcW w:w="2800" w:type="dxa"/>
            <w:vAlign w:val="bottom"/>
          </w:tcPr>
          <w:p>
            <w:pPr>
              <w:ind w:left="180"/>
              <w:spacing w:after="0"/>
              <w:rPr>
                <w:sz w:val="20"/>
                <w:szCs w:val="20"/>
                <w:color w:val="auto"/>
              </w:rPr>
            </w:pPr>
            <w:r>
              <w:rPr>
                <w:rFonts w:ascii="Arial" w:cs="Arial" w:eastAsia="Arial" w:hAnsi="Arial"/>
                <w:sz w:val="13"/>
                <w:szCs w:val="13"/>
                <w:color w:val="auto"/>
              </w:rPr>
              <w:t>Proceeds from termination of leased vehicles</w:t>
            </w:r>
          </w:p>
        </w:tc>
        <w:tc>
          <w:tcPr>
            <w:tcW w:w="14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8,094</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8,094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4,649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4,649</w:t>
            </w:r>
          </w:p>
        </w:tc>
        <w:tc>
          <w:tcPr>
            <w:tcW w:w="0" w:type="dxa"/>
            <w:vAlign w:val="bottom"/>
          </w:tcPr>
          <w:p>
            <w:pPr>
              <w:spacing w:after="0"/>
              <w:rPr>
                <w:sz w:val="1"/>
                <w:szCs w:val="1"/>
                <w:color w:val="auto"/>
              </w:rPr>
            </w:pPr>
          </w:p>
        </w:tc>
      </w:tr>
      <w:tr>
        <w:trPr>
          <w:trHeight w:val="224"/>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investing activities(c)</w:t>
            </w:r>
          </w:p>
        </w:tc>
        <w:tc>
          <w:tcPr>
            <w:tcW w:w="1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(1,349)</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1,373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93</w:t>
            </w:r>
          </w:p>
        </w:tc>
        <w:tc>
          <w:tcPr>
            <w:tcW w:w="0" w:type="dxa"/>
            <w:vAlign w:val="bottom"/>
          </w:tcPr>
          <w:p>
            <w:pPr>
              <w:spacing w:after="0"/>
              <w:rPr>
                <w:sz w:val="1"/>
                <w:szCs w:val="1"/>
                <w:color w:val="auto"/>
              </w:rPr>
            </w:pPr>
          </w:p>
        </w:tc>
      </w:tr>
      <w:tr>
        <w:trPr>
          <w:trHeight w:val="136"/>
        </w:trPr>
        <w:tc>
          <w:tcPr>
            <w:tcW w:w="2800" w:type="dxa"/>
            <w:vAlign w:val="bottom"/>
          </w:tcPr>
          <w:p>
            <w:pPr>
              <w:ind w:left="180"/>
              <w:spacing w:after="0" w:line="136" w:lineRule="exact"/>
              <w:rPr>
                <w:sz w:val="20"/>
                <w:szCs w:val="20"/>
                <w:color w:val="auto"/>
              </w:rPr>
            </w:pPr>
            <w:r>
              <w:rPr>
                <w:rFonts w:ascii="Arial" w:cs="Arial" w:eastAsia="Arial" w:hAnsi="Arial"/>
                <w:sz w:val="13"/>
                <w:szCs w:val="13"/>
                <w:color w:val="auto"/>
              </w:rPr>
              <w:t>Net cash used in investing activities –</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340"/>
              <w:spacing w:after="0"/>
              <w:rPr>
                <w:sz w:val="20"/>
                <w:szCs w:val="20"/>
                <w:color w:val="auto"/>
              </w:rPr>
            </w:pPr>
            <w:r>
              <w:rPr>
                <w:rFonts w:ascii="Arial" w:cs="Arial" w:eastAsia="Arial" w:hAnsi="Arial"/>
                <w:sz w:val="13"/>
                <w:szCs w:val="13"/>
                <w:color w:val="auto"/>
              </w:rPr>
              <w:t>continuing operations</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(5,521)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(15)</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(11,727)</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ind w:right="57"/>
              <w:spacing w:after="0"/>
              <w:rPr>
                <w:sz w:val="20"/>
                <w:szCs w:val="20"/>
                <w:color w:val="auto"/>
              </w:rPr>
            </w:pPr>
            <w:r>
              <w:rPr>
                <w:rFonts w:ascii="Arial" w:cs="Arial" w:eastAsia="Arial" w:hAnsi="Arial"/>
                <w:sz w:val="13"/>
                <w:szCs w:val="13"/>
                <w:color w:val="auto"/>
              </w:rPr>
              <w:t>2,522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(14,741)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(3,172)</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(17,639)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jc w:val="right"/>
              <w:ind w:right="77"/>
              <w:spacing w:after="0"/>
              <w:rPr>
                <w:sz w:val="20"/>
                <w:szCs w:val="20"/>
                <w:color w:val="auto"/>
              </w:rPr>
            </w:pPr>
            <w:r>
              <w:rPr>
                <w:rFonts w:ascii="Arial" w:cs="Arial" w:eastAsia="Arial" w:hAnsi="Arial"/>
                <w:sz w:val="13"/>
                <w:szCs w:val="13"/>
                <w:color w:val="auto"/>
              </w:rPr>
              <w:t>2,033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(18,789)</w:t>
            </w:r>
          </w:p>
        </w:tc>
        <w:tc>
          <w:tcPr>
            <w:tcW w:w="0" w:type="dxa"/>
            <w:vAlign w:val="bottom"/>
          </w:tcPr>
          <w:p>
            <w:pPr>
              <w:spacing w:after="0"/>
              <w:rPr>
                <w:sz w:val="1"/>
                <w:szCs w:val="1"/>
                <w:color w:val="auto"/>
              </w:rPr>
            </w:pPr>
          </w:p>
        </w:tc>
      </w:tr>
      <w:tr>
        <w:trPr>
          <w:trHeight w:val="164"/>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cash provided by (used in) investing</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activities – discontinued operations</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(3,613)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(3,972)</w:t>
            </w:r>
          </w:p>
        </w:tc>
        <w:tc>
          <w:tcPr>
            <w:tcW w:w="0" w:type="dxa"/>
            <w:vAlign w:val="bottom"/>
          </w:tcPr>
          <w:p>
            <w:pPr>
              <w:spacing w:after="0"/>
              <w:rPr>
                <w:sz w:val="1"/>
                <w:szCs w:val="1"/>
                <w:color w:val="auto"/>
              </w:rPr>
            </w:pPr>
          </w:p>
        </w:tc>
      </w:tr>
      <w:tr>
        <w:trPr>
          <w:trHeight w:val="153"/>
        </w:trPr>
        <w:tc>
          <w:tcPr>
            <w:tcW w:w="2800" w:type="dxa"/>
            <w:vAlign w:val="bottom"/>
          </w:tcPr>
          <w:p>
            <w:pPr>
              <w:ind w:left="40"/>
              <w:spacing w:after="0"/>
              <w:rPr>
                <w:sz w:val="20"/>
                <w:szCs w:val="20"/>
                <w:color w:val="auto"/>
              </w:rPr>
            </w:pPr>
            <w:r>
              <w:rPr>
                <w:rFonts w:ascii="Arial" w:cs="Arial" w:eastAsia="Arial" w:hAnsi="Arial"/>
                <w:sz w:val="13"/>
                <w:szCs w:val="13"/>
                <w:b w:val="1"/>
                <w:bCs w:val="1"/>
                <w:color w:val="auto"/>
              </w:rPr>
              <w:t>Net cash used in investing activities</w:t>
            </w: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(5,355)</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(15)</w:t>
            </w: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9"/>
              </w:rPr>
              <w:t>(11,727)</w:t>
            </w: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vMerge w:val="restart"/>
          </w:tcPr>
          <w:p>
            <w:pPr>
              <w:jc w:val="right"/>
              <w:ind w:right="57"/>
              <w:spacing w:after="0"/>
              <w:rPr>
                <w:sz w:val="20"/>
                <w:szCs w:val="20"/>
                <w:color w:val="auto"/>
              </w:rPr>
            </w:pPr>
            <w:r>
              <w:rPr>
                <w:rFonts w:ascii="Arial" w:cs="Arial" w:eastAsia="Arial" w:hAnsi="Arial"/>
                <w:sz w:val="13"/>
                <w:szCs w:val="13"/>
                <w:color w:val="auto"/>
              </w:rPr>
              <w:t>2,522</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9"/>
              </w:rPr>
              <w:t>(14,575)</w:t>
            </w: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(6,785)</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(11)</w:t>
            </w:r>
          </w:p>
        </w:tc>
        <w:tc>
          <w:tcPr>
            <w:tcW w:w="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9"/>
              </w:rPr>
              <w:t>(18,107)</w:t>
            </w:r>
          </w:p>
        </w:tc>
        <w:tc>
          <w:tcPr>
            <w:tcW w:w="100" w:type="dxa"/>
            <w:vAlign w:val="bottom"/>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3"/>
                <w:szCs w:val="13"/>
                <w:color w:val="auto"/>
              </w:rPr>
              <w:t>2,142</w:t>
            </w: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9"/>
              </w:rPr>
              <w:t>(22,761)</w:t>
            </w:r>
          </w:p>
        </w:tc>
        <w:tc>
          <w:tcPr>
            <w:tcW w:w="0" w:type="dxa"/>
            <w:vAlign w:val="bottom"/>
          </w:tcPr>
          <w:p>
            <w:pPr>
              <w:spacing w:after="0"/>
              <w:rPr>
                <w:sz w:val="1"/>
                <w:szCs w:val="1"/>
                <w:color w:val="auto"/>
              </w:rPr>
            </w:pPr>
          </w:p>
        </w:tc>
      </w:tr>
      <w:tr>
        <w:trPr>
          <w:trHeight w:val="49"/>
        </w:trPr>
        <w:tc>
          <w:tcPr>
            <w:tcW w:w="2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1"/>
        </w:trPr>
        <w:tc>
          <w:tcPr>
            <w:tcW w:w="28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Cash flows from financing activities</w:t>
            </w: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7"/>
        </w:trPr>
        <w:tc>
          <w:tcPr>
            <w:tcW w:w="28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800" w:type="dxa"/>
            <w:vAlign w:val="bottom"/>
          </w:tcPr>
          <w:p>
            <w:pPr>
              <w:ind w:left="180"/>
              <w:spacing w:after="0"/>
              <w:rPr>
                <w:sz w:val="20"/>
                <w:szCs w:val="20"/>
                <w:color w:val="auto"/>
              </w:rPr>
            </w:pPr>
            <w:r>
              <w:rPr>
                <w:rFonts w:ascii="Arial" w:cs="Arial" w:eastAsia="Arial" w:hAnsi="Arial"/>
                <w:sz w:val="13"/>
                <w:szCs w:val="13"/>
                <w:color w:val="auto"/>
              </w:rPr>
              <w:t>Net increase (decrease) in short-term debt</w:t>
            </w:r>
          </w:p>
        </w:tc>
        <w:tc>
          <w:tcPr>
            <w:tcW w:w="140" w:type="dxa"/>
            <w:vAlign w:val="bottom"/>
          </w:tcPr>
          <w:p>
            <w:pPr>
              <w:spacing w:after="0"/>
              <w:rPr>
                <w:sz w:val="18"/>
                <w:szCs w:val="18"/>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1,563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1,695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(374)</w:t>
            </w:r>
          </w:p>
        </w:tc>
        <w:tc>
          <w:tcPr>
            <w:tcW w:w="0" w:type="dxa"/>
            <w:vAlign w:val="bottom"/>
          </w:tcPr>
          <w:p>
            <w:pPr>
              <w:spacing w:after="0"/>
              <w:rPr>
                <w:sz w:val="1"/>
                <w:szCs w:val="1"/>
                <w:color w:val="auto"/>
              </w:rPr>
            </w:pPr>
          </w:p>
        </w:tc>
      </w:tr>
      <w:tr>
        <w:trPr>
          <w:trHeight w:val="164"/>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Proceeds from issuance of debt (original</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8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maturities greater than three months)(c)</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4,708</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28,093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32,801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3,691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39,357</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43,048</w:t>
            </w:r>
          </w:p>
        </w:tc>
        <w:tc>
          <w:tcPr>
            <w:tcW w:w="0" w:type="dxa"/>
            <w:vAlign w:val="bottom"/>
          </w:tcPr>
          <w:p>
            <w:pPr>
              <w:spacing w:after="0"/>
              <w:rPr>
                <w:sz w:val="1"/>
                <w:szCs w:val="1"/>
                <w:color w:val="auto"/>
              </w:rPr>
            </w:pPr>
          </w:p>
        </w:tc>
      </w:tr>
      <w:tr>
        <w:trPr>
          <w:trHeight w:val="156"/>
        </w:trPr>
        <w:tc>
          <w:tcPr>
            <w:tcW w:w="2800" w:type="dxa"/>
            <w:vAlign w:val="bottom"/>
          </w:tcPr>
          <w:p>
            <w:pPr>
              <w:ind w:left="180"/>
              <w:spacing w:after="0"/>
              <w:rPr>
                <w:sz w:val="20"/>
                <w:szCs w:val="20"/>
                <w:color w:val="auto"/>
              </w:rPr>
            </w:pPr>
            <w:r>
              <w:rPr>
                <w:rFonts w:ascii="Arial" w:cs="Arial" w:eastAsia="Arial" w:hAnsi="Arial"/>
                <w:sz w:val="13"/>
                <w:szCs w:val="13"/>
                <w:color w:val="auto"/>
              </w:rPr>
              <w:t>Payments on debt (original maturities greater</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0" w:type="dxa"/>
            <w:vAlign w:val="bottom"/>
          </w:tcPr>
          <w:p>
            <w:pPr>
              <w:ind w:left="340"/>
              <w:spacing w:after="0"/>
              <w:rPr>
                <w:sz w:val="20"/>
                <w:szCs w:val="20"/>
                <w:color w:val="auto"/>
              </w:rPr>
            </w:pPr>
            <w:r>
              <w:rPr>
                <w:rFonts w:ascii="Arial" w:cs="Arial" w:eastAsia="Arial" w:hAnsi="Arial"/>
                <w:sz w:val="13"/>
                <w:szCs w:val="13"/>
                <w:color w:val="auto"/>
              </w:rPr>
              <w:t>than three months)</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(2,208)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(23,133)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jc w:val="right"/>
              <w:ind w:right="17"/>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(25,408)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(754)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(25,280)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9"/>
              </w:rPr>
              <w:t>(26,034)</w:t>
            </w:r>
          </w:p>
        </w:tc>
        <w:tc>
          <w:tcPr>
            <w:tcW w:w="0" w:type="dxa"/>
            <w:vAlign w:val="bottom"/>
          </w:tcPr>
          <w:p>
            <w:pPr>
              <w:spacing w:after="0"/>
              <w:rPr>
                <w:sz w:val="1"/>
                <w:szCs w:val="1"/>
                <w:color w:val="auto"/>
              </w:rPr>
            </w:pPr>
          </w:p>
        </w:tc>
      </w:tr>
      <w:tr>
        <w:trPr>
          <w:trHeight w:val="224"/>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Payments to purchase common stock</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(2,994)</w:t>
            </w:r>
          </w:p>
        </w:tc>
        <w:tc>
          <w:tcPr>
            <w:tcW w:w="0" w:type="dxa"/>
            <w:vAlign w:val="bottom"/>
          </w:tcPr>
          <w:p>
            <w:pPr>
              <w:spacing w:after="0"/>
              <w:rPr>
                <w:sz w:val="1"/>
                <w:szCs w:val="1"/>
                <w:color w:val="auto"/>
              </w:rPr>
            </w:pPr>
          </w:p>
        </w:tc>
      </w:tr>
      <w:tr>
        <w:trPr>
          <w:trHeight w:val="173"/>
        </w:trPr>
        <w:tc>
          <w:tcPr>
            <w:tcW w:w="2800" w:type="dxa"/>
            <w:vAlign w:val="bottom"/>
          </w:tcPr>
          <w:p>
            <w:pPr>
              <w:ind w:left="180"/>
              <w:spacing w:after="0"/>
              <w:rPr>
                <w:sz w:val="20"/>
                <w:szCs w:val="20"/>
                <w:color w:val="auto"/>
              </w:rPr>
            </w:pPr>
            <w:r>
              <w:rPr>
                <w:rFonts w:ascii="Arial" w:cs="Arial" w:eastAsia="Arial" w:hAnsi="Arial"/>
                <w:sz w:val="13"/>
                <w:szCs w:val="13"/>
                <w:color w:val="auto"/>
              </w:rPr>
              <w:t>Proceeds from issuance of preferred stock(c)</w:t>
            </w:r>
          </w:p>
        </w:tc>
        <w:tc>
          <w:tcPr>
            <w:tcW w:w="140" w:type="dxa"/>
            <w:vAlign w:val="bottom"/>
          </w:tcPr>
          <w:p>
            <w:pPr>
              <w:spacing w:after="0"/>
              <w:rPr>
                <w:sz w:val="15"/>
                <w:szCs w:val="15"/>
                <w:color w:val="auto"/>
              </w:rPr>
            </w:pPr>
          </w:p>
        </w:tc>
        <w:tc>
          <w:tcPr>
            <w:tcW w:w="520" w:type="dxa"/>
            <w:vAlign w:val="bottom"/>
            <w:vMerge w:val="restart"/>
          </w:tcPr>
          <w:p>
            <w:pPr>
              <w:jc w:val="right"/>
              <w:ind w:right="37"/>
              <w:spacing w:after="0"/>
              <w:rPr>
                <w:sz w:val="20"/>
                <w:szCs w:val="20"/>
                <w:color w:val="auto"/>
              </w:rPr>
            </w:pPr>
            <w:r>
              <w:rPr>
                <w:rFonts w:ascii="Arial" w:cs="Arial" w:eastAsia="Arial" w:hAnsi="Arial"/>
                <w:sz w:val="13"/>
                <w:szCs w:val="13"/>
                <w:color w:val="auto"/>
              </w:rPr>
              <w:t>361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w w:val="98"/>
              </w:rPr>
              <w:t>2,000</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57"/>
              <w:spacing w:after="0"/>
              <w:rPr>
                <w:sz w:val="20"/>
                <w:szCs w:val="20"/>
                <w:color w:val="auto"/>
              </w:rPr>
            </w:pPr>
            <w:r>
              <w:rPr>
                <w:rFonts w:ascii="Arial" w:cs="Arial" w:eastAsia="Arial" w:hAnsi="Arial"/>
                <w:sz w:val="13"/>
                <w:szCs w:val="13"/>
                <w:color w:val="auto"/>
              </w:rPr>
              <w:t>492</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vMerge w:val="restart"/>
          </w:tcPr>
          <w:p>
            <w:pPr>
              <w:jc w:val="right"/>
              <w:ind w:right="17"/>
              <w:spacing w:after="0"/>
              <w:rPr>
                <w:sz w:val="20"/>
                <w:szCs w:val="20"/>
                <w:color w:val="auto"/>
              </w:rPr>
            </w:pPr>
            <w:r>
              <w:rPr>
                <w:rFonts w:ascii="Arial" w:cs="Arial" w:eastAsia="Arial" w:hAnsi="Arial"/>
                <w:sz w:val="13"/>
                <w:szCs w:val="13"/>
                <w:color w:val="auto"/>
                <w:w w:val="92"/>
              </w:rPr>
              <w:t>(1,100)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1,753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985</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985</w:t>
            </w:r>
          </w:p>
        </w:tc>
        <w:tc>
          <w:tcPr>
            <w:tcW w:w="0" w:type="dxa"/>
            <w:vAlign w:val="bottom"/>
          </w:tcPr>
          <w:p>
            <w:pPr>
              <w:spacing w:after="0"/>
              <w:rPr>
                <w:sz w:val="1"/>
                <w:szCs w:val="1"/>
                <w:color w:val="auto"/>
              </w:rPr>
            </w:pPr>
          </w:p>
        </w:tc>
      </w:tr>
      <w:tr>
        <w:trPr>
          <w:trHeight w:val="89"/>
        </w:trPr>
        <w:tc>
          <w:tcPr>
            <w:tcW w:w="28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8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Dividends paid</w:t>
            </w:r>
          </w:p>
        </w:tc>
        <w:tc>
          <w:tcPr>
            <w:tcW w:w="1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(1,701)</w:t>
            </w:r>
          </w:p>
        </w:tc>
        <w:tc>
          <w:tcPr>
            <w:tcW w:w="0" w:type="dxa"/>
            <w:vAlign w:val="bottom"/>
          </w:tcPr>
          <w:p>
            <w:pPr>
              <w:spacing w:after="0"/>
              <w:rPr>
                <w:sz w:val="1"/>
                <w:szCs w:val="1"/>
                <w:color w:val="auto"/>
              </w:rPr>
            </w:pPr>
          </w:p>
        </w:tc>
      </w:tr>
      <w:tr>
        <w:trPr>
          <w:trHeight w:val="210"/>
        </w:trPr>
        <w:tc>
          <w:tcPr>
            <w:tcW w:w="280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Other financing activities</w:t>
            </w: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(131)</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w:t>
            </w:r>
          </w:p>
        </w:tc>
        <w:tc>
          <w:tcPr>
            <w:tcW w:w="0" w:type="dxa"/>
            <w:vAlign w:val="bottom"/>
          </w:tcPr>
          <w:p>
            <w:pPr>
              <w:spacing w:after="0"/>
              <w:rPr>
                <w:sz w:val="1"/>
                <w:szCs w:val="1"/>
                <w:color w:val="auto"/>
              </w:rPr>
            </w:pPr>
          </w:p>
        </w:tc>
      </w:tr>
      <w:tr>
        <w:trPr>
          <w:trHeight w:val="143"/>
        </w:trPr>
        <w:tc>
          <w:tcPr>
            <w:tcW w:w="2800" w:type="dxa"/>
            <w:vAlign w:val="bottom"/>
            <w:shd w:val="clear" w:color="auto" w:fill="CCEEFF"/>
          </w:tcPr>
          <w:p>
            <w:pPr>
              <w:ind w:left="180"/>
              <w:spacing w:after="0" w:line="143" w:lineRule="exact"/>
              <w:rPr>
                <w:sz w:val="20"/>
                <w:szCs w:val="20"/>
                <w:color w:val="auto"/>
              </w:rPr>
            </w:pPr>
            <w:r>
              <w:rPr>
                <w:rFonts w:ascii="Arial" w:cs="Arial" w:eastAsia="Arial" w:hAnsi="Arial"/>
                <w:sz w:val="13"/>
                <w:szCs w:val="13"/>
                <w:color w:val="auto"/>
              </w:rPr>
              <w:t>Net cash provided by (used in) financing</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activities – continuing operations</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2,243</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6,838</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2"/>
              </w:rPr>
              <w:t>(1,430)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8,612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(1,976)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14,626</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12,659</w:t>
            </w:r>
          </w:p>
        </w:tc>
        <w:tc>
          <w:tcPr>
            <w:tcW w:w="0" w:type="dxa"/>
            <w:vAlign w:val="bottom"/>
          </w:tcPr>
          <w:p>
            <w:pPr>
              <w:spacing w:after="0"/>
              <w:rPr>
                <w:sz w:val="1"/>
                <w:szCs w:val="1"/>
                <w:color w:val="auto"/>
              </w:rPr>
            </w:pPr>
          </w:p>
        </w:tc>
      </w:tr>
      <w:tr>
        <w:trPr>
          <w:trHeight w:val="156"/>
        </w:trPr>
        <w:tc>
          <w:tcPr>
            <w:tcW w:w="2800" w:type="dxa"/>
            <w:vAlign w:val="bottom"/>
          </w:tcPr>
          <w:p>
            <w:pPr>
              <w:ind w:left="180"/>
              <w:spacing w:after="0"/>
              <w:rPr>
                <w:sz w:val="20"/>
                <w:szCs w:val="20"/>
                <w:color w:val="auto"/>
              </w:rPr>
            </w:pPr>
            <w:r>
              <w:rPr>
                <w:rFonts w:ascii="Arial" w:cs="Arial" w:eastAsia="Arial" w:hAnsi="Arial"/>
                <w:sz w:val="13"/>
                <w:szCs w:val="13"/>
                <w:color w:val="auto"/>
              </w:rPr>
              <w:t>Net cash provided by (used in) financing</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800" w:type="dxa"/>
            <w:vAlign w:val="bottom"/>
          </w:tcPr>
          <w:p>
            <w:pPr>
              <w:ind w:left="340"/>
              <w:spacing w:after="0"/>
              <w:rPr>
                <w:sz w:val="20"/>
                <w:szCs w:val="20"/>
                <w:color w:val="auto"/>
              </w:rPr>
            </w:pPr>
            <w:r>
              <w:rPr>
                <w:rFonts w:ascii="Arial" w:cs="Arial" w:eastAsia="Arial" w:hAnsi="Arial"/>
                <w:sz w:val="13"/>
                <w:szCs w:val="13"/>
                <w:color w:val="auto"/>
              </w:rPr>
              <w:t>activities – discontinued operations</w:t>
            </w:r>
          </w:p>
        </w:tc>
        <w:tc>
          <w:tcPr>
            <w:tcW w:w="140" w:type="dxa"/>
            <w:vAlign w:val="bottom"/>
          </w:tcPr>
          <w:p>
            <w:pPr>
              <w:spacing w:after="0"/>
              <w:rPr>
                <w:sz w:val="13"/>
                <w:szCs w:val="13"/>
                <w:color w:val="auto"/>
              </w:rPr>
            </w:pP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6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(124)</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63</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vMerge w:val="restart"/>
          </w:tcPr>
          <w:p>
            <w:pPr>
              <w:jc w:val="right"/>
              <w:ind w:right="77"/>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vMerge w:val="restart"/>
          </w:tcPr>
          <w:p>
            <w:pPr>
              <w:jc w:val="right"/>
              <w:ind w:right="37"/>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5"/>
        </w:trPr>
        <w:tc>
          <w:tcPr>
            <w:tcW w:w="2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80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Net cash provided by (used in) financing</w:t>
            </w: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80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activities</w:t>
            </w:r>
          </w:p>
        </w:tc>
        <w:tc>
          <w:tcPr>
            <w:tcW w:w="1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961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2,243</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6,838</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2"/>
              </w:rPr>
              <w:t>(1,430)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8,612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(2,100)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354</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14,689</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12,679</w:t>
            </w:r>
          </w:p>
        </w:tc>
        <w:tc>
          <w:tcPr>
            <w:tcW w:w="0" w:type="dxa"/>
            <w:vAlign w:val="bottom"/>
          </w:tcPr>
          <w:p>
            <w:pPr>
              <w:spacing w:after="0"/>
              <w:rPr>
                <w:sz w:val="1"/>
                <w:szCs w:val="1"/>
                <w:color w:val="auto"/>
              </w:rPr>
            </w:pPr>
          </w:p>
        </w:tc>
      </w:tr>
      <w:tr>
        <w:trPr>
          <w:trHeight w:val="156"/>
        </w:trPr>
        <w:tc>
          <w:tcPr>
            <w:tcW w:w="2800" w:type="dxa"/>
            <w:vAlign w:val="bottom"/>
          </w:tcPr>
          <w:p>
            <w:pPr>
              <w:ind w:left="180"/>
              <w:spacing w:after="0"/>
              <w:rPr>
                <w:sz w:val="20"/>
                <w:szCs w:val="20"/>
                <w:color w:val="auto"/>
              </w:rPr>
            </w:pPr>
            <w:r>
              <w:rPr>
                <w:rFonts w:ascii="Arial" w:cs="Arial" w:eastAsia="Arial" w:hAnsi="Arial"/>
                <w:sz w:val="13"/>
                <w:szCs w:val="13"/>
                <w:color w:val="auto"/>
              </w:rPr>
              <w:t>Effect of exchange rate changes on cash,</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340"/>
              <w:spacing w:after="0"/>
              <w:rPr>
                <w:sz w:val="20"/>
                <w:szCs w:val="20"/>
                <w:color w:val="auto"/>
              </w:rPr>
            </w:pPr>
            <w:r>
              <w:rPr>
                <w:rFonts w:ascii="Arial" w:cs="Arial" w:eastAsia="Arial" w:hAnsi="Arial"/>
                <w:sz w:val="13"/>
                <w:szCs w:val="13"/>
                <w:color w:val="auto"/>
              </w:rPr>
              <w:t>cash equivalents and restricted cash</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(56)</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250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112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362</w:t>
            </w:r>
          </w:p>
        </w:tc>
        <w:tc>
          <w:tcPr>
            <w:tcW w:w="0" w:type="dxa"/>
            <w:vAlign w:val="bottom"/>
          </w:tcPr>
          <w:p>
            <w:pPr>
              <w:spacing w:after="0"/>
              <w:rPr>
                <w:sz w:val="1"/>
                <w:szCs w:val="1"/>
                <w:color w:val="auto"/>
              </w:rPr>
            </w:pPr>
          </w:p>
        </w:tc>
      </w:tr>
      <w:tr>
        <w:trPr>
          <w:trHeight w:val="143"/>
        </w:trPr>
        <w:tc>
          <w:tcPr>
            <w:tcW w:w="2800" w:type="dxa"/>
            <w:vAlign w:val="bottom"/>
            <w:tcBorders>
              <w:top w:val="single" w:sz="8" w:color="CCEEFF"/>
            </w:tcBorders>
            <w:shd w:val="clear" w:color="auto" w:fill="CCEEFF"/>
          </w:tcPr>
          <w:p>
            <w:pPr>
              <w:ind w:left="180"/>
              <w:spacing w:after="0" w:line="143" w:lineRule="exact"/>
              <w:rPr>
                <w:sz w:val="20"/>
                <w:szCs w:val="20"/>
                <w:color w:val="auto"/>
              </w:rPr>
            </w:pPr>
            <w:r>
              <w:rPr>
                <w:rFonts w:ascii="Arial" w:cs="Arial" w:eastAsia="Arial" w:hAnsi="Arial"/>
                <w:sz w:val="13"/>
                <w:szCs w:val="13"/>
                <w:color w:val="auto"/>
              </w:rPr>
              <w:t>Net increase (decrease) in cash, cash</w:t>
            </w: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800" w:type="dxa"/>
            <w:vAlign w:val="bottom"/>
            <w:shd w:val="clear" w:color="auto" w:fill="CCEEFF"/>
          </w:tcPr>
          <w:p>
            <w:pPr>
              <w:ind w:left="340"/>
              <w:spacing w:after="0"/>
              <w:rPr>
                <w:sz w:val="20"/>
                <w:szCs w:val="20"/>
                <w:color w:val="auto"/>
              </w:rPr>
            </w:pPr>
            <w:r>
              <w:rPr>
                <w:rFonts w:ascii="Arial" w:cs="Arial" w:eastAsia="Arial" w:hAnsi="Arial"/>
                <w:sz w:val="13"/>
                <w:szCs w:val="13"/>
                <w:color w:val="auto"/>
              </w:rPr>
              <w:t>equivalents and restricted cash</w:t>
            </w:r>
          </w:p>
        </w:tc>
        <w:tc>
          <w:tcPr>
            <w:tcW w:w="14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847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1,800</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363</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3,010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1,732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720</w:t>
            </w:r>
          </w:p>
        </w:tc>
        <w:tc>
          <w:tcPr>
            <w:tcW w:w="0" w:type="dxa"/>
            <w:vAlign w:val="bottom"/>
          </w:tcPr>
          <w:p>
            <w:pPr>
              <w:spacing w:after="0"/>
              <w:rPr>
                <w:sz w:val="1"/>
                <w:szCs w:val="1"/>
                <w:color w:val="auto"/>
              </w:rPr>
            </w:pPr>
          </w:p>
        </w:tc>
      </w:tr>
      <w:tr>
        <w:trPr>
          <w:trHeight w:val="156"/>
        </w:trPr>
        <w:tc>
          <w:tcPr>
            <w:tcW w:w="2800" w:type="dxa"/>
            <w:vAlign w:val="bottom"/>
          </w:tcPr>
          <w:p>
            <w:pPr>
              <w:ind w:left="40"/>
              <w:spacing w:after="0"/>
              <w:rPr>
                <w:sz w:val="20"/>
                <w:szCs w:val="20"/>
                <w:color w:val="auto"/>
              </w:rPr>
            </w:pPr>
            <w:r>
              <w:rPr>
                <w:rFonts w:ascii="Arial" w:cs="Arial" w:eastAsia="Arial" w:hAnsi="Arial"/>
                <w:sz w:val="13"/>
                <w:szCs w:val="13"/>
                <w:color w:val="auto"/>
              </w:rPr>
              <w:t>Cash, cash equivalents and restricted cash at</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00" w:type="dxa"/>
            <w:vAlign w:val="bottom"/>
          </w:tcPr>
          <w:p>
            <w:pPr>
              <w:ind w:left="200"/>
              <w:spacing w:after="0"/>
              <w:rPr>
                <w:sz w:val="20"/>
                <w:szCs w:val="20"/>
                <w:color w:val="auto"/>
              </w:rPr>
            </w:pPr>
            <w:r>
              <w:rPr>
                <w:rFonts w:ascii="Arial" w:cs="Arial" w:eastAsia="Arial" w:hAnsi="Arial"/>
                <w:sz w:val="13"/>
                <w:szCs w:val="13"/>
                <w:color w:val="auto"/>
              </w:rPr>
              <w:t>beginning of period</w:t>
            </w:r>
          </w:p>
        </w:tc>
        <w:tc>
          <w:tcPr>
            <w:tcW w:w="140" w:type="dxa"/>
            <w:vAlign w:val="bottom"/>
          </w:tcPr>
          <w:p>
            <w:pPr>
              <w:spacing w:after="0"/>
              <w:rPr>
                <w:sz w:val="14"/>
                <w:szCs w:val="14"/>
                <w:color w:val="auto"/>
              </w:rPr>
            </w:pP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11,258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23</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6,567</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17,848</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9,857</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5,302</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15,160</w:t>
            </w:r>
          </w:p>
        </w:tc>
        <w:tc>
          <w:tcPr>
            <w:tcW w:w="0" w:type="dxa"/>
            <w:vAlign w:val="bottom"/>
          </w:tcPr>
          <w:p>
            <w:pPr>
              <w:spacing w:after="0"/>
              <w:rPr>
                <w:sz w:val="1"/>
                <w:szCs w:val="1"/>
                <w:color w:val="auto"/>
              </w:rPr>
            </w:pPr>
          </w:p>
        </w:tc>
      </w:tr>
      <w:tr>
        <w:trPr>
          <w:trHeight w:val="127"/>
        </w:trPr>
        <w:tc>
          <w:tcPr>
            <w:tcW w:w="2800" w:type="dxa"/>
            <w:vAlign w:val="bottom"/>
            <w:tcBorders>
              <w:top w:val="single" w:sz="8" w:color="CCEEFF"/>
            </w:tcBorders>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w w:val="97"/>
              </w:rPr>
              <w:t>Cash, cash equivalents and restricted cash at</w:t>
            </w: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800" w:type="dxa"/>
            <w:vAlign w:val="bottom"/>
            <w:shd w:val="clear" w:color="auto" w:fill="CCEEFF"/>
          </w:tcPr>
          <w:p>
            <w:pPr>
              <w:ind w:left="200"/>
              <w:spacing w:after="0"/>
              <w:rPr>
                <w:sz w:val="20"/>
                <w:szCs w:val="20"/>
                <w:color w:val="auto"/>
              </w:rPr>
            </w:pPr>
            <w:r>
              <w:rPr>
                <w:rFonts w:ascii="Arial" w:cs="Arial" w:eastAsia="Arial" w:hAnsi="Arial"/>
                <w:sz w:val="13"/>
                <w:szCs w:val="13"/>
                <w:b w:val="1"/>
                <w:bCs w:val="1"/>
                <w:color w:val="auto"/>
              </w:rPr>
              <w:t>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12,105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1,823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6,930</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20,858</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7,034</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15,880</w:t>
            </w:r>
          </w:p>
        </w:tc>
        <w:tc>
          <w:tcPr>
            <w:tcW w:w="0" w:type="dxa"/>
            <w:vAlign w:val="bottom"/>
          </w:tcPr>
          <w:p>
            <w:pPr>
              <w:spacing w:after="0"/>
              <w:rPr>
                <w:sz w:val="1"/>
                <w:szCs w:val="1"/>
                <w:color w:val="auto"/>
              </w:rPr>
            </w:pPr>
          </w:p>
        </w:tc>
      </w:tr>
      <w:tr>
        <w:trPr>
          <w:trHeight w:val="20"/>
        </w:trPr>
        <w:tc>
          <w:tcPr>
            <w:tcW w:w="28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3"/>
                <w:szCs w:val="13"/>
                <w:color w:val="auto"/>
              </w:rPr>
              <w:t>Cash, cash equivalents and restricted cash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8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2800" w:type="dxa"/>
            <w:vAlign w:val="bottom"/>
          </w:tcPr>
          <w:p>
            <w:pPr>
              <w:ind w:left="200"/>
              <w:spacing w:after="0"/>
              <w:rPr>
                <w:sz w:val="20"/>
                <w:szCs w:val="20"/>
                <w:color w:val="auto"/>
              </w:rPr>
            </w:pPr>
            <w:r>
              <w:rPr>
                <w:rFonts w:ascii="Arial" w:cs="Arial" w:eastAsia="Arial" w:hAnsi="Arial"/>
                <w:sz w:val="13"/>
                <w:szCs w:val="13"/>
                <w:color w:val="auto"/>
              </w:rPr>
              <w:t>continuing operations at end of period</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12,105</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w w:val="98"/>
              </w:rPr>
              <w:t>1,823</w:t>
            </w:r>
          </w:p>
        </w:tc>
        <w:tc>
          <w:tcPr>
            <w:tcW w:w="2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6,930</w:t>
            </w:r>
          </w:p>
        </w:tc>
        <w:tc>
          <w:tcPr>
            <w:tcW w:w="10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20,858</w:t>
            </w:r>
          </w:p>
        </w:tc>
        <w:tc>
          <w:tcPr>
            <w:tcW w:w="100" w:type="dxa"/>
            <w:vAlign w:val="bottom"/>
          </w:tcPr>
          <w:p>
            <w:pPr>
              <w:spacing w:after="0"/>
              <w:rPr>
                <w:sz w:val="13"/>
                <w:szCs w:val="13"/>
                <w:color w:val="auto"/>
              </w:rPr>
            </w:pPr>
          </w:p>
        </w:tc>
        <w:tc>
          <w:tcPr>
            <w:tcW w:w="16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37"/>
              <w:spacing w:after="0"/>
              <w:rPr>
                <w:sz w:val="20"/>
                <w:szCs w:val="20"/>
                <w:color w:val="auto"/>
              </w:rPr>
            </w:pPr>
            <w:r>
              <w:rPr>
                <w:rFonts w:ascii="Arial" w:cs="Arial" w:eastAsia="Arial" w:hAnsi="Arial"/>
                <w:sz w:val="13"/>
                <w:szCs w:val="13"/>
                <w:color w:val="auto"/>
              </w:rPr>
              <w:t>8,820</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26</w:t>
            </w:r>
          </w:p>
        </w:tc>
        <w:tc>
          <w:tcPr>
            <w:tcW w:w="2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6,469</w:t>
            </w:r>
          </w:p>
        </w:tc>
        <w:tc>
          <w:tcPr>
            <w:tcW w:w="10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15,315</w:t>
            </w:r>
          </w:p>
        </w:tc>
        <w:tc>
          <w:tcPr>
            <w:tcW w:w="0" w:type="dxa"/>
            <w:vAlign w:val="bottom"/>
          </w:tcPr>
          <w:p>
            <w:pPr>
              <w:spacing w:after="0"/>
              <w:rPr>
                <w:sz w:val="1"/>
                <w:szCs w:val="1"/>
                <w:color w:val="auto"/>
              </w:rPr>
            </w:pPr>
          </w:p>
        </w:tc>
      </w:tr>
      <w:tr>
        <w:trPr>
          <w:trHeight w:val="172"/>
        </w:trPr>
        <w:tc>
          <w:tcPr>
            <w:tcW w:w="2800" w:type="dxa"/>
            <w:vAlign w:val="bottom"/>
          </w:tcPr>
          <w:p>
            <w:pPr>
              <w:ind w:left="40"/>
              <w:spacing w:after="0"/>
              <w:rPr>
                <w:sz w:val="20"/>
                <w:szCs w:val="20"/>
                <w:color w:val="auto"/>
              </w:rPr>
            </w:pPr>
            <w:r>
              <w:rPr>
                <w:rFonts w:ascii="Arial" w:cs="Arial" w:eastAsia="Arial" w:hAnsi="Arial"/>
                <w:sz w:val="13"/>
                <w:szCs w:val="13"/>
                <w:color w:val="auto"/>
              </w:rPr>
              <w:t>Cash, cash equivalents and restricted cash –</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800" w:type="dxa"/>
            <w:vAlign w:val="bottom"/>
          </w:tcPr>
          <w:p>
            <w:pPr>
              <w:ind w:left="200"/>
              <w:spacing w:after="0"/>
              <w:rPr>
                <w:sz w:val="20"/>
                <w:szCs w:val="20"/>
                <w:color w:val="auto"/>
              </w:rPr>
            </w:pPr>
            <w:r>
              <w:rPr>
                <w:rFonts w:ascii="Arial" w:cs="Arial" w:eastAsia="Arial" w:hAnsi="Arial"/>
                <w:sz w:val="13"/>
                <w:szCs w:val="13"/>
                <w:color w:val="auto"/>
              </w:rPr>
              <w:t>discontinued operations at end of period</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1"/>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565</w:t>
            </w:r>
          </w:p>
        </w:tc>
        <w:tc>
          <w:tcPr>
            <w:tcW w:w="10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37"/>
              <w:spacing w:after="0"/>
              <w:rPr>
                <w:sz w:val="20"/>
                <w:szCs w:val="20"/>
                <w:color w:val="auto"/>
              </w:rPr>
            </w:pPr>
            <w:r>
              <w:rPr>
                <w:rFonts w:ascii="Arial" w:cs="Arial" w:eastAsia="Arial" w:hAnsi="Arial"/>
                <w:sz w:val="13"/>
                <w:szCs w:val="13"/>
                <w:color w:val="auto"/>
              </w:rPr>
              <w:t>565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2057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_________</w:t>
      </w:r>
    </w:p>
    <w:p>
      <w:pPr>
        <w:ind w:left="340" w:hanging="332"/>
        <w:spacing w:after="0" w:line="230" w:lineRule="auto"/>
        <w:tabs>
          <w:tab w:leader="none" w:pos="3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Reclassifications of $965 million and $1,445 million in the nine months ended September 30, 2018 and 2017 for purchases/collections of wholesale finance receivables resulting from vehicles sold by GM to dealers that have arranged their inventory floor plan financing through GM Financial.</w:t>
      </w:r>
    </w:p>
    <w:p>
      <w:pPr>
        <w:ind w:left="340" w:hanging="332"/>
        <w:spacing w:after="0" w:line="230" w:lineRule="auto"/>
        <w:tabs>
          <w:tab w:leader="none" w:pos="3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Eliminations include $418 million and $245 million in Purchases of finance receivables, net in the nine months ended September 30, 2018 and 2017, and $234 million and $47 million in Principal collections and recoveries on finance receivables in the nine months ended September 30, 2018 and 2017 primarily related to the re-timing of cash receipts and payments between Automotive and GM Financial.</w:t>
      </w:r>
    </w:p>
    <w:p>
      <w:pPr>
        <w:ind w:left="340" w:right="20" w:hanging="332"/>
        <w:spacing w:after="0" w:line="238" w:lineRule="auto"/>
        <w:tabs>
          <w:tab w:leader="none" w:pos="340" w:val="left"/>
        </w:tabs>
        <w:numPr>
          <w:ilvl w:val="0"/>
          <w:numId w:val="14"/>
        </w:numPr>
        <w:rPr>
          <w:rFonts w:ascii="Arial" w:cs="Arial" w:eastAsia="Arial" w:hAnsi="Arial"/>
          <w:sz w:val="11"/>
          <w:szCs w:val="11"/>
          <w:color w:val="auto"/>
        </w:rPr>
      </w:pPr>
      <w:r>
        <w:rPr>
          <w:rFonts w:ascii="Arial" w:cs="Arial" w:eastAsia="Arial" w:hAnsi="Arial"/>
          <w:sz w:val="11"/>
          <w:szCs w:val="11"/>
          <w:color w:val="auto"/>
        </w:rPr>
        <w:t>Eliminations include $1,375 million and $390 million in the nine months ended September 30, 2018 and 2017 for Automotive cash injections in GM Cruise, inclusive of the $1.1 billion investment in GM Cruise Preferred Shares in the nine months ended September 30, 2018.</w:t>
      </w:r>
    </w:p>
    <w:p>
      <w:pPr>
        <w:sectPr>
          <w:pgSz w:w="11900" w:h="16838" w:orient="portrait"/>
          <w:cols w:equalWidth="0" w:num="1">
            <w:col w:w="11420"/>
          </w:cols>
          <w:pgMar w:left="240" w:top="337" w:right="239" w:bottom="1092" w:gutter="0" w:footer="0" w:header="0"/>
        </w:sectPr>
      </w:pPr>
    </w:p>
    <w:p>
      <w:pPr>
        <w:spacing w:after="0" w:line="240" w:lineRule="exact"/>
        <w:rPr>
          <w:sz w:val="20"/>
          <w:szCs w:val="20"/>
          <w:color w:val="auto"/>
        </w:rPr>
      </w:pPr>
    </w:p>
    <w:p>
      <w:pPr>
        <w:ind w:left="6380"/>
        <w:spacing w:after="0"/>
        <w:rPr>
          <w:sz w:val="20"/>
          <w:szCs w:val="20"/>
          <w:color w:val="auto"/>
        </w:rPr>
      </w:pPr>
      <w:r>
        <w:rPr>
          <w:rFonts w:ascii="Arial" w:cs="Arial" w:eastAsia="Arial" w:hAnsi="Arial"/>
          <w:sz w:val="16"/>
          <w:szCs w:val="16"/>
          <w:color w:val="auto"/>
        </w:rPr>
        <w:t>13</w:t>
      </w:r>
    </w:p>
    <w:sectPr>
      <w:pgSz w:w="11900" w:h="16838" w:orient="portrait"/>
      <w:cols w:equalWidth="0" w:num="1">
        <w:col w:w="11420"/>
      </w:cols>
      <w:pgMar w:left="240" w:top="337" w:right="239" w:bottom="109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lowerLetter"/>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2019-12-28T18:49:23Z</dcterms:created>
  <dcterms:modified xsi:type="dcterms:W3CDTF">2019-12-28T18:49:23Z</dcterms:modified>
</cp:coreProperties>
</file>