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General Motors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Harris Associates 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04-3276558</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w w:val="87"/>
              </w:rPr>
              <w:t>70,226,598</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70,226,598</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81,083,512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Harris Associates Inc.</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04-3276549</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w w:val="87"/>
              </w:rPr>
              <w:t>70,226,598</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70,226,598</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81,083,512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3" w:name="page4"/>
    <w:bookmarkEnd w:id="3"/>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jc w:val="both"/>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General Motors</w:t>
      </w:r>
    </w:p>
    <w:p>
      <w:pPr>
        <w:spacing w:after="0" w:line="11" w:lineRule="exact"/>
        <w:rPr>
          <w:rFonts w:ascii="Arial" w:cs="Arial" w:eastAsia="Arial" w:hAnsi="Arial"/>
          <w:sz w:val="19"/>
          <w:szCs w:val="19"/>
          <w:b w:val="1"/>
          <w:bCs w:val="1"/>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Associates L.P. ("Harris")</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Harris Associates Inc. ("General Partner")</w:t>
      </w:r>
    </w:p>
    <w:p>
      <w:pPr>
        <w:spacing w:after="0" w:line="101"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780" w:right="3380"/>
        <w:spacing w:after="0" w:line="237" w:lineRule="auto"/>
        <w:rPr>
          <w:rFonts w:ascii="Arial" w:cs="Arial" w:eastAsia="Arial" w:hAnsi="Arial"/>
          <w:sz w:val="22"/>
          <w:szCs w:val="22"/>
          <w:b w:val="1"/>
          <w:bCs w:val="1"/>
          <w:color w:val="auto"/>
        </w:rPr>
      </w:pPr>
      <w:r>
        <w:rPr>
          <w:rFonts w:ascii="Arial" w:cs="Arial" w:eastAsia="Arial" w:hAnsi="Arial"/>
          <w:sz w:val="22"/>
          <w:szCs w:val="22"/>
          <w:color w:val="auto"/>
        </w:rPr>
        <w:t>Both Harris and the General Partner maintain their principal offices at: 111 S. Wacker Drive, Suite 4600, Chicago IL 60606</w:t>
      </w:r>
    </w:p>
    <w:p>
      <w:pPr>
        <w:spacing w:after="0" w:line="97"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is a Delaware limited partnership.</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The General Partner is a Delaware corporation.</w:t>
      </w:r>
    </w:p>
    <w:p>
      <w:pPr>
        <w:spacing w:after="0" w:line="101"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37045V100</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ectPr>
          <w:pgSz w:w="11900" w:h="16867" w:orient="portrait"/>
          <w:cols w:equalWidth="0" w:num="1">
            <w:col w:w="11260"/>
          </w:cols>
          <w:pgMar w:left="320" w:top="423" w:right="319" w:bottom="0" w:gutter="0" w:footer="0" w:header="0"/>
        </w:sectPr>
      </w:pP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8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67" w:orient="portrait"/>
          <w:cols w:equalWidth="0" w:num="2">
            <w:col w:w="2080" w:space="160"/>
            <w:col w:w="9020"/>
          </w:cols>
          <w:pgMar w:left="320" w:top="423" w:right="319" w:bottom="0" w:gutter="0" w:footer="0" w:header="0"/>
          <w:type w:val="continuous"/>
        </w:sect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line="251" w:lineRule="auto"/>
        <w:rPr>
          <w:rFonts w:ascii="Arial" w:cs="Arial" w:eastAsia="Arial" w:hAnsi="Arial"/>
          <w:sz w:val="22"/>
          <w:szCs w:val="22"/>
          <w:color w:val="auto"/>
        </w:rPr>
      </w:pPr>
      <w:r>
        <w:rPr>
          <w:rFonts w:ascii="Arial" w:cs="Arial" w:eastAsia="Arial" w:hAnsi="Arial"/>
          <w:sz w:val="22"/>
          <w:szCs w:val="22"/>
          <w:color w:val="auto"/>
        </w:rPr>
        <w:t>By reason of advisory and other relationships with the person who owns the Shares, Harris may be deemed to be the beneficial owner of the following shares: 81,083,512</w:t>
      </w:r>
    </w:p>
    <w:p>
      <w:pPr>
        <w:spacing w:after="0" w:line="200" w:lineRule="exact"/>
        <w:rPr>
          <w:rFonts w:ascii="Arial" w:cs="Arial" w:eastAsia="Arial" w:hAnsi="Arial"/>
          <w:sz w:val="22"/>
          <w:szCs w:val="22"/>
          <w:color w:val="auto"/>
        </w:rPr>
      </w:pPr>
    </w:p>
    <w:p>
      <w:pPr>
        <w:ind w:left="1780" w:right="300"/>
        <w:spacing w:after="0" w:line="238" w:lineRule="auto"/>
        <w:rPr>
          <w:rFonts w:ascii="Arial" w:cs="Arial" w:eastAsia="Arial" w:hAnsi="Arial"/>
          <w:sz w:val="22"/>
          <w:szCs w:val="22"/>
          <w:color w:val="auto"/>
        </w:rPr>
      </w:pPr>
      <w:r>
        <w:rPr>
          <w:rFonts w:ascii="Arial" w:cs="Arial" w:eastAsia="Arial" w:hAnsi="Arial"/>
          <w:sz w:val="22"/>
          <w:szCs w:val="22"/>
          <w:color w:val="auto"/>
        </w:rPr>
        <w:t>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103"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5.2%</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70,226,598</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70,226,598</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bl>
    <w:p>
      <w:pPr>
        <w:sectPr>
          <w:pgSz w:w="11900" w:h="16867" w:orient="portrait"/>
          <w:cols w:equalWidth="0" w:num="1">
            <w:col w:w="11260"/>
          </w:cols>
          <w:pgMar w:left="320" w:top="423" w:right="319" w:bottom="0" w:gutter="0" w:footer="0" w:header="0"/>
          <w:type w:val="continuous"/>
        </w:sectPr>
      </w:pPr>
    </w:p>
    <w:bookmarkStart w:id="4" w:name="page5"/>
    <w:bookmarkEnd w:id="4"/>
    <w:p>
      <w:pPr>
        <w:spacing w:after="0"/>
        <w:rPr>
          <w:sz w:val="20"/>
          <w:szCs w:val="20"/>
          <w:color w:val="auto"/>
        </w:rPr>
      </w:pPr>
      <w:r>
        <w:rPr>
          <w:rFonts w:ascii="Arial" w:cs="Arial" w:eastAsia="Arial" w:hAnsi="Arial"/>
          <w:sz w:val="19"/>
          <w:szCs w:val="19"/>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Ownership of Five Percent or Less of Class.</w:t>
      </w:r>
    </w:p>
    <w:p>
      <w:pPr>
        <w:spacing w:after="0" w:line="166" w:lineRule="exact"/>
        <w:rPr>
          <w:sz w:val="20"/>
          <w:szCs w:val="20"/>
          <w:color w:val="auto"/>
        </w:rPr>
      </w:pPr>
    </w:p>
    <w:p>
      <w:pPr>
        <w:sectPr>
          <w:pgSz w:w="11900" w:h="16838" w:orient="portrait"/>
          <w:cols w:equalWidth="0" w:num="2">
            <w:col w:w="660" w:space="720"/>
            <w:col w:w="9820"/>
          </w:cols>
          <w:pgMar w:left="320" w:top="193" w:right="379" w:bottom="1440" w:gutter="0" w:footer="0" w:header="0"/>
        </w:sectPr>
      </w:pPr>
    </w:p>
    <w:p>
      <w:pPr>
        <w:ind w:left="1380" w:right="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00"/>
          </w:cols>
          <w:pgMar w:left="320" w:top="193" w:right="37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20"/>
          </w:cols>
          <w:pgMar w:left="320" w:top="193" w:right="37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00"/>
          </w:cols>
          <w:pgMar w:left="320" w:top="193" w:right="37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sectPr>
          <w:pgSz w:w="11900" w:h="16838" w:orient="portrait"/>
          <w:cols w:equalWidth="0" w:num="2">
            <w:col w:w="660" w:space="720"/>
            <w:col w:w="9820"/>
          </w:cols>
          <w:pgMar w:left="320" w:top="193" w:right="37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00"/>
          </w:cols>
          <w:pgMar w:left="320" w:top="193" w:right="37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Identification and Classification of Members of the Group.</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Not Applicable. This schedule is not being filed pursuant to Rule 13d-1(b)(1)(ii)(J) or Rule 13d-1(d).</w:t>
      </w:r>
    </w:p>
    <w:p>
      <w:pPr>
        <w:spacing w:after="0" w:line="136" w:lineRule="exact"/>
        <w:rPr>
          <w:sz w:val="20"/>
          <w:szCs w:val="20"/>
          <w:color w:val="auto"/>
        </w:rPr>
      </w:pPr>
    </w:p>
    <w:p>
      <w:pPr>
        <w:sectPr>
          <w:pgSz w:w="11900" w:h="16838" w:orient="portrait"/>
          <w:cols w:equalWidth="0" w:num="2">
            <w:col w:w="660" w:space="720"/>
            <w:col w:w="9820"/>
          </w:cols>
          <w:pgMar w:left="320" w:top="193" w:right="37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62" w:lineRule="exact"/>
        <w:rPr>
          <w:sz w:val="20"/>
          <w:szCs w:val="20"/>
          <w:color w:val="auto"/>
        </w:rPr>
      </w:pPr>
    </w:p>
    <w:p>
      <w:pPr>
        <w:sectPr>
          <w:pgSz w:w="11900" w:h="16838" w:orient="portrait"/>
          <w:cols w:equalWidth="0" w:num="2">
            <w:col w:w="660" w:space="720"/>
            <w:col w:w="9820"/>
          </w:cols>
          <w:pgMar w:left="320" w:top="193" w:right="379" w:bottom="1440" w:gutter="0" w:footer="0" w:header="0"/>
          <w:type w:val="continuous"/>
        </w:sect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00"/>
          </w:cols>
          <w:pgMar w:left="320" w:top="193" w:right="37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20"/>
          </w:cols>
          <w:pgMar w:left="320" w:top="193" w:right="379" w:bottom="1440" w:gutter="0" w:footer="0" w:header="0"/>
          <w:type w:val="continuous"/>
        </w:sectPr>
      </w:pPr>
    </w:p>
    <w:p>
      <w:pPr>
        <w:spacing w:after="0" w:line="74"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93" w:right="379" w:bottom="1440" w:gutter="0" w:footer="0" w:header="0"/>
          <w:type w:val="continuous"/>
        </w:sectPr>
      </w:pPr>
    </w:p>
    <w:bookmarkStart w:id="5" w:name="page6"/>
    <w:bookmarkEnd w:id="5"/>
    <w:p>
      <w:pPr>
        <w:jc w:val="center"/>
        <w:ind w:right="-2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left="240"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By: /s/ Heidi W. Hardin</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Date: February 15, 2016</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Name: Heidi W. Hardin</w:t>
      </w:r>
    </w:p>
    <w:p>
      <w:pPr>
        <w:spacing w:after="0" w:line="4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Title: Vice President and General Counsel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*Harris Associates Inc., for itself and as General Partner of Harris Associates L.P.</w:t>
      </w:r>
    </w:p>
    <w:sectPr>
      <w:pgSz w:w="11900" w:h="16838" w:orient="portrait"/>
      <w:cols w:equalWidth="0" w:num="1">
        <w:col w:w="9259"/>
      </w:cols>
      <w:pgMar w:left="120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2019-12-08T19:41:41Z</dcterms:created>
  <dcterms:modified xsi:type="dcterms:W3CDTF">2019-12-08T19:41:41Z</dcterms:modified>
</cp:coreProperties>
</file>