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67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6735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Engle Barry L II</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0"/>
        <w:spacing w:after="0" w:line="317"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01/16/2018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7"/>
          </w:tcPr>
          <w:p>
            <w:pPr>
              <w:jc w:val="center"/>
              <w:ind w:right="2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5"/>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120" w:type="dxa"/>
            <w:vAlign w:val="bottom"/>
            <w:gridSpan w:val="6"/>
          </w:tcPr>
          <w:p>
            <w:pPr>
              <w:ind w:left="1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20" w:type="dxa"/>
            <w:vAlign w:val="bottom"/>
            <w:gridSpan w:val="3"/>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jc w:val="right"/>
              <w:ind w:right="8"/>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jc w:val="right"/>
              <w:ind w:right="148"/>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01/16/2018</w:t>
            </w: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rPr>
              <w:t>M</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50,443</w:t>
            </w:r>
            <w:r>
              <w:rPr>
                <w:rFonts w:ascii="Arial" w:cs="Arial" w:eastAsia="Arial" w:hAnsi="Arial"/>
                <w:sz w:val="22"/>
                <w:szCs w:val="22"/>
                <w:color w:val="008000"/>
                <w:vertAlign w:val="superscript"/>
              </w:rPr>
              <w:t>(1)</w:t>
            </w:r>
          </w:p>
        </w:tc>
        <w:tc>
          <w:tcPr>
            <w:tcW w:w="560" w:type="dxa"/>
            <w:vAlign w:val="bottom"/>
            <w:tcBorders>
              <w:bottom w:val="single" w:sz="8" w:color="2C2C2C"/>
            </w:tcBorders>
          </w:tcPr>
          <w:p>
            <w:pPr>
              <w:jc w:val="right"/>
              <w:ind w:right="68"/>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30.67</w:t>
            </w:r>
          </w:p>
        </w:tc>
        <w:tc>
          <w:tcPr>
            <w:tcW w:w="1240" w:type="dxa"/>
            <w:vAlign w:val="bottom"/>
            <w:tcBorders>
              <w:bottom w:val="single" w:sz="8" w:color="2C2C2C"/>
            </w:tcBorders>
            <w:gridSpan w:val="2"/>
          </w:tcPr>
          <w:p>
            <w:pPr>
              <w:jc w:val="right"/>
              <w:ind w:right="339"/>
              <w:spacing w:after="0"/>
              <w:rPr>
                <w:sz w:val="20"/>
                <w:szCs w:val="20"/>
                <w:color w:val="auto"/>
              </w:rPr>
            </w:pPr>
            <w:r>
              <w:rPr>
                <w:rFonts w:ascii="Arial" w:cs="Arial" w:eastAsia="Arial" w:hAnsi="Arial"/>
                <w:sz w:val="17"/>
                <w:szCs w:val="17"/>
                <w:color w:val="0000FF"/>
              </w:rPr>
              <w:t>57,091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01/16/2018</w:t>
            </w: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8"/>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50,443</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68"/>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45</w:t>
            </w:r>
            <w:r>
              <w:rPr>
                <w:rFonts w:ascii="Arial" w:cs="Arial" w:eastAsia="Arial" w:hAnsi="Arial"/>
                <w:sz w:val="22"/>
                <w:szCs w:val="22"/>
                <w:color w:val="008000"/>
                <w:vertAlign w:val="superscript"/>
              </w:rPr>
              <w:t>(2)</w:t>
            </w: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right"/>
              <w:ind w:right="399"/>
              <w:spacing w:after="0"/>
              <w:rPr>
                <w:sz w:val="20"/>
                <w:szCs w:val="20"/>
                <w:color w:val="auto"/>
              </w:rPr>
            </w:pPr>
            <w:r>
              <w:rPr>
                <w:rFonts w:ascii="Arial" w:cs="Arial" w:eastAsia="Arial" w:hAnsi="Arial"/>
                <w:sz w:val="17"/>
                <w:szCs w:val="17"/>
                <w:color w:val="0000FF"/>
              </w:rPr>
              <w:t>6,648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40" w:type="dxa"/>
            <w:vAlign w:val="bottom"/>
            <w:gridSpan w:val="11"/>
          </w:tcPr>
          <w:p>
            <w:pPr>
              <w:jc w:val="center"/>
              <w:ind w:left="4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7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15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50,443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30.67</w:t>
            </w:r>
          </w:p>
        </w:tc>
        <w:tc>
          <w:tcPr>
            <w:tcW w:w="220" w:type="dxa"/>
            <w:vAlign w:val="bottom"/>
          </w:tcPr>
          <w:p>
            <w:pPr>
              <w:spacing w:after="0"/>
              <w:rPr>
                <w:sz w:val="11"/>
                <w:szCs w:val="11"/>
                <w:color w:val="auto"/>
              </w:rPr>
            </w:pPr>
          </w:p>
        </w:tc>
        <w:tc>
          <w:tcPr>
            <w:tcW w:w="1000" w:type="dxa"/>
            <w:vAlign w:val="bottom"/>
          </w:tcPr>
          <w:p>
            <w:pPr>
              <w:ind w:left="180"/>
              <w:spacing w:after="0" w:line="132" w:lineRule="exact"/>
              <w:rPr>
                <w:sz w:val="20"/>
                <w:szCs w:val="20"/>
                <w:color w:val="auto"/>
              </w:rPr>
            </w:pPr>
            <w:r>
              <w:rPr>
                <w:rFonts w:ascii="Arial" w:cs="Arial" w:eastAsia="Arial" w:hAnsi="Arial"/>
                <w:sz w:val="13"/>
                <w:szCs w:val="13"/>
                <w:color w:val="0000FF"/>
              </w:rPr>
              <w:t>01/16/2018</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3"/>
                <w:szCs w:val="13"/>
                <w:color w:val="0000FF"/>
              </w:rPr>
              <w:t>M</w:t>
            </w:r>
          </w:p>
        </w:tc>
        <w:tc>
          <w:tcPr>
            <w:tcW w:w="980" w:type="dxa"/>
            <w:vAlign w:val="bottom"/>
          </w:tcPr>
          <w:p>
            <w:pPr>
              <w:ind w:left="480"/>
              <w:spacing w:after="0" w:line="132" w:lineRule="exact"/>
              <w:rPr>
                <w:sz w:val="20"/>
                <w:szCs w:val="20"/>
                <w:color w:val="auto"/>
              </w:rPr>
            </w:pPr>
            <w:r>
              <w:rPr>
                <w:rFonts w:ascii="Arial" w:cs="Arial" w:eastAsia="Arial" w:hAnsi="Arial"/>
                <w:sz w:val="13"/>
                <w:szCs w:val="13"/>
                <w:color w:val="0000FF"/>
              </w:rPr>
              <w:t>50,443</w:t>
            </w:r>
          </w:p>
        </w:tc>
        <w:tc>
          <w:tcPr>
            <w:tcW w:w="820" w:type="dxa"/>
            <w:vAlign w:val="bottom"/>
            <w:gridSpan w:val="2"/>
            <w:vMerge w:val="continue"/>
          </w:tcPr>
          <w:p>
            <w:pPr>
              <w:spacing w:after="0"/>
              <w:rPr>
                <w:sz w:val="11"/>
                <w:szCs w:val="11"/>
                <w:color w:val="auto"/>
              </w:rPr>
            </w:pPr>
          </w:p>
        </w:tc>
        <w:tc>
          <w:tcPr>
            <w:tcW w:w="760" w:type="dxa"/>
            <w:vAlign w:val="bottom"/>
          </w:tcPr>
          <w:p>
            <w:pPr>
              <w:ind w:left="20"/>
              <w:spacing w:after="0" w:line="132" w:lineRule="exact"/>
              <w:rPr>
                <w:sz w:val="20"/>
                <w:szCs w:val="20"/>
                <w:color w:val="auto"/>
              </w:rPr>
            </w:pPr>
            <w:r>
              <w:rPr>
                <w:rFonts w:ascii="Arial" w:cs="Arial" w:eastAsia="Arial" w:hAnsi="Arial"/>
                <w:sz w:val="13"/>
                <w:szCs w:val="13"/>
                <w:color w:val="0000FF"/>
              </w:rPr>
              <w:t>07/28/2025</w:t>
            </w:r>
          </w:p>
        </w:tc>
        <w:tc>
          <w:tcPr>
            <w:tcW w:w="6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1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00"/>
              <w:spacing w:after="0" w:line="132" w:lineRule="exact"/>
              <w:rPr>
                <w:sz w:val="20"/>
                <w:szCs w:val="20"/>
                <w:color w:val="auto"/>
              </w:rPr>
            </w:pPr>
            <w:r>
              <w:rPr>
                <w:rFonts w:ascii="Arial" w:cs="Arial" w:eastAsia="Arial" w:hAnsi="Arial"/>
                <w:sz w:val="13"/>
                <w:szCs w:val="13"/>
                <w:color w:val="0000FF"/>
              </w:rPr>
              <w:t>151,327</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68"/>
              <w:spacing w:after="0" w:line="148" w:lineRule="exact"/>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51"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the weighted average selling price of the shares. The shares were sold in multiple transactions at prices from $45.00 to $45.02, inclusive. The Reporting Person undertakes to provide to the SEC, GM and any security holder, upon request, full information regarding the number of shares sold at each price point within the ranges set forth in this footnote.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were granted on October 1, 2015 under the 2014 Long-Term Incentive Plan and vested on February 15, 2017.</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Tia Y. Turk, Attorney-In-</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01/18/2018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 for Mr. Engle</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290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2019-12-07T15:55:06Z</dcterms:created>
  <dcterms:modified xsi:type="dcterms:W3CDTF">2019-12-07T15:55:06Z</dcterms:modified>
</cp:coreProperties>
</file>