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5977255" cy="334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977255" cy="334645"/>
                    </a:xfrm>
                    <a:prstGeom prst="rect">
                      <a:avLst/>
                    </a:prstGeom>
                    <a:noFill/>
                  </pic:spPr>
                </pic:pic>
              </a:graphicData>
            </a:graphic>
          </wp:anchor>
        </w:drawing>
        <w:t>For Immediate Release: Tuesday, May 23, 2017</w:t>
      </w: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Statement in Response to Inquiries</w:t>
      </w:r>
    </w:p>
    <w:p>
      <w:pPr>
        <w:spacing w:after="0" w:line="23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The record is clear: GM’s Board of Directors and management are driving a plan of fundamental change that is working. Our plan</w:t>
      </w:r>
      <w:r>
        <w:rPr>
          <w:rFonts w:ascii="Arial" w:cs="Arial" w:eastAsia="Arial" w:hAnsi="Arial"/>
          <w:sz w:val="18"/>
          <w:szCs w:val="18"/>
          <w:b w:val="1"/>
          <w:bCs w:val="1"/>
          <w:color w:val="auto"/>
        </w:rPr>
        <w:t xml:space="preserve"> </w:t>
      </w:r>
      <w:r>
        <w:rPr>
          <w:rFonts w:ascii="Arial" w:cs="Arial" w:eastAsia="Arial" w:hAnsi="Arial"/>
          <w:sz w:val="18"/>
          <w:szCs w:val="18"/>
          <w:color w:val="auto"/>
        </w:rPr>
        <w:t>has delivered value, including three years of record results, and we expect it to return approximately $ 25 billion to shareholders from 2012 through the end of 2017. Our Total Return to Shareholders outperformed our global automotive peers in 2016.</w:t>
      </w:r>
    </w:p>
    <w:p>
      <w:pPr>
        <w:spacing w:after="0" w:line="19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Greenlight continues to distort and misrepresent the transformational change and outstanding results that are delivering value, including returning approximately $7 billion to GM shareholders this year alone.</w:t>
      </w:r>
    </w:p>
    <w:p>
      <w:pPr>
        <w:spacing w:after="0" w:line="1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Board of Directors is composed of outstanding leaders who not only embrace change, they actively seek out input and constructive ideas. In contrast, and as Greenlight continues to point out, it has put forth its board candidates specifically to support its high-risk, flawed proposal. Our Board and management have given this proposal objective, exhaustive analysis and concluded that it would put GM’s performance, and our shareholders’ investment, at risk.</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believe a vote for any of Greenlight’s candidates is a vote for its flawed and highly risky idea that reduces the flexibility we need to take further action to unlock value and would not address the industry-wide issues affecting our valuation.</w:t>
      </w:r>
    </w:p>
    <w:p>
      <w:pPr>
        <w:spacing w:after="0" w:line="28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 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David Barnas</w:t>
      </w:r>
    </w:p>
    <w:p>
      <w:pPr>
        <w:spacing w:after="0" w:line="234" w:lineRule="auto"/>
        <w:rPr>
          <w:sz w:val="20"/>
          <w:szCs w:val="20"/>
          <w:color w:val="auto"/>
        </w:rPr>
      </w:pPr>
      <w:r>
        <w:rPr>
          <w:rFonts w:ascii="Arial" w:cs="Arial" w:eastAsia="Arial" w:hAnsi="Arial"/>
          <w:sz w:val="18"/>
          <w:szCs w:val="18"/>
          <w:color w:val="auto"/>
        </w:rPr>
        <w:t>Group Manager, Financial Communications</w:t>
      </w:r>
    </w:p>
    <w:p>
      <w:pPr>
        <w:spacing w:after="0" w:line="235" w:lineRule="auto"/>
        <w:rPr>
          <w:sz w:val="20"/>
          <w:szCs w:val="20"/>
          <w:color w:val="auto"/>
        </w:rPr>
      </w:pPr>
      <w:r>
        <w:rPr>
          <w:rFonts w:ascii="Arial" w:cs="Arial" w:eastAsia="Arial" w:hAnsi="Arial"/>
          <w:sz w:val="18"/>
          <w:szCs w:val="18"/>
          <w:color w:val="auto"/>
        </w:rPr>
        <w:t>248-918-8946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david.barnas@gm.com</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Forward Looking Statements</w:t>
      </w:r>
      <w:r>
        <w:rPr>
          <w:rFonts w:ascii="Arial" w:cs="Arial" w:eastAsia="Arial" w:hAnsi="Arial"/>
          <w:sz w:val="18"/>
          <w:szCs w:val="18"/>
          <w:color w:val="auto"/>
        </w:rPr>
        <w:t>: This document may include forward-looking statements. These statements are based on current expectations</w:t>
      </w:r>
      <w:r>
        <w:rPr>
          <w:rFonts w:ascii="Arial" w:cs="Arial" w:eastAsia="Arial" w:hAnsi="Arial"/>
          <w:sz w:val="18"/>
          <w:szCs w:val="18"/>
          <w:b w:val="1"/>
          <w:bCs w:val="1"/>
          <w:color w:val="auto"/>
        </w:rPr>
        <w:t xml:space="preserve"> </w:t>
      </w:r>
      <w:r>
        <w:rPr>
          <w:rFonts w:ascii="Arial" w:cs="Arial" w:eastAsia="Arial" w:hAnsi="Arial"/>
          <w:sz w:val="18"/>
          <w:szCs w:val="18"/>
          <w:color w:val="auto"/>
        </w:rPr>
        <w:t>about possible future events and thus are inherently uncertain. Our actual results may differ materially from forward-looking</w:t>
      </w:r>
    </w:p>
    <w:p>
      <w:pPr>
        <w:sectPr>
          <w:pgSz w:w="11900" w:h="16838" w:orient="portrait"/>
          <w:cols w:equalWidth="0" w:num="1">
            <w:col w:w="11300"/>
          </w:cols>
          <w:pgMar w:left="240" w:top="1030" w:right="359" w:bottom="1440" w:gutter="0" w:footer="0" w:header="0"/>
        </w:sectPr>
      </w:pPr>
    </w:p>
    <w:bookmarkStart w:id="2" w:name="page3"/>
    <w:bookmarkEnd w:id="2"/>
    <w:p>
      <w:pPr>
        <w:ind w:right="2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due to a variety of factors, including: (1) 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 (16) 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 (19) uncertainties associated with the consummation of the sale of Opel/Vauxhall to the PSA Group, including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192"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Important Additional Information Regarding Proxy Solicitation: </w:t>
      </w:r>
      <w:r>
        <w:rPr>
          <w:rFonts w:ascii="Arial" w:cs="Arial" w:eastAsia="Arial" w:hAnsi="Arial"/>
          <w:sz w:val="18"/>
          <w:szCs w:val="18"/>
          <w:color w:val="auto"/>
        </w:rPr>
        <w:t>General Motors Company (“GM”) has filed a definitive proxy statement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w:t>
      </w:r>
    </w:p>
    <w:p>
      <w:pPr>
        <w:sectPr>
          <w:pgSz w:w="11900" w:h="16838" w:orient="portrait"/>
          <w:cols w:equalWidth="0" w:num="1">
            <w:col w:w="11380"/>
          </w:cols>
          <w:pgMar w:left="240" w:top="287" w:right="279" w:bottom="1440" w:gutter="0" w:footer="0" w:header="0"/>
        </w:sectPr>
      </w:pPr>
    </w:p>
    <w:bookmarkStart w:id="3" w:name="page4"/>
    <w:bookmarkEnd w:id="3"/>
    <w:p>
      <w:pPr>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shareholder.relations@gm.com, by calling GM’s proxy solicitor, Innisfree M&amp;A Incorporated, toll-free at 1-877-825-8964, or from the investors section of GM’s website, http://www.gm.com/investors.</w:t>
      </w:r>
    </w:p>
    <w:sectPr>
      <w:pgSz w:w="11900" w:h="16838" w:orient="portrait"/>
      <w:cols w:equalWidth="0" w:num="1">
        <w:col w:w="11220"/>
      </w:cols>
      <w:pgMar w:left="240" w:top="2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2019-12-07T11:10:38Z</dcterms:created>
  <dcterms:modified xsi:type="dcterms:W3CDTF">2019-12-07T11:10:38Z</dcterms:modified>
</cp:coreProperties>
</file>