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899795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(Exact Name of Registrant as Specified in its Charter)</w:t>
      </w: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4220" w:type="dxa"/>
            <w:vAlign w:val="bottom"/>
            <w:tcBorders>
              <w:bottom w:val="single" w:sz="8" w:color="auto"/>
            </w:tcBorders>
          </w:tcPr>
          <w:p>
            <w:pPr>
              <w:jc w:val="center"/>
              <w:ind w:right="212"/>
              <w:spacing w:after="0"/>
              <w:rPr>
                <w:sz w:val="20"/>
                <w:szCs w:val="20"/>
                <w:color w:val="auto"/>
              </w:rPr>
            </w:pPr>
            <w:r>
              <w:rPr>
                <w:rFonts w:ascii="Arial" w:cs="Arial" w:eastAsia="Arial" w:hAnsi="Arial"/>
                <w:sz w:val="22"/>
                <w:szCs w:val="22"/>
                <w:b w:val="1"/>
                <w:bCs w:val="1"/>
                <w:color w:val="auto"/>
                <w:w w:val="95"/>
              </w:rPr>
              <w:t>STATE OF DELAWARE</w:t>
            </w:r>
          </w:p>
        </w:tc>
        <w:tc>
          <w:tcPr>
            <w:tcW w:w="3300" w:type="dxa"/>
            <w:vAlign w:val="bottom"/>
            <w:tcBorders>
              <w:bottom w:val="single" w:sz="8" w:color="auto"/>
            </w:tcBorders>
          </w:tcPr>
          <w:p>
            <w:pPr>
              <w:jc w:val="right"/>
              <w:ind w:right="1172"/>
              <w:spacing w:after="0"/>
              <w:rPr>
                <w:sz w:val="20"/>
                <w:szCs w:val="20"/>
                <w:color w:val="auto"/>
              </w:rPr>
            </w:pPr>
            <w:r>
              <w:rPr>
                <w:rFonts w:ascii="Arial" w:cs="Arial" w:eastAsia="Arial" w:hAnsi="Arial"/>
                <w:sz w:val="22"/>
                <w:szCs w:val="22"/>
                <w:b w:val="1"/>
                <w:bCs w:val="1"/>
                <w:color w:val="auto"/>
              </w:rPr>
              <w:t>001-34960</w:t>
            </w:r>
          </w:p>
        </w:tc>
        <w:tc>
          <w:tcPr>
            <w:tcW w:w="390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27-0756180</w:t>
            </w:r>
          </w:p>
        </w:tc>
      </w:tr>
      <w:tr>
        <w:trPr>
          <w:trHeight w:val="249"/>
        </w:trPr>
        <w:tc>
          <w:tcPr>
            <w:tcW w:w="4220" w:type="dxa"/>
            <w:vAlign w:val="bottom"/>
          </w:tcPr>
          <w:p>
            <w:pPr>
              <w:jc w:val="center"/>
              <w:ind w:right="192"/>
              <w:spacing w:after="0" w:line="248" w:lineRule="exact"/>
              <w:rPr>
                <w:sz w:val="20"/>
                <w:szCs w:val="20"/>
                <w:color w:val="auto"/>
              </w:rPr>
            </w:pPr>
            <w:r>
              <w:rPr>
                <w:rFonts w:ascii="Arial" w:cs="Arial" w:eastAsia="Arial" w:hAnsi="Arial"/>
                <w:sz w:val="22"/>
                <w:szCs w:val="22"/>
                <w:i w:val="1"/>
                <w:iCs w:val="1"/>
                <w:color w:val="auto"/>
                <w:w w:val="92"/>
              </w:rPr>
              <w:t>(State or other jurisdiction of Incorporation</w:t>
            </w:r>
          </w:p>
        </w:tc>
        <w:tc>
          <w:tcPr>
            <w:tcW w:w="3300" w:type="dxa"/>
            <w:vAlign w:val="bottom"/>
          </w:tcPr>
          <w:p>
            <w:pPr>
              <w:jc w:val="center"/>
              <w:ind w:right="72"/>
              <w:spacing w:after="0" w:line="248" w:lineRule="exact"/>
              <w:rPr>
                <w:sz w:val="20"/>
                <w:szCs w:val="20"/>
                <w:color w:val="auto"/>
              </w:rPr>
            </w:pPr>
            <w:r>
              <w:rPr>
                <w:rFonts w:ascii="Arial" w:cs="Arial" w:eastAsia="Arial" w:hAnsi="Arial"/>
                <w:sz w:val="22"/>
                <w:szCs w:val="22"/>
                <w:i w:val="1"/>
                <w:iCs w:val="1"/>
                <w:color w:val="auto"/>
                <w:w w:val="90"/>
              </w:rPr>
              <w:t>(Commission File Number)</w:t>
            </w:r>
          </w:p>
        </w:tc>
        <w:tc>
          <w:tcPr>
            <w:tcW w:w="3900" w:type="dxa"/>
            <w:vAlign w:val="bottom"/>
          </w:tcPr>
          <w:p>
            <w:pPr>
              <w:jc w:val="center"/>
              <w:ind w:left="32"/>
              <w:spacing w:after="0" w:line="248" w:lineRule="exact"/>
              <w:rPr>
                <w:sz w:val="20"/>
                <w:szCs w:val="20"/>
                <w:color w:val="auto"/>
              </w:rPr>
            </w:pPr>
            <w:r>
              <w:rPr>
                <w:rFonts w:ascii="Arial" w:cs="Arial" w:eastAsia="Arial" w:hAnsi="Arial"/>
                <w:sz w:val="22"/>
                <w:szCs w:val="22"/>
                <w:i w:val="1"/>
                <w:iCs w:val="1"/>
                <w:color w:val="auto"/>
                <w:w w:val="91"/>
              </w:rPr>
              <w:t>(IRS Employer Identification No.)</w:t>
            </w:r>
          </w:p>
        </w:tc>
      </w:tr>
      <w:tr>
        <w:trPr>
          <w:trHeight w:val="275"/>
        </w:trPr>
        <w:tc>
          <w:tcPr>
            <w:tcW w:w="4220" w:type="dxa"/>
            <w:vAlign w:val="bottom"/>
          </w:tcPr>
          <w:p>
            <w:pPr>
              <w:jc w:val="center"/>
              <w:ind w:right="212"/>
              <w:spacing w:after="0"/>
              <w:rPr>
                <w:sz w:val="20"/>
                <w:szCs w:val="20"/>
                <w:color w:val="auto"/>
              </w:rPr>
            </w:pPr>
            <w:r>
              <w:rPr>
                <w:rFonts w:ascii="Arial" w:cs="Arial" w:eastAsia="Arial" w:hAnsi="Arial"/>
                <w:sz w:val="22"/>
                <w:szCs w:val="22"/>
                <w:i w:val="1"/>
                <w:iCs w:val="1"/>
                <w:color w:val="auto"/>
                <w:w w:val="92"/>
              </w:rPr>
              <w:t>or Organization)</w:t>
            </w:r>
          </w:p>
        </w:tc>
        <w:tc>
          <w:tcPr>
            <w:tcW w:w="3300" w:type="dxa"/>
            <w:vAlign w:val="bottom"/>
          </w:tcPr>
          <w:p>
            <w:pPr>
              <w:spacing w:after="0"/>
              <w:rPr>
                <w:sz w:val="23"/>
                <w:szCs w:val="23"/>
                <w:color w:val="auto"/>
              </w:rPr>
            </w:pPr>
          </w:p>
        </w:tc>
        <w:tc>
          <w:tcPr>
            <w:tcW w:w="3900" w:type="dxa"/>
            <w:vAlign w:val="bottom"/>
          </w:tcPr>
          <w:p>
            <w:pPr>
              <w:spacing w:after="0"/>
              <w:rPr>
                <w:sz w:val="23"/>
                <w:szCs w:val="23"/>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7400" w:type="dxa"/>
            <w:vAlign w:val="bottom"/>
            <w:tcBorders>
              <w:bottom w:val="single" w:sz="8" w:color="auto"/>
            </w:tcBorders>
          </w:tcPr>
          <w:p>
            <w:pPr>
              <w:jc w:val="center"/>
              <w:ind w:left="172"/>
              <w:spacing w:after="0"/>
              <w:rPr>
                <w:sz w:val="20"/>
                <w:szCs w:val="20"/>
                <w:color w:val="auto"/>
              </w:rPr>
            </w:pPr>
            <w:r>
              <w:rPr>
                <w:rFonts w:ascii="Arial" w:cs="Arial" w:eastAsia="Arial" w:hAnsi="Arial"/>
                <w:sz w:val="22"/>
                <w:szCs w:val="22"/>
                <w:b w:val="1"/>
                <w:bCs w:val="1"/>
                <w:color w:val="auto"/>
                <w:w w:val="88"/>
              </w:rPr>
              <w:t>300 Renaissance Center, Detroit, Michigan</w:t>
            </w:r>
          </w:p>
        </w:tc>
        <w:tc>
          <w:tcPr>
            <w:tcW w:w="4020" w:type="dxa"/>
            <w:vAlign w:val="bottom"/>
            <w:tcBorders>
              <w:bottom w:val="single" w:sz="8" w:color="auto"/>
            </w:tcBorders>
          </w:tcPr>
          <w:p>
            <w:pPr>
              <w:jc w:val="right"/>
              <w:ind w:right="1252"/>
              <w:spacing w:after="0"/>
              <w:rPr>
                <w:sz w:val="20"/>
                <w:szCs w:val="20"/>
                <w:color w:val="auto"/>
              </w:rPr>
            </w:pPr>
            <w:r>
              <w:rPr>
                <w:rFonts w:ascii="Arial" w:cs="Arial" w:eastAsia="Arial" w:hAnsi="Arial"/>
                <w:sz w:val="22"/>
                <w:szCs w:val="22"/>
                <w:b w:val="1"/>
                <w:bCs w:val="1"/>
                <w:color w:val="auto"/>
              </w:rPr>
              <w:t>48265-3000</w:t>
            </w:r>
          </w:p>
        </w:tc>
      </w:tr>
      <w:tr>
        <w:trPr>
          <w:trHeight w:val="280"/>
        </w:trPr>
        <w:tc>
          <w:tcPr>
            <w:tcW w:w="7400" w:type="dxa"/>
            <w:vAlign w:val="bottom"/>
          </w:tcPr>
          <w:p>
            <w:pPr>
              <w:jc w:val="center"/>
              <w:ind w:left="152"/>
              <w:spacing w:after="0"/>
              <w:rPr>
                <w:sz w:val="20"/>
                <w:szCs w:val="20"/>
                <w:color w:val="auto"/>
              </w:rPr>
            </w:pPr>
            <w:r>
              <w:rPr>
                <w:rFonts w:ascii="Arial" w:cs="Arial" w:eastAsia="Arial" w:hAnsi="Arial"/>
                <w:sz w:val="22"/>
                <w:szCs w:val="22"/>
                <w:i w:val="1"/>
                <w:iCs w:val="1"/>
                <w:color w:val="auto"/>
                <w:w w:val="89"/>
              </w:rPr>
              <w:t>(Address of principal executive offices)</w:t>
            </w:r>
          </w:p>
        </w:tc>
        <w:tc>
          <w:tcPr>
            <w:tcW w:w="4020" w:type="dxa"/>
            <w:vAlign w:val="bottom"/>
          </w:tcPr>
          <w:p>
            <w:pPr>
              <w:jc w:val="center"/>
              <w:ind w:left="172"/>
              <w:spacing w:after="0"/>
              <w:rPr>
                <w:sz w:val="20"/>
                <w:szCs w:val="20"/>
                <w:color w:val="auto"/>
              </w:rPr>
            </w:pPr>
            <w:r>
              <w:rPr>
                <w:rFonts w:ascii="Arial" w:cs="Arial" w:eastAsia="Arial" w:hAnsi="Arial"/>
                <w:sz w:val="22"/>
                <w:szCs w:val="22"/>
                <w:i w:val="1"/>
                <w:iCs w:val="1"/>
                <w:color w:val="auto"/>
                <w:w w:val="90"/>
              </w:rPr>
              <w:t>(Zip Code)</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Mark L. Reuss - Executive Vice President, Global Product Development, Purchasing and Supply Chain (313) 667-1500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9"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326" w:lineRule="exact"/>
        <w:rPr>
          <w:sz w:val="24"/>
          <w:szCs w:val="24"/>
          <w:color w:val="auto"/>
        </w:rPr>
      </w:pPr>
    </w:p>
    <w:p>
      <w:pPr>
        <w:ind w:left="40" w:right="420" w:hanging="5"/>
        <w:spacing w:after="0" w:line="251" w:lineRule="auto"/>
        <w:tabs>
          <w:tab w:leader="none" w:pos="247"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 Conflict Minerals Report is filed as Exhibit 1.01 and is also publicly available at the following Internet website: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http://www.gm.com/investors/sec-filings.html.</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Conflict Minerals Report required by Item 1.01 and 1.02 is filed as Exhibit 1.01 to this Form SD.</w:t>
      </w: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 * * * * *</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Exhibit 1.01 - </w:t>
      </w:r>
      <w:r>
        <w:rPr>
          <w:rFonts w:ascii="Arial" w:cs="Arial" w:eastAsia="Arial" w:hAnsi="Arial"/>
          <w:sz w:val="22"/>
          <w:szCs w:val="22"/>
          <w:u w:val="single" w:color="auto"/>
          <w:color w:val="0000FF"/>
        </w:rPr>
        <w:t>Conflict Minerals Report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w:t>
      </w:r>
    </w:p>
    <w:p>
      <w:pPr>
        <w:sectPr>
          <w:pgSz w:w="11900" w:h="16838" w:orient="portrait"/>
          <w:cols w:equalWidth="0" w:num="1">
            <w:col w:w="11420"/>
          </w:cols>
          <w:pgMar w:left="240" w:top="63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162"/>
        <w:spacing w:after="0" w:line="36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0"/>
        <w:spacing w:after="0"/>
        <w:rPr>
          <w:sz w:val="20"/>
          <w:szCs w:val="20"/>
          <w:color w:val="auto"/>
        </w:rPr>
      </w:pPr>
      <w:r>
        <w:rPr>
          <w:rFonts w:ascii="Arial" w:cs="Arial" w:eastAsia="Arial" w:hAnsi="Arial"/>
          <w:sz w:val="22"/>
          <w:szCs w:val="22"/>
          <w:u w:val="single" w:color="auto"/>
          <w:color w:val="auto"/>
        </w:rPr>
        <w:t>GENERAL MOTORS COMPANY</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36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L. Reuss</w:t>
            </w:r>
          </w:p>
        </w:tc>
      </w:tr>
      <w:tr>
        <w:trPr>
          <w:trHeight w:val="276"/>
        </w:trPr>
        <w:tc>
          <w:tcPr>
            <w:tcW w:w="3600" w:type="dxa"/>
            <w:vAlign w:val="bottom"/>
          </w:tcPr>
          <w:p>
            <w:pPr>
              <w:spacing w:after="0"/>
              <w:rPr>
                <w:sz w:val="20"/>
                <w:szCs w:val="20"/>
                <w:color w:val="auto"/>
              </w:rPr>
            </w:pPr>
            <w:r>
              <w:rPr>
                <w:rFonts w:ascii="Arial" w:cs="Arial" w:eastAsia="Arial" w:hAnsi="Arial"/>
                <w:sz w:val="22"/>
                <w:szCs w:val="22"/>
                <w:color w:val="auto"/>
              </w:rPr>
              <w:t>Date: May 31, 2018</w:t>
            </w:r>
          </w:p>
        </w:tc>
        <w:tc>
          <w:tcPr>
            <w:tcW w:w="2540" w:type="dxa"/>
            <w:vAlign w:val="bottom"/>
          </w:tcPr>
          <w:p>
            <w:pPr>
              <w:ind w:left="1880"/>
              <w:spacing w:after="0"/>
              <w:rPr>
                <w:sz w:val="20"/>
                <w:szCs w:val="20"/>
                <w:color w:val="auto"/>
              </w:rPr>
            </w:pPr>
            <w:r>
              <w:rPr>
                <w:rFonts w:ascii="Arial" w:cs="Arial" w:eastAsia="Arial" w:hAnsi="Arial"/>
                <w:sz w:val="22"/>
                <w:szCs w:val="22"/>
                <w:color w:val="auto"/>
              </w:rPr>
              <w:t>By:</w:t>
            </w:r>
          </w:p>
        </w:tc>
        <w:tc>
          <w:tcPr>
            <w:tcW w:w="5240" w:type="dxa"/>
            <w:vAlign w:val="bottom"/>
          </w:tcPr>
          <w:p>
            <w:pPr>
              <w:ind w:left="20"/>
              <w:spacing w:after="0"/>
              <w:rPr>
                <w:sz w:val="20"/>
                <w:szCs w:val="20"/>
                <w:color w:val="auto"/>
              </w:rPr>
            </w:pPr>
            <w:r>
              <w:rPr>
                <w:rFonts w:ascii="Arial" w:cs="Arial" w:eastAsia="Arial" w:hAnsi="Arial"/>
                <w:sz w:val="22"/>
                <w:szCs w:val="22"/>
                <w:color w:val="auto"/>
              </w:rPr>
              <w:t>Mark L. Reuss</w:t>
            </w:r>
          </w:p>
        </w:tc>
      </w:tr>
      <w:tr>
        <w:trPr>
          <w:trHeight w:val="243"/>
        </w:trPr>
        <w:tc>
          <w:tcPr>
            <w:tcW w:w="36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240" w:type="dxa"/>
            <w:vAlign w:val="bottom"/>
          </w:tcPr>
          <w:p>
            <w:pPr>
              <w:ind w:left="20"/>
              <w:spacing w:after="0" w:line="243" w:lineRule="exact"/>
              <w:rPr>
                <w:sz w:val="20"/>
                <w:szCs w:val="20"/>
                <w:color w:val="auto"/>
              </w:rPr>
            </w:pPr>
            <w:r>
              <w:rPr>
                <w:rFonts w:ascii="Arial" w:cs="Arial" w:eastAsia="Arial" w:hAnsi="Arial"/>
                <w:sz w:val="22"/>
                <w:szCs w:val="22"/>
                <w:color w:val="auto"/>
                <w:w w:val="95"/>
              </w:rPr>
              <w:t>Executive Vice President, Global Product Development,</w:t>
            </w:r>
          </w:p>
        </w:tc>
      </w:tr>
      <w:tr>
        <w:trPr>
          <w:trHeight w:val="275"/>
        </w:trPr>
        <w:tc>
          <w:tcPr>
            <w:tcW w:w="36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Purchasing and Supply Chain</w:t>
            </w:r>
          </w:p>
        </w:tc>
      </w:tr>
    </w:tbl>
    <w:p>
      <w:pPr>
        <w:sectPr>
          <w:pgSz w:w="11900" w:h="16838" w:orient="portrait"/>
          <w:cols w:equalWidth="0" w:num="1">
            <w:col w:w="11420"/>
          </w:cols>
          <w:pgMar w:left="240" w:top="63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226"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This Conflict Minerals Report (CMR) of General Motors Company is for calendar year 2017 in accordance with Rule 13p-1 under the Securities Exchange Act of 1934, as amended (the SEC Rule). The SEC Rule was adopted by the Securities and Exchange Commission (SEC) to implement reporting requirements related to conflict minerals as directed by the Dodd-Frank Wall Street Reform and Consumer Protection Act of 2010. The SEC Rule imposes certain reporting obligations on SEC registrants whose manufactured products contain conflict minerals.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In this CMR, references to General Motors, GM, our, us, or we refer to General Motors Company.</w:t>
      </w:r>
    </w:p>
    <w:p>
      <w:pPr>
        <w:spacing w:after="0" w:line="151"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19"/>
          <w:szCs w:val="19"/>
          <w:b w:val="1"/>
          <w:bCs w:val="1"/>
          <w:color w:val="auto"/>
        </w:rPr>
        <w:t>Company and Supply Chain Overview</w:t>
      </w:r>
    </w:p>
    <w:p>
      <w:pPr>
        <w:spacing w:after="0" w:line="226" w:lineRule="exact"/>
        <w:rPr>
          <w:sz w:val="20"/>
          <w:szCs w:val="20"/>
          <w:color w:val="auto"/>
        </w:rPr>
      </w:pPr>
    </w:p>
    <w:p>
      <w:pPr>
        <w:jc w:val="both"/>
        <w:ind w:right="660" w:firstLine="648"/>
        <w:spacing w:after="0" w:line="253" w:lineRule="auto"/>
        <w:rPr>
          <w:sz w:val="20"/>
          <w:szCs w:val="20"/>
          <w:color w:val="auto"/>
        </w:rPr>
      </w:pPr>
      <w:r>
        <w:rPr>
          <w:rFonts w:ascii="Arial" w:cs="Arial" w:eastAsia="Arial" w:hAnsi="Arial"/>
          <w:sz w:val="22"/>
          <w:szCs w:val="22"/>
          <w:color w:val="auto"/>
        </w:rPr>
        <w:t>We, through our direct and indirect subsidiaries, design, build, and sell cars, trucks, crossovers, and automobile parts worldwide. Our supply chain is a complex global network of tiered suppliers that directly or indirectly supply raw materials, components and services to our global facilities.</w:t>
      </w:r>
    </w:p>
    <w:p>
      <w:pPr>
        <w:spacing w:after="0" w:line="186" w:lineRule="exact"/>
        <w:rPr>
          <w:sz w:val="20"/>
          <w:szCs w:val="20"/>
          <w:color w:val="auto"/>
        </w:rPr>
      </w:pPr>
    </w:p>
    <w:p>
      <w:pPr>
        <w:ind w:right="240" w:firstLine="648"/>
        <w:spacing w:after="0" w:line="248" w:lineRule="auto"/>
        <w:rPr>
          <w:sz w:val="20"/>
          <w:szCs w:val="20"/>
          <w:color w:val="auto"/>
        </w:rPr>
      </w:pPr>
      <w:r>
        <w:rPr>
          <w:rFonts w:ascii="Arial" w:cs="Arial" w:eastAsia="Arial" w:hAnsi="Arial"/>
          <w:sz w:val="22"/>
          <w:szCs w:val="22"/>
          <w:color w:val="auto"/>
        </w:rPr>
        <w:t>With respect to the 3TG in our products, generally, multiple tiers of supplier manufacturers exist between the smelters/refiners that process 3TG and the first tier supplier that delivers parts to us. We have no direct business relationship with any smelters/refiners of 3TG. We rely on our suppliers at the top tier of our supply chain, the suppliers we have direct contracts with, to provide information on the origin of, and facilities used to process, the 3TG contained in components and materials supplied to us.</w:t>
      </w:r>
    </w:p>
    <w:p>
      <w:pPr>
        <w:spacing w:after="0" w:line="19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9"/>
          <w:szCs w:val="19"/>
          <w:color w:val="auto"/>
        </w:rPr>
        <w:t>We have conducted a Reasonable Country of Origin Inquiry (RCOI) and performed reasonable due diligence on the source and chain of custody of 3TG contained in components and material supplied to us. Based on the results of our RCOI, and after conducting reasonable due diligence, we are unable to definitively determine the origin of the 3TG utilized in our products.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19"/>
          <w:szCs w:val="19"/>
          <w:b w:val="1"/>
          <w:bCs w:val="1"/>
          <w:color w:val="auto"/>
        </w:rPr>
        <w:t>Reasonable Country of Origin Inquiry</w:t>
      </w:r>
    </w:p>
    <w:p>
      <w:pPr>
        <w:spacing w:after="0" w:line="22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To conduct an RCOI, we solicited conflict minerals declarations from our first tier suppliers of parts that we believe may contain 3TG. These parts include original equipment incorporated into our vehicles, as well as service and aftermarket parts. We used the industry standard reporting form, the Conflict Minerals Reporting Template (CMRT) published by the Responsible Minerals Initiative (RMI and formerly known as the Conflict-Free Sourcing Initiative), to obtain information from these suppliers regarding their manufacturing locations that we believe may provide the 3TG-containing products. We identified these supplier locations based on information in our material data system and prior year supplier CMRT submissions. We also surveyed certain of our employees whose function may provide relevant information to identify any additional supplier locations that may supply us with products that contain 3TG. For 2017, we received completed CMRTs from 90% of the 4,889 supplier locations that we believe supply components to GM that contain 3TG.</w:t>
      </w:r>
    </w:p>
    <w:p>
      <w:pPr>
        <w:spacing w:after="0" w:line="174" w:lineRule="exact"/>
        <w:rPr>
          <w:sz w:val="20"/>
          <w:szCs w:val="20"/>
          <w:color w:val="auto"/>
        </w:rPr>
      </w:pPr>
    </w:p>
    <w:p>
      <w:pPr>
        <w:ind w:left="540" w:hanging="532"/>
        <w:spacing w:after="0"/>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Due Diligence Process</w:t>
      </w:r>
    </w:p>
    <w:p>
      <w:pPr>
        <w:spacing w:after="0" w:line="226" w:lineRule="exact"/>
        <w:rPr>
          <w:sz w:val="20"/>
          <w:szCs w:val="20"/>
          <w:color w:val="auto"/>
        </w:rPr>
      </w:pPr>
    </w:p>
    <w:p>
      <w:pPr>
        <w:ind w:right="400" w:firstLine="648"/>
        <w:spacing w:after="0" w:line="253" w:lineRule="auto"/>
        <w:rPr>
          <w:sz w:val="20"/>
          <w:szCs w:val="20"/>
          <w:color w:val="auto"/>
        </w:rPr>
      </w:pPr>
      <w:r>
        <w:rPr>
          <w:rFonts w:ascii="Arial" w:cs="Arial" w:eastAsia="Arial" w:hAnsi="Arial"/>
          <w:sz w:val="22"/>
          <w:szCs w:val="22"/>
          <w:color w:val="auto"/>
        </w:rPr>
        <w:t>To obtain information regarding the source and chain of custody of 3TG, we conducted due diligence through our direct suppliers based on the Organisation for Economic Co-operation and Development (OECD) Due Diligence Guidance for Responsible Supply Chains of Minerals from</w:t>
      </w:r>
    </w:p>
    <w:p>
      <w:pPr>
        <w:sectPr>
          <w:pgSz w:w="11900" w:h="16838" w:orient="portrait"/>
          <w:cols w:equalWidth="0" w:num="1">
            <w:col w:w="11420"/>
          </w:cols>
          <w:pgMar w:left="240" w:top="585" w:right="239" w:bottom="1440" w:gutter="0" w:footer="0" w:header="0"/>
        </w:sectPr>
      </w:pPr>
    </w:p>
    <w:bookmarkStart w:id="4" w:name="page5"/>
    <w:bookmarkEnd w:id="4"/>
    <w:p>
      <w:pPr>
        <w:ind w:right="540"/>
        <w:spacing w:after="0" w:line="263" w:lineRule="auto"/>
        <w:rPr>
          <w:sz w:val="20"/>
          <w:szCs w:val="20"/>
          <w:color w:val="auto"/>
        </w:rPr>
      </w:pPr>
      <w:r>
        <w:rPr>
          <w:rFonts w:ascii="Arial" w:cs="Arial" w:eastAsia="Arial" w:hAnsi="Arial"/>
          <w:sz w:val="22"/>
          <w:szCs w:val="22"/>
          <w:color w:val="auto"/>
        </w:rPr>
        <w:t>Conflict-Affected and High-Risk Areas published by the OECD. The OECD Guidance provides an internationally recognized framework for conflict minerals due diligence.</w:t>
      </w:r>
    </w:p>
    <w:p>
      <w:pPr>
        <w:spacing w:after="0" w:line="19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Establish Strong Company Management Systems</w:t>
      </w:r>
    </w:p>
    <w:p>
      <w:pPr>
        <w:spacing w:after="0" w:line="219" w:lineRule="exact"/>
        <w:rPr>
          <w:rFonts w:ascii="Arial" w:cs="Arial" w:eastAsia="Arial" w:hAnsi="Arial"/>
          <w:sz w:val="22"/>
          <w:szCs w:val="22"/>
          <w:b w:val="1"/>
          <w:bCs w:val="1"/>
          <w:color w:val="auto"/>
        </w:rPr>
      </w:pPr>
    </w:p>
    <w:p>
      <w:pPr>
        <w:ind w:left="1520" w:hanging="215"/>
        <w:spacing w:after="0"/>
        <w:tabs>
          <w:tab w:leader="none" w:pos="1520"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Company Conflict Minerals Policy</w:t>
      </w:r>
    </w:p>
    <w:p>
      <w:pPr>
        <w:spacing w:after="0" w:line="22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GM’s policies and practices, including its Conflict Minerals Policy, reflect our commitment to responsible sourcing strategies that mitigate negative social and environmental impacts. Through our Supplier Code of Conduct, we require similar commitments and efforts from our suppliers to source responsibly within our supply chain, including the use of 3TG. Our conflict minerals policy, which also is incorporated into our Sustainability Report, is found at http://www.gmsustainability.com. We also communicate this policy to our suppliers through our supplier portal. The policy is as follows: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CONFLICT MINERALS POLICY</w:t>
      </w:r>
    </w:p>
    <w:p>
      <w:pPr>
        <w:spacing w:after="0" w:line="361" w:lineRule="exact"/>
        <w:rPr>
          <w:sz w:val="20"/>
          <w:szCs w:val="20"/>
          <w:color w:val="auto"/>
        </w:rPr>
      </w:pPr>
    </w:p>
    <w:p>
      <w:pPr>
        <w:ind w:right="60"/>
        <w:spacing w:after="0" w:line="265" w:lineRule="auto"/>
        <w:rPr>
          <w:sz w:val="20"/>
          <w:szCs w:val="20"/>
          <w:color w:val="auto"/>
        </w:rPr>
      </w:pPr>
      <w:r>
        <w:rPr>
          <w:rFonts w:ascii="Arial" w:cs="Arial" w:eastAsia="Arial" w:hAnsi="Arial"/>
          <w:sz w:val="21"/>
          <w:szCs w:val="21"/>
          <w:i w:val="1"/>
          <w:iCs w:val="1"/>
          <w:color w:val="auto"/>
        </w:rPr>
        <w:t>General Motors is committed to sustainable and responsible sourcing of goods and services throughout our supply chain. GM supports the human rights goals reflected in the adoption of conflict mineral due diligence requirements included in the Dodd-Frank Wall Street Reform and Consumer Protection Act of 2010. GM has a zero tolerance policy against the use of child labor, and prohibits abusive treatment to employees and corrupt business practices in our supply base.</w:t>
      </w:r>
    </w:p>
    <w:p>
      <w:pPr>
        <w:spacing w:after="0" w:line="200" w:lineRule="exact"/>
        <w:rPr>
          <w:sz w:val="20"/>
          <w:szCs w:val="20"/>
          <w:color w:val="auto"/>
        </w:rPr>
      </w:pPr>
    </w:p>
    <w:p>
      <w:pPr>
        <w:spacing w:after="0" w:line="24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Through industry collaboration, GM has adopted a common methodology to obtain chain of custody declarations from suppliers to increase the transparency of conflict minerals in our global supply chain. GM has been an active contributor within the Automotive Industry Action Group (AIAG) in developing an automotive industry wide approach to reporting the use of conflict minerals, and educating suppliers about their roles and responsibilities.</w:t>
      </w:r>
    </w:p>
    <w:p>
      <w:pPr>
        <w:spacing w:after="0" w:line="200" w:lineRule="exact"/>
        <w:rPr>
          <w:sz w:val="20"/>
          <w:szCs w:val="20"/>
          <w:color w:val="auto"/>
        </w:rPr>
      </w:pPr>
    </w:p>
    <w:p>
      <w:pPr>
        <w:spacing w:after="0" w:line="259" w:lineRule="exact"/>
        <w:rPr>
          <w:sz w:val="20"/>
          <w:szCs w:val="20"/>
          <w:color w:val="auto"/>
        </w:rPr>
      </w:pPr>
    </w:p>
    <w:p>
      <w:pPr>
        <w:spacing w:after="0" w:line="263" w:lineRule="auto"/>
        <w:rPr>
          <w:sz w:val="20"/>
          <w:szCs w:val="20"/>
          <w:color w:val="auto"/>
        </w:rPr>
      </w:pPr>
      <w:r>
        <w:rPr>
          <w:rFonts w:ascii="Arial" w:cs="Arial" w:eastAsia="Arial" w:hAnsi="Arial"/>
          <w:sz w:val="21"/>
          <w:szCs w:val="21"/>
          <w:i w:val="1"/>
          <w:iCs w:val="1"/>
          <w:color w:val="auto"/>
        </w:rPr>
        <w:t>We require our suppliers to engage in supply chain due diligence to improve understanding and reporting of component content supplied to GM. Further, we encourage our suppliers to source responsibly with validated conflict free smelters, wherever possible, to increase our level of confidence that the components in our vehicles and products contain conflict free minerals. We recognize that our sourcing decisions may cause economic consequences in impacted regions and seek to avoid inadvertent adverse economic impact attributable to conflict mineral due diligence activities.</w:t>
      </w:r>
    </w:p>
    <w:p>
      <w:pPr>
        <w:spacing w:after="0" w:line="3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2. Internal Management Team</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We have created a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188"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Within this compliance-focused group, we have a full-time team to lead our conflict minerals compliance program. To support this team, we organized a Conflict Minerals Compliance Committee, composed of representatives from the following functional areas: Global Purchasing and Supply Chain, Legal, Public Policy, Finance, Information Technology, Communications, SEC Reporting, and Materials</w:t>
      </w:r>
    </w:p>
    <w:p>
      <w:pPr>
        <w:sectPr>
          <w:pgSz w:w="11900" w:h="16838" w:orient="portrait"/>
          <w:cols w:equalWidth="0" w:num="1">
            <w:col w:w="11420"/>
          </w:cols>
          <w:pgMar w:left="240" w:top="591" w:right="239" w:bottom="1440" w:gutter="0" w:footer="0" w:header="0"/>
        </w:sectPr>
      </w:pPr>
    </w:p>
    <w:bookmarkStart w:id="5" w:name="page6"/>
    <w:bookmarkEnd w:id="5"/>
    <w:p>
      <w:pPr>
        <w:ind w:right="300"/>
        <w:spacing w:after="0" w:line="250" w:lineRule="auto"/>
        <w:rPr>
          <w:sz w:val="20"/>
          <w:szCs w:val="20"/>
          <w:color w:val="auto"/>
        </w:rPr>
      </w:pPr>
      <w:r>
        <w:rPr>
          <w:rFonts w:ascii="Arial" w:cs="Arial" w:eastAsia="Arial" w:hAnsi="Arial"/>
          <w:sz w:val="22"/>
          <w:szCs w:val="22"/>
          <w:color w:val="auto"/>
        </w:rPr>
        <w:t>Engineering. The Conflict Minerals Compliance Committee provides cross functional expertise for our conflict minerals compliance program. We also have a Conflict Minerals Executive Steering Committee composed of Executives in Global Purchasing and Supply Chain, Legal, and Public Policy. The Executive Steering Committee exercises oversight over the conflict minerals compliance program.</w:t>
      </w:r>
    </w:p>
    <w:p>
      <w:pPr>
        <w:spacing w:after="0" w:line="22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We have adopted a Supplier Code of Conduct, which incorporates our Conflict Minerals Policy as well as other socially responsible policies related to human rights and the environment. GM also is a signatory to the UN Global Compact and a member of the Responsible Materials Initiative (RMI).</w:t>
      </w:r>
    </w:p>
    <w:p>
      <w:pPr>
        <w:spacing w:after="0" w:line="3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3. System of Supply Chain Controls and Transparency</w:t>
      </w:r>
    </w:p>
    <w:p>
      <w:pPr>
        <w:spacing w:after="0" w:line="226" w:lineRule="exact"/>
        <w:rPr>
          <w:sz w:val="20"/>
          <w:szCs w:val="20"/>
          <w:color w:val="auto"/>
        </w:rPr>
      </w:pPr>
    </w:p>
    <w:p>
      <w:pPr>
        <w:ind w:right="20" w:firstLine="180"/>
        <w:spacing w:after="0" w:line="264" w:lineRule="auto"/>
        <w:rPr>
          <w:sz w:val="20"/>
          <w:szCs w:val="20"/>
          <w:color w:val="auto"/>
        </w:rPr>
      </w:pPr>
      <w:r>
        <w:rPr>
          <w:rFonts w:ascii="Arial" w:cs="Arial" w:eastAsia="Arial" w:hAnsi="Arial"/>
          <w:sz w:val="21"/>
          <w:szCs w:val="21"/>
          <w:color w:val="auto"/>
        </w:rPr>
        <w:t>Since 2013, our standard terms and conditions for purchase contracts require our direct suppliers to report their use of 3TG in products supplied to us. We expect our suppliers to be fair, humane, and lawful employers, and to enforce similar requirements with their sub-suppliers. We rely on our first tier suppliers, as part of their response process to our request for conflict minerals information, to solicit and compile information from lower tier suppliers comprising our supply chain. We review each of the first tier supplier responses and work with our suppliers, as necessary, to improve the accuracy of the information we receive, both directly from our first tier suppliers as well as indirectly from downstream suppliers.</w:t>
      </w:r>
    </w:p>
    <w:p>
      <w:pPr>
        <w:spacing w:after="0" w:line="175" w:lineRule="exact"/>
        <w:rPr>
          <w:sz w:val="20"/>
          <w:szCs w:val="20"/>
          <w:color w:val="auto"/>
        </w:rPr>
      </w:pPr>
    </w:p>
    <w:p>
      <w:pPr>
        <w:jc w:val="both"/>
        <w:ind w:right="260" w:firstLine="648"/>
        <w:spacing w:after="0" w:line="250" w:lineRule="auto"/>
        <w:rPr>
          <w:sz w:val="20"/>
          <w:szCs w:val="20"/>
          <w:color w:val="auto"/>
        </w:rPr>
      </w:pPr>
      <w:r>
        <w:rPr>
          <w:rFonts w:ascii="Arial" w:cs="Arial" w:eastAsia="Arial" w:hAnsi="Arial"/>
          <w:sz w:val="22"/>
          <w:szCs w:val="22"/>
          <w:color w:val="auto"/>
        </w:rPr>
        <w:t>We also participate in conflict minerals initiatives with other automobile manufacturers through the Automotive Industry Action Group (AIAG), a non-profit automotive industry trade association. Through our membership with AIAG, we collaborate with other AIAG member companies to develop common methods to obtain 3TG chain of custody declarations from suppliers in the automotive industry.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4. Supplier Engagement</w:t>
      </w:r>
    </w:p>
    <w:p>
      <w:pPr>
        <w:spacing w:after="0" w:line="22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We engage with our suppliers to assist them in building capabilities to improve chain of custody declarations and to increase the transparency of 3TG in our global supply chain. We communicate our conflict minerals reporting requirements to suppliers via various mechanisms including teleconferences, emails, publications, and webinars. We have also established a direct email address (email address: conflictminerals@gm.com) to provide our suppliers a streamlined path of communication relating to conflict minerals. We make conflict minerals documents available through our supplier portal and have created and provide FAQs, instructions, webinar presentations, and leadership messages relating to conflict minerals.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5. Grievance Mechanism</w:t>
      </w:r>
    </w:p>
    <w:p>
      <w:pPr>
        <w:spacing w:after="0" w:line="226" w:lineRule="exact"/>
        <w:rPr>
          <w:sz w:val="20"/>
          <w:szCs w:val="20"/>
          <w:color w:val="auto"/>
        </w:rPr>
      </w:pPr>
    </w:p>
    <w:p>
      <w:pPr>
        <w:ind w:right="180" w:firstLine="648"/>
        <w:spacing w:after="0" w:line="261" w:lineRule="auto"/>
        <w:rPr>
          <w:sz w:val="20"/>
          <w:szCs w:val="20"/>
          <w:color w:val="auto"/>
        </w:rPr>
      </w:pPr>
      <w:r>
        <w:rPr>
          <w:rFonts w:ascii="Arial" w:cs="Arial" w:eastAsia="Arial" w:hAnsi="Arial"/>
          <w:sz w:val="21"/>
          <w:szCs w:val="21"/>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“Awareline” in over a dozen different languages 24 hours per day, 7 days per week by phone, web, email, postal service or fax. Individuals filing reports on the “Awareline” may remain anonymous as permitted by law. A link to access information for the “Awareline” is: https://www.awareline.com/index.htm.</w:t>
      </w:r>
    </w:p>
    <w:p>
      <w:pPr>
        <w:spacing w:after="0" w:line="180"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color w:val="auto"/>
        </w:rPr>
        <w:t>GM employees and contract workers may also communicate, anonymously or otherwise, with our independent Monitor, appointed in October 2015 under GM’s Deferred Prosecution Agreement with the US Attorney for the Southern District of New York. The Monitor maintains an independent toll-free phone</w:t>
      </w:r>
    </w:p>
    <w:p>
      <w:pPr>
        <w:sectPr>
          <w:pgSz w:w="11900" w:h="16838" w:orient="portrait"/>
          <w:cols w:equalWidth="0" w:num="1">
            <w:col w:w="11420"/>
          </w:cols>
          <w:pgMar w:left="240" w:top="59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number for reporting any violation of law or unethical conduct, as well as a globally available online web form.</w:t>
      </w:r>
    </w:p>
    <w:p>
      <w:pPr>
        <w:spacing w:after="0" w:line="214"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Identify and Assess Risk in the Supply Chain</w:t>
      </w:r>
    </w:p>
    <w:p>
      <w:pPr>
        <w:spacing w:after="0" w:line="239"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We analyzed the CMRT responses for completeness and consistency. We also requested suppliers who reported procuring 3TG from a covered country to report to us the identity of the applicable smelters/refiners. We then compared these identified smelters/refiners to those listed in the Conflict-Free Smelter Program to identify suppliers that deliver parts that may contain 3TG from smelters/refiners that are not in the Conflict-Free Smelter Program. The Conflict-Free Smelter Program was recently changed to the Responsible Minerals Assurance Process (RMAP). The RMAP uses an independent third-party to validate the smelter/refiner processes for responsible mineral procurement. The audit, employed by the third party, follows the RMAP established protocols for the given mineral and current global standards.</w:t>
      </w:r>
    </w:p>
    <w:p>
      <w:pPr>
        <w:spacing w:after="0" w:line="181"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We are also a member company of the RMI. Through our membership (ID # 5515), we are able to obtain specific information on smelters/refiners that is available only to RMI member companies. We use this information internally within GM, to analyze the smelter lists provided to us through our suppliers’ CMRT submissions. We provided feedback to those suppliers relating to consistency of their submission and we provided to suppliers the names of smelters/refiners listed in their CMRTs that are not yet in the RMAP. We requested our suppliers, through individual emails, to send letters to these smelters/refiners to join this program.</w:t>
      </w:r>
    </w:p>
    <w:p>
      <w:pPr>
        <w:spacing w:after="0" w:line="194" w:lineRule="exact"/>
        <w:rPr>
          <w:sz w:val="20"/>
          <w:szCs w:val="20"/>
          <w:color w:val="auto"/>
        </w:rPr>
      </w:pPr>
    </w:p>
    <w:p>
      <w:pPr>
        <w:jc w:val="both"/>
        <w:ind w:right="180" w:firstLine="648"/>
        <w:spacing w:after="0" w:line="250" w:lineRule="auto"/>
        <w:rPr>
          <w:sz w:val="20"/>
          <w:szCs w:val="20"/>
          <w:color w:val="auto"/>
        </w:rPr>
      </w:pPr>
      <w:r>
        <w:rPr>
          <w:rFonts w:ascii="Arial" w:cs="Arial" w:eastAsia="Arial" w:hAnsi="Arial"/>
          <w:sz w:val="22"/>
          <w:szCs w:val="22"/>
          <w:color w:val="auto"/>
        </w:rPr>
        <w:t>In addition to the smelter name, the CMRT form also seeks information related to the location (country) of the mine from which the 3TG is procured. Although we requested that our suppliers include this information in their responses, not all suppliers provided responses with country (origin) information. We will continue to educate our suppliers on the importance of determining the origin of 3TG.</w:t>
      </w:r>
    </w:p>
    <w:p>
      <w:pPr>
        <w:spacing w:after="0" w:line="223"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C.</w:t>
      </w:r>
      <w:r>
        <w:rPr>
          <w:sz w:val="20"/>
          <w:szCs w:val="20"/>
          <w:color w:val="auto"/>
        </w:rPr>
        <w:tab/>
      </w:r>
      <w:r>
        <w:rPr>
          <w:rFonts w:ascii="Arial" w:cs="Arial" w:eastAsia="Arial" w:hAnsi="Arial"/>
          <w:sz w:val="19"/>
          <w:szCs w:val="19"/>
          <w:b w:val="1"/>
          <w:bCs w:val="1"/>
          <w:color w:val="auto"/>
        </w:rPr>
        <w:t>Design and Implement a Strategy to Respond to Identified Risk</w:t>
      </w:r>
    </w:p>
    <w:p>
      <w:pPr>
        <w:spacing w:after="0" w:line="280"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As previously described, we review each supplier CMRT response in order to (i) provide feedback to our suppliers and (ii) identify risks in our supply chain related to use of 3TG. 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pacing w:after="0" w:line="151" w:lineRule="exact"/>
        <w:rPr>
          <w:sz w:val="20"/>
          <w:szCs w:val="20"/>
          <w:color w:val="auto"/>
        </w:rPr>
      </w:pPr>
    </w:p>
    <w:p>
      <w:pPr>
        <w:ind w:right="200" w:firstLine="648"/>
        <w:spacing w:after="0" w:line="248" w:lineRule="auto"/>
        <w:rPr>
          <w:sz w:val="20"/>
          <w:szCs w:val="20"/>
          <w:color w:val="auto"/>
        </w:rPr>
      </w:pPr>
      <w:r>
        <w:rPr>
          <w:rFonts w:ascii="Arial" w:cs="Arial" w:eastAsia="Arial" w:hAnsi="Arial"/>
          <w:sz w:val="22"/>
          <w:szCs w:val="22"/>
          <w:color w:val="auto"/>
        </w:rPr>
        <w:t>Smelter/refiner outreach and certification are also important risk mitigation components of our conflict minerals program. To increase the number of conflict-free smelters/refiners, we conducted outreach to 118 smelters/refiners by sending letters to encourage them to join the RMAP. We also encouraged our suppliers to send outreach letters to the smelters/refiners in their smelter lists who are not validated as Conflict-Free by RMI or organizations recognized by RMI as validating smelters/refiners as Conflict-Free.</w:t>
      </w:r>
    </w:p>
    <w:p>
      <w:pPr>
        <w:spacing w:after="0" w:line="19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Results of our monitoring and outreach efforts are reported to the Conflict Minerals Executive Steering Committee at regular periodic meetings and tracked against prior year results.</w:t>
      </w:r>
    </w:p>
    <w:p>
      <w:pPr>
        <w:sectPr>
          <w:pgSz w:w="11900" w:h="16838" w:orient="portrait"/>
          <w:cols w:equalWidth="0" w:num="1">
            <w:col w:w="11420"/>
          </w:cols>
          <w:pgMar w:left="240" w:top="591" w:right="239" w:bottom="1440" w:gutter="0" w:footer="0" w:header="0"/>
        </w:sectPr>
      </w:pPr>
    </w:p>
    <w:bookmarkStart w:id="7" w:name="page8"/>
    <w:bookmarkEnd w:id="7"/>
    <w:p>
      <w:pPr>
        <w:ind w:left="1100" w:hanging="444"/>
        <w:spacing w:after="0"/>
        <w:tabs>
          <w:tab w:leader="none" w:pos="110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Carry Out Independent Third-Party Audit of Supply Chain Due Diligence</w:t>
      </w:r>
    </w:p>
    <w:p>
      <w:pPr>
        <w:spacing w:after="0" w:line="239"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Since we do not source directly with smelters/refiners, we rely on information from industry involvement and information available through our membership in RMI. We actively support industry-wide initiatives to improve both reporting and knowledge regarding the smelters/refiners supplying 3TG materials for our products.</w:t>
      </w:r>
    </w:p>
    <w:p>
      <w:pPr>
        <w:spacing w:after="0" w:line="18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Through contributions to the AIAG Conflict Minerals Work Group, we financially support visits to smelters/refiners to encourage these smelters/refiners to participate in the third party audit to become validated as conflict-free. In 2018, we also donated funds to the not-for-profit RMI Initial Audit Fund to help support smelters/refiners with their first formal audit to join the RMAP.</w:t>
      </w:r>
    </w:p>
    <w:p>
      <w:pPr>
        <w:spacing w:after="0" w:line="182"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b w:val="1"/>
          <w:bCs w:val="1"/>
          <w:color w:val="auto"/>
        </w:rPr>
        <w:t>E.</w:t>
      </w:r>
      <w:r>
        <w:rPr>
          <w:sz w:val="20"/>
          <w:szCs w:val="20"/>
          <w:color w:val="auto"/>
        </w:rPr>
        <w:tab/>
      </w:r>
      <w:r>
        <w:rPr>
          <w:rFonts w:ascii="Arial" w:cs="Arial" w:eastAsia="Arial" w:hAnsi="Arial"/>
          <w:sz w:val="19"/>
          <w:szCs w:val="19"/>
          <w:b w:val="1"/>
          <w:bCs w:val="1"/>
          <w:color w:val="auto"/>
        </w:rPr>
        <w:t>Report on Supply Chain Due Diligence</w:t>
      </w:r>
    </w:p>
    <w:p>
      <w:pPr>
        <w:spacing w:after="0" w:line="239"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We file the Specialized Disclosure Form including the Conflict Minerals Report annually with the SEC as directed by the Dodd-Frank Wall Street Reform and Consumer Protection Act of 2010. Our Form SD and CMR are available on our website at http://www.gm.com/investors/sec-filings.html.</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b w:val="1"/>
          <w:bCs w:val="1"/>
          <w:color w:val="auto"/>
        </w:rPr>
        <w:t>IV. Steps We Have Taken or Will Take to Mitigate the Risk that Conflict Minerals in Our Products Benefit Armed Groups Including Improving Due Diligence</w:t>
      </w:r>
    </w:p>
    <w:p>
      <w:pPr>
        <w:spacing w:after="0" w:line="168" w:lineRule="exact"/>
        <w:rPr>
          <w:sz w:val="20"/>
          <w:szCs w:val="20"/>
          <w:color w:val="auto"/>
        </w:rPr>
      </w:pPr>
    </w:p>
    <w:p>
      <w:pPr>
        <w:ind w:right="180" w:firstLine="648"/>
        <w:spacing w:after="0" w:line="261" w:lineRule="auto"/>
        <w:rPr>
          <w:sz w:val="20"/>
          <w:szCs w:val="20"/>
          <w:color w:val="auto"/>
        </w:rPr>
      </w:pPr>
      <w:r>
        <w:rPr>
          <w:rFonts w:ascii="Arial" w:cs="Arial" w:eastAsia="Arial" w:hAnsi="Arial"/>
          <w:sz w:val="21"/>
          <w:szCs w:val="21"/>
          <w:color w:val="auto"/>
        </w:rPr>
        <w:t>During this reporting year, we experienced favorable improvement in two key metrics measuring the effectiveness of our conflict minerals program: (i) the number of supplier locations submitting CMRTs to us increased by 554, equating to a 13% increase over the prior year, and (ii) as identified by RMI, the number of smelters/refiners validated as conflict-free also increased over the prior year. We are continuing to work with our suppliers to gather more information through the supply chain. Through emails, webinars, and our conflict minerals policy, we are encouraging our suppliers to work with their supply chains to source responsibly, including utilizing conflict-free smelters/refiners.</w:t>
      </w:r>
    </w:p>
    <w:p>
      <w:pPr>
        <w:spacing w:after="0" w:line="180"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We will continue to work with AIAG to further educate suppliers and utilize common methods to determine the origin of 3TG in our products. We co-chair the main AIAG Conflict Minerals Work Group. Through this group, we will continue to develop and participate in AIAG training and other 3TG initiatives.</w:t>
      </w:r>
    </w:p>
    <w:p>
      <w:pPr>
        <w:spacing w:after="0" w:line="18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We, as a member company of RMI, are further developing a reliable smelter/refiner list by assisting RMI in identifying legitimate smelters/refiners. Working with RMI and AIAG, we are sending letters to smelters/refiners and visiting smelters/refiners who are not yet engaged in the RMAP. We believe that increasing the participation of smelters/refiners in this program will not only expand the availability of conflict-free 3TG, but will also enhance the ability for our supply base to reliably source 3TG from conflict-free smelters/refiners.</w:t>
      </w:r>
    </w:p>
    <w:p>
      <w:pPr>
        <w:spacing w:after="0" w:line="200" w:lineRule="exact"/>
        <w:rPr>
          <w:sz w:val="20"/>
          <w:szCs w:val="20"/>
          <w:color w:val="auto"/>
        </w:rPr>
      </w:pPr>
    </w:p>
    <w:p>
      <w:pPr>
        <w:spacing w:after="0" w:line="202"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Product Determination</w:t>
      </w:r>
    </w:p>
    <w:p>
      <w:pPr>
        <w:spacing w:after="0" w:line="226"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Based on the results of our RCOI and after conducting due diligence, because of the complexity of our supply chain and the inherent imprecision of reporting information through our elaborate supply chain, we cannot confirm whether the 3TG reported to us by our suppliers, some of which may have been sourced from a covered country, are in our products. However, we have not identified any instances where 3TG minerals in our products are directly or indirectly financing or benefiting armed groups in the covered countries.</w:t>
      </w:r>
    </w:p>
    <w:p>
      <w:pPr>
        <w:sectPr>
          <w:pgSz w:w="11900" w:h="16838" w:orient="portrait"/>
          <w:cols w:equalWidth="0" w:num="1">
            <w:col w:w="11420"/>
          </w:cols>
          <w:pgMar w:left="240" w:top="585" w:right="239" w:bottom="1440" w:gutter="0" w:footer="0" w:header="0"/>
        </w:sectPr>
      </w:pPr>
    </w:p>
    <w:bookmarkStart w:id="8" w:name="page9"/>
    <w:bookmarkEnd w:id="8"/>
    <w:p>
      <w:pPr>
        <w:spacing w:after="0"/>
        <w:tabs>
          <w:tab w:leader="none" w:pos="48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19"/>
          <w:szCs w:val="19"/>
          <w:b w:val="1"/>
          <w:bCs w:val="1"/>
          <w:color w:val="auto"/>
        </w:rPr>
        <w:t>Appendix</w:t>
      </w:r>
    </w:p>
    <w:p>
      <w:pPr>
        <w:spacing w:after="0" w:line="22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9"/>
          <w:szCs w:val="19"/>
          <w:color w:val="auto"/>
        </w:rPr>
        <w:t>Utilizing the information provided by our first tier suppliers in their CMRT submissions, we compiled a list of smelters/refiners that may provide 3TG used in our products. The smelter/refiner list is provided as an appendix in this report. However, because most of our suppliers reported 3TG usage at a company-wide level, the information provided by our suppliers, including the identity of smelters/refiners included in the appendix, may relate to non-GM products. In addition, not all of our suppliers provided to us smelter/refiner identity and country of origin information for 3TG. Further, we understand that smelters/refiners generally commingle minerals from different mine sources, which may further impair our suppliers’ ability to track the source of 3TG. Accordingly, we cannot confirm the accuracy or completeness of the attached appendix of potential smelters/refiners and we cannot definitively determine the origin of all of the 3TG we utilize in our products.</w:t>
      </w:r>
    </w:p>
    <w:p>
      <w:pPr>
        <w:spacing w:after="0" w:line="157"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We have listed 329 entities that are 3TG smelters/refiners. Based on current information from RMI, 267 are validated as being conflict free, 14 are either actively pursuing or in communication to join the RMAP, 35 require more outreach with letters/visits to join the program, 7 were found not to be conformant to the RMAP audit standard, 4 are under due diligence review by RMI, and 2 have temporarily ceased operations.</w:t>
      </w:r>
    </w:p>
    <w:p>
      <w:pPr>
        <w:spacing w:after="0" w:line="200" w:lineRule="exact"/>
        <w:rPr>
          <w:sz w:val="20"/>
          <w:szCs w:val="20"/>
          <w:color w:val="auto"/>
        </w:rPr>
      </w:pPr>
    </w:p>
    <w:p>
      <w:pPr>
        <w:spacing w:after="0" w:line="328" w:lineRule="exact"/>
        <w:rPr>
          <w:sz w:val="20"/>
          <w:szCs w:val="20"/>
          <w:color w:val="auto"/>
        </w:rPr>
      </w:pPr>
    </w:p>
    <w:tbl>
      <w:tblPr>
        <w:tblLayout w:type="fixed"/>
        <w:tblInd w:w="1530" w:type="dxa"/>
        <w:tblCellMar>
          <w:top w:w="0" w:type="dxa"/>
          <w:left w:w="0" w:type="dxa"/>
          <w:bottom w:w="0" w:type="dxa"/>
          <w:right w:w="0" w:type="dxa"/>
        </w:tblCellMar>
      </w:tblPr>
      <w:tr>
        <w:trPr>
          <w:trHeight w:val="256"/>
        </w:trPr>
        <w:tc>
          <w:tcPr>
            <w:tcW w:w="1060" w:type="dxa"/>
            <w:vAlign w:val="bottom"/>
            <w:tcBorders>
              <w:top w:val="single" w:sz="8" w:color="auto"/>
              <w:left w:val="single" w:sz="8" w:color="auto"/>
              <w:right w:val="single" w:sz="8" w:color="auto"/>
            </w:tcBorders>
            <w:shd w:val="clear" w:color="auto" w:fill="FCFF58"/>
          </w:tcPr>
          <w:p>
            <w:pPr>
              <w:spacing w:after="0"/>
              <w:rPr>
                <w:sz w:val="22"/>
                <w:szCs w:val="22"/>
                <w:color w:val="auto"/>
              </w:rPr>
            </w:pPr>
          </w:p>
        </w:tc>
        <w:tc>
          <w:tcPr>
            <w:tcW w:w="5700" w:type="dxa"/>
            <w:vAlign w:val="bottom"/>
            <w:tcBorders>
              <w:top w:val="single" w:sz="8" w:color="auto"/>
              <w:right w:val="single" w:sz="8" w:color="auto"/>
            </w:tcBorders>
            <w:shd w:val="clear" w:color="auto" w:fill="FCFF58"/>
          </w:tcPr>
          <w:p>
            <w:pPr>
              <w:spacing w:after="0"/>
              <w:rPr>
                <w:sz w:val="22"/>
                <w:szCs w:val="22"/>
                <w:color w:val="auto"/>
              </w:rPr>
            </w:pPr>
          </w:p>
        </w:tc>
        <w:tc>
          <w:tcPr>
            <w:tcW w:w="1640" w:type="dxa"/>
            <w:vAlign w:val="bottom"/>
            <w:tcBorders>
              <w:top w:val="single" w:sz="8" w:color="auto"/>
              <w:right w:val="single" w:sz="8" w:color="auto"/>
            </w:tcBorders>
            <w:shd w:val="clear" w:color="auto" w:fill="FCFF58"/>
          </w:tcPr>
          <w:p>
            <w:pPr>
              <w:ind w:left="460"/>
              <w:spacing w:after="0"/>
              <w:rPr>
                <w:sz w:val="20"/>
                <w:szCs w:val="20"/>
                <w:color w:val="auto"/>
              </w:rPr>
            </w:pPr>
            <w:r>
              <w:rPr>
                <w:rFonts w:ascii="Arial" w:cs="Arial" w:eastAsia="Arial" w:hAnsi="Arial"/>
                <w:sz w:val="22"/>
                <w:szCs w:val="22"/>
                <w:b w:val="1"/>
                <w:bCs w:val="1"/>
                <w:color w:val="333333"/>
              </w:rPr>
              <w:t>Smelter</w:t>
            </w:r>
          </w:p>
        </w:tc>
      </w:tr>
      <w:tr>
        <w:trPr>
          <w:trHeight w:val="291"/>
        </w:trPr>
        <w:tc>
          <w:tcPr>
            <w:tcW w:w="1060" w:type="dxa"/>
            <w:vAlign w:val="bottom"/>
            <w:tcBorders>
              <w:left w:val="single" w:sz="8" w:color="auto"/>
              <w:bottom w:val="single" w:sz="8" w:color="auto"/>
              <w:right w:val="single" w:sz="8" w:color="auto"/>
            </w:tcBorders>
            <w:shd w:val="clear" w:color="auto" w:fill="FCFF58"/>
          </w:tcPr>
          <w:p>
            <w:pPr>
              <w:ind w:left="260"/>
              <w:spacing w:after="0"/>
              <w:rPr>
                <w:sz w:val="20"/>
                <w:szCs w:val="20"/>
                <w:color w:val="auto"/>
              </w:rPr>
            </w:pPr>
            <w:r>
              <w:rPr>
                <w:rFonts w:ascii="Arial" w:cs="Arial" w:eastAsia="Arial" w:hAnsi="Arial"/>
                <w:sz w:val="22"/>
                <w:szCs w:val="22"/>
                <w:b w:val="1"/>
                <w:bCs w:val="1"/>
                <w:color w:val="333333"/>
              </w:rPr>
              <w:t>Metal</w:t>
            </w:r>
          </w:p>
        </w:tc>
        <w:tc>
          <w:tcPr>
            <w:tcW w:w="5700" w:type="dxa"/>
            <w:vAlign w:val="bottom"/>
            <w:tcBorders>
              <w:bottom w:val="single" w:sz="8" w:color="auto"/>
              <w:right w:val="single" w:sz="8" w:color="auto"/>
            </w:tcBorders>
            <w:shd w:val="clear" w:color="auto" w:fill="FCFF58"/>
          </w:tcPr>
          <w:p>
            <w:pPr>
              <w:ind w:left="1720"/>
              <w:spacing w:after="0"/>
              <w:rPr>
                <w:sz w:val="20"/>
                <w:szCs w:val="20"/>
                <w:color w:val="auto"/>
              </w:rPr>
            </w:pPr>
            <w:r>
              <w:rPr>
                <w:rFonts w:ascii="Arial" w:cs="Arial" w:eastAsia="Arial" w:hAnsi="Arial"/>
                <w:sz w:val="22"/>
                <w:szCs w:val="22"/>
                <w:b w:val="1"/>
                <w:bCs w:val="1"/>
                <w:color w:val="333333"/>
              </w:rPr>
              <w:t>Standard Smelter Name</w:t>
            </w:r>
          </w:p>
        </w:tc>
        <w:tc>
          <w:tcPr>
            <w:tcW w:w="1640" w:type="dxa"/>
            <w:vAlign w:val="bottom"/>
            <w:tcBorders>
              <w:bottom w:val="single" w:sz="8" w:color="auto"/>
              <w:right w:val="single" w:sz="8" w:color="auto"/>
            </w:tcBorders>
            <w:shd w:val="clear" w:color="auto" w:fill="FCFF58"/>
          </w:tcPr>
          <w:p>
            <w:pPr>
              <w:ind w:left="180"/>
              <w:spacing w:after="0"/>
              <w:rPr>
                <w:sz w:val="20"/>
                <w:szCs w:val="20"/>
                <w:color w:val="auto"/>
              </w:rPr>
            </w:pPr>
            <w:r>
              <w:rPr>
                <w:rFonts w:ascii="Arial" w:cs="Arial" w:eastAsia="Arial" w:hAnsi="Arial"/>
                <w:sz w:val="22"/>
                <w:szCs w:val="22"/>
                <w:b w:val="1"/>
                <w:bCs w:val="1"/>
                <w:color w:val="333333"/>
              </w:rPr>
              <w:t>Identification</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Asaka Riken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CID000092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Changsha South Tantalum Niobium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CID000211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 Block Metals, LLC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Duoluoshan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CID000410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Exotech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CID000456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F&amp;X Electro-Materials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CID000460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FIR Metals &amp; Resource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CID000564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 Aizu</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Advanced Metals Boyertown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Rising Rare Metals-EO Materials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CID000291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Zhiyuan New Material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CID000654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Hermsdorf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Smelting GmbH &amp; Co. KG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Tantalum and Niobium GmbH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Hengyang King Xing Lifeng New Materials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CID002492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Dinghai Tantalum &amp; Niobium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Tuohong New Raw Material</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Janny New Material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CID003191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JinXin Nonferrous Metals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CID000914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Tanbre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CID000917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Jiujiang Zhongao Tantalum &amp; Niobium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CID002506</w:t>
            </w:r>
          </w:p>
        </w:tc>
      </w:tr>
    </w:tbl>
    <w:p>
      <w:pPr>
        <w:sectPr>
          <w:pgSz w:w="11900" w:h="16838" w:orient="portrait"/>
          <w:cols w:equalWidth="0" w:num="1">
            <w:col w:w="11300"/>
          </w:cols>
          <w:pgMar w:left="240" w:top="801" w:right="359" w:bottom="1440" w:gutter="0" w:footer="0" w:header="0"/>
        </w:sectPr>
      </w:pPr>
    </w:p>
    <w:bookmarkStart w:id="9" w:name="page10"/>
    <w:bookmarkEnd w:id="9"/>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KEMET Blue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CID002539</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KEMET Blue Powder</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KEMET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CID000963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LSM Brasil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Metallurgical Products India Pvt.,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CID001163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Mineracao Taboca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CID001175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Mitsui Mining and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Ningxia Orient Tantalum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NPM Silmet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CID001200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Plansee SE</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Power Resources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QuantumClean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Resind Industria e Comercio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CID002707</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RFH Tantalum Smeltery Co., Ltd./Yanling Jincheng</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CID001522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Tantalum &amp; Niobium Co., Ltd.</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Solikamsk Magnesium Works OAO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Taki Chemical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Telex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CID001891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Ulba Metallurgical Plant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XinXing HaoRong Electronic Material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Tantalum</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Yichun Jin Yang Rare 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CID002307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Alpha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CID000292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An Vinh Joint Stock Mineral Processing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Chenzhou Yunxiang Mining and Metallurgy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CID000228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China Tin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CNMC (Guangxi) PGMA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CID000278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Ayi Jaya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Dua Sekawan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CID002592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Gita Pesona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CID000306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United Smelting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CV Venus Inti Perkasa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Dowa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CID000402</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8"/>
              </w:rPr>
              <w:t>Electro-Mechanical Facility of the Cao Bang Minerals &amp;</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CID002572</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Metallurgy Joint Stock Company</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EM Vinto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CID000438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Estanho de Rondonia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CID000448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Fenix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Fengming Metallurgy Chemical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Jinye Mineral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Kai Meng Industry and Trade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CID000942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Non-Ferrous Metal Processing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CID000538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Yunxin Nonferrous Electrolysis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Gejiu Zili Mining And Metallurgy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Hanhe Non-Ferrous 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Guanyang Guida Nonferrous Metal Smelting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HuiChang Hill Tin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Huichang Jinshunda Tin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CID000760</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076" w:gutter="0" w:footer="0" w:header="0"/>
        </w:sectPr>
      </w:pPr>
    </w:p>
    <w:bookmarkStart w:id="10" w:name="page11"/>
    <w:bookmarkEnd w:id="10"/>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Ketai Advanced Material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CID000244</w:t>
            </w: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New Nanshan Technology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CID001231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Magnu's Minerais Metais e Ligas Ltda.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CID002468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Malaysia Smelting Corporation (MSC)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CID001105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Melt Metais e Ligas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Metallic Resources,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CID001142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Metallo Belgium N.V.</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Metallo Spain S.L.U.</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Mineracao Taboca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CID001173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Minsur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CID001182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Mitsubishi Materials Corporation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Modeltech Sdn Bhd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Nghe Tinh Non-Ferrous Metals Joint Stock Company</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O.M. Manufacturing (Thailand) Co., Ltd.</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CID001314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O.M. Manufacturing Philippines, Inc.</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Operaciones Metalurgical 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CID001337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Aries Kencana Sejahtera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CID000309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Artha Cipta Langgeng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CID001399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ATD Makmur Mandiri Jaya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Babel Inti Perkasa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CID001402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Babel Surya Alam Lestari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CID001406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Bangka Prima Tin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Bangka Tin Industry</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CID001419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Belitung Industri Sejahtera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CID001421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Bukit Timah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CID001428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DS Jaya Abadi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CID001434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Eunindo Usaha Mandiri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CID001438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Inti Stania Prima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Karimun Mining</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CID001448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Kijang Jaya Mandiri</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CID002829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Lautan Harmonis Sejahtera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CID002870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Menara Cipta Mulia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CID002835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Mitra Stania Prima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Panca Mega Persada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Premium Tin Indonesia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CID000313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Prima Timah Utama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CID001458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Rajehan Ariq</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CID002593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Refined Bangka Tin</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Sariwiguna Binasentosa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Stanindo Inti Perkasa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CID001468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Sukses Inti Makmur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Sumber Jaya Indah</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CID001471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(Persero) Tbk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(Persero) Tbk Kundur</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CID001477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Timah (Persero) Tbk Mentok</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CID001482</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Tinindo Inter Nusa</w:t>
            </w:r>
          </w:p>
        </w:tc>
        <w:tc>
          <w:tcPr>
            <w:tcW w:w="1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CID001490</w:t>
            </w:r>
          </w:p>
        </w:tc>
      </w:tr>
    </w:tbl>
    <w:p>
      <w:pPr>
        <w:sectPr>
          <w:pgSz w:w="11900" w:h="16838" w:orient="portrait"/>
          <w:cols w:equalWidth="0" w:num="1">
            <w:col w:w="9019"/>
          </w:cols>
          <w:pgMar w:left="1440" w:top="734" w:right="1440" w:bottom="1440" w:gutter="0" w:footer="0" w:header="0"/>
        </w:sectPr>
      </w:pPr>
    </w:p>
    <w:bookmarkStart w:id="11" w:name="page12"/>
    <w:bookmarkEnd w:id="11"/>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Tommy Utama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CID001493</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Resind Industria e Comercio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Rui Da Hung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CID001539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Soft Metais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Super Ligas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Thaisarco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CID001898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6"/>
              </w:rPr>
              <w:t>Tuyen Quang Non-Ferrous Metals Joint Stock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White Solder Metalurgia e Mineracao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Chengfeng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Tin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Tin Company Limited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CID002180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Abington Reldan Metals,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CID002708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Advanced Chemical Company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Aida Chemical Industries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 Etihad Gold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Allgemeine Gold-und Silberscheideanstalt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CID000035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Almalyk Mining and Metallurgical Complex (AMMC)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CID000041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AngloGold Ashanti Corrego do Sitio Mineracao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Argor-Heraeus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Pretec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Refining Canada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Asahi Refining USA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Asaka Riken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CID000090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Atasay Kuyumculuk Sanayi Ve Ticaret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CID000103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AU Traders and Refiners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Aurubis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Bangalore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CID002863</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Bangko Sentral ng Pilipinas (Central Bank of the</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CID000128</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Philippines)</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Boliden AB</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 Hafner GmbH +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CID000176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Caridad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CCR Refinery - Glencore Canada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Cendres + Metaux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Chimet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CID000233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Chugai Mining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CID000264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Daejin Indus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CID000328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Daye Non-Ferrous Metals Mining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CID000343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Degussa Sonne / Mond Goldhandel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DODUCO Contacts and Refining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Dowa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CID000401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DSC (Do Sung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CID000359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Eco-System Recycling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CID000425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Elemetal Refining,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Emirates Gold DMCC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Fidelity Printers and Refiners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GCC Gujrat Gold Centre Pvt.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Geib Refining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CID002459</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008" w:gutter="0" w:footer="0" w:header="0"/>
        </w:sectPr>
      </w:pPr>
    </w:p>
    <w:bookmarkStart w:id="12" w:name="page13"/>
    <w:bookmarkEnd w:id="12"/>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Gold Refinery of Zijin Mining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CID002243</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Great Wall Precious Metals Co., Ltd. of CBPM</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CID001909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Jinding Gold Limited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3"/>
              </w:rPr>
              <w:t>Guoda Safina High-Tech Environmental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CID000651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Hangzhou Fuchunjiang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CID000671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HeeSung Metal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CID000689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Heimerle + Meule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CID000694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Heraeus Metals Hong Kong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CID000707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Heraeus Precious Metals GmbH &amp;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CID000711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Chenzhou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HwaSeong CJ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CID000778</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7"/>
              </w:rPr>
              <w:t>Inner Mongolia Qiankun Gold and Silver Refinery Share</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CID000801</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Co., Ltd.</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Ishifuku Metal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CID000807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Istanbul Gold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CID000814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Italpreziosi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Japan Mint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CID000823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Copper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9"/>
              </w:rPr>
              <w:t>JSC Ekaterinburg Non-Ferrous Metal Processing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JSC Uralelectromed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CID000929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JX Nippon Mining &amp;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CID000937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Kaloti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Kazakhmys Smelting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Kazzinc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Kennecott Utah Copper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KGHM Polska Miedz Spolka Akcyjna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Kojima Chemicals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CID000981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Korea Zinc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CID002605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Kyrgyzaltyn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CID001029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Kyshtym Copper-Electrolytic Plant ZAO</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L'azurde Company For Jewelry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CID001032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Lingbao Gold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Lingbao Jinyuan Tonghui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L'Orfebre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LS-NIKKO Copper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CID001078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Luoyang Zijin Yinhui Gold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CID001093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Marsam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CID002606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Materion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Matsuda Sangyo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(Hong Kong)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CID001149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(Singapore) Pte.,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(Suzhou)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Technologies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Metalor USA Refining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Metalurgica Met-Mex Penoles S.A. De C.V.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Mitsubishi Materials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CID001188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Mitsui Mining and Smelting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CID001193</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008" w:gutter="0" w:footer="0" w:header="0"/>
        </w:sectPr>
      </w:pPr>
    </w:p>
    <w:bookmarkStart w:id="13" w:name="page14"/>
    <w:bookmarkEnd w:id="13"/>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MMTC-PAMP India Pvt.,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CID002509</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Modeltech Sdn Bhd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Morris and Watson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Morris and Watson Gold Coast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CID002866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Moscow Special Alloys Processing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CID001204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Nadir Metal Rafineri San. Ve Tic.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CID001220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Navoi Mining and Metallurgical Combinat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Nihon Material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CID001259</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5"/>
              </w:rPr>
              <w:t>Ogussa Osterreichische Gold- und Silber-Scheideanstalt</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CID002779</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GmbH</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Ohura Precious Metal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CID001325</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OJSC "The Gulidov Krasnoyarsk Non-Ferrous Metals</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CID001326</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Plant" (OJSC Krastsvetmet)</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OJSC Novosibirsk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PAMP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CID001352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Pease &amp; Curren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CID002872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Penglai Penggang Gold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Planta Recuperadora de Metales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Prioksky Plant of Non-Ferrous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CID001386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PT Aneka Tambang (Persero) Tbk</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CID001397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PX Precinox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CID001498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Rand Refinery (Pty)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CID001512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Refinery of Seemine Gold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Remondis Argentia B.V.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Republic Metals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Royal Canadian Mint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CID001534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SAAMP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Sabin Metal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CID001546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Safimet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SAFINA A.S.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CID002290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Sai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Samduck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Samwon Metals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CID001562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SAXONIA Edelmetalle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Schone Edelmetaal B.V.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CID001573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SEMPSA Joyeria Plateria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CID001585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5"/>
              </w:rPr>
              <w:t>Shandong Tiancheng Biological Gold Industrial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CID001619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Shandong Zhaojin Gold &amp; Silver Refinery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CID001622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Sichuan Tianze Precious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Singway Technology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5"/>
              </w:rPr>
              <w:t>SOE Shyolkovsky Factory of Secondary Precious Metals</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CID001756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Solar Applied Materials Technology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CID001761</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3"/>
              </w:rPr>
              <w:t>State Research Institute Center for Physical Sciences and</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CID003153</w:t>
            </w:r>
          </w:p>
        </w:tc>
        <w:tc>
          <w:tcPr>
            <w:tcW w:w="0" w:type="dxa"/>
            <w:vAlign w:val="bottom"/>
          </w:tcPr>
          <w:p>
            <w:pPr>
              <w:spacing w:after="0"/>
              <w:rPr>
                <w:sz w:val="1"/>
                <w:szCs w:val="1"/>
                <w:color w:val="auto"/>
              </w:rPr>
            </w:pPr>
          </w:p>
        </w:tc>
      </w:tr>
      <w:tr>
        <w:trPr>
          <w:trHeight w:val="159"/>
        </w:trPr>
        <w:tc>
          <w:tcPr>
            <w:tcW w:w="1060" w:type="dxa"/>
            <w:vAlign w:val="bottom"/>
            <w:tcBorders>
              <w:left w:val="single" w:sz="8" w:color="auto"/>
              <w:right w:val="single" w:sz="8" w:color="auto"/>
            </w:tcBorders>
            <w:vMerge w:val="continue"/>
          </w:tcPr>
          <w:p>
            <w:pPr>
              <w:spacing w:after="0"/>
              <w:rPr>
                <w:sz w:val="13"/>
                <w:szCs w:val="13"/>
                <w:color w:val="auto"/>
              </w:rPr>
            </w:pPr>
          </w:p>
        </w:tc>
        <w:tc>
          <w:tcPr>
            <w:tcW w:w="57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Technology</w:t>
            </w:r>
          </w:p>
        </w:tc>
        <w:tc>
          <w:tcPr>
            <w:tcW w:w="1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60" w:type="dxa"/>
            <w:vAlign w:val="bottom"/>
            <w:tcBorders>
              <w:left w:val="single" w:sz="8" w:color="auto"/>
              <w:bottom w:val="single" w:sz="8" w:color="auto"/>
              <w:right w:val="single" w:sz="8" w:color="auto"/>
            </w:tcBorders>
          </w:tcPr>
          <w:p>
            <w:pPr>
              <w:spacing w:after="0"/>
              <w:rPr>
                <w:sz w:val="11"/>
                <w:szCs w:val="11"/>
                <w:color w:val="auto"/>
              </w:rPr>
            </w:pPr>
          </w:p>
        </w:tc>
        <w:tc>
          <w:tcPr>
            <w:tcW w:w="5720" w:type="dxa"/>
            <w:vAlign w:val="bottom"/>
            <w:tcBorders>
              <w:bottom w:val="single" w:sz="8" w:color="auto"/>
              <w:right w:val="single" w:sz="8" w:color="auto"/>
            </w:tcBorders>
            <w:vMerge w:val="continue"/>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Sudan Gold Refinery</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Sumitomo Metal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CID001798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SungEel HiMetal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CID002918</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143" w:gutter="0" w:footer="0" w:header="0"/>
        </w:sectPr>
      </w:pPr>
    </w:p>
    <w:bookmarkStart w:id="14" w:name="page15"/>
    <w:bookmarkEnd w:id="14"/>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T.C.A S.p.A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CID002580</w:t>
            </w:r>
          </w:p>
        </w:tc>
        <w:tc>
          <w:tcPr>
            <w:tcW w:w="0" w:type="dxa"/>
            <w:vAlign w:val="bottom"/>
          </w:tcPr>
          <w:p>
            <w:pPr>
              <w:spacing w:after="0"/>
              <w:rPr>
                <w:sz w:val="1"/>
                <w:szCs w:val="1"/>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Tanaka Kikinzoku Kogyo K.K.</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CID001875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The Refinery of Shandong Gold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CID001916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Tokuriki Honten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CID001938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Tongling Nonferrous Metals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CID001947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Tony Goetz NV</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TOO Tau-Ken-Altyn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Torecom</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CID001955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Brasil Ltda.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CID001977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Precious Metals Thailand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Umicore S.A. Business Unit Precious Metals Refining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CID001980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United Precious Metal Refining,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CID001993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Universal Precious Metals Refining Zambia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CID002854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Valcambi S.A.</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CID002003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Western Australian Mint (T/a The Perth Mint)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CID002030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WIELAND Edelmetalle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CID002778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Yamakin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CID002100</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Yokohama Metal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CID002129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Yunnan Copper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CID000197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Gold</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8"/>
              </w:rPr>
              <w:t>Zhongyuan Gold Smelter of Zhongjin Gold Corporation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A.L.M.T.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CID002767</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A.L.M.T. TUNGSTEN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CID000004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ACL Metais Eireli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CID002833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Asia Tungsten Products Vietnam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CID002502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Chenzhou Diamond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CID002513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China Minmetals Non-ferrous Metals Holding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CID000239</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2"/>
              </w:rPr>
              <w:t>China National Nonferrous Metals Imp. &amp; Exp. Jiangxi Co.,</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b w:val="1"/>
                <w:bCs w:val="1"/>
                <w:color w:val="auto"/>
              </w:rPr>
              <w:t>CID002864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Chongyi Zhangyuan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CID000258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Fujian Jinxin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CID000499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Grand Sea W &amp; Mo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CID000524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Haichuang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Huaxing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CID000875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Jiangwu Ferrotungsten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CID002315</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Seadragon W &amp; Mo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CID002494</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Ganzhou Yatai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Global Tungsten &amp; Powders Corp.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CID000568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Guangdong Xianglu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CID000218</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Group</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CID000683</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Smelting GmbH &amp; Co. KG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H.C. Starck Tungsten GmbH</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CID002541</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Chenzhou Mining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CID000766</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Chuangda Vanadium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Chuangda Vanadium Tungsten Co., Ltd. Wuji</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CID002579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Chunchang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CID000769</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Hunan Litian Tungsten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CID003182</w:t>
            </w:r>
          </w:p>
        </w:tc>
        <w:tc>
          <w:tcPr>
            <w:tcW w:w="0" w:type="dxa"/>
            <w:vAlign w:val="bottom"/>
          </w:tcPr>
          <w:p>
            <w:pPr>
              <w:spacing w:after="0"/>
              <w:rPr>
                <w:sz w:val="1"/>
                <w:szCs w:val="1"/>
                <w:color w:val="auto"/>
              </w:rPr>
            </w:pP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Hydrometallurg, 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CID002649</w:t>
            </w:r>
          </w:p>
        </w:tc>
        <w:tc>
          <w:tcPr>
            <w:tcW w:w="0" w:type="dxa"/>
            <w:vAlign w:val="bottom"/>
          </w:tcPr>
          <w:p>
            <w:pPr>
              <w:spacing w:after="0"/>
              <w:rPr>
                <w:sz w:val="1"/>
                <w:szCs w:val="1"/>
                <w:color w:val="auto"/>
              </w:rPr>
            </w:pPr>
          </w:p>
        </w:tc>
      </w:tr>
    </w:tbl>
    <w:p>
      <w:pPr>
        <w:sectPr>
          <w:pgSz w:w="11900" w:h="16838" w:orient="portrait"/>
          <w:cols w:equalWidth="0" w:num="1">
            <w:col w:w="9019"/>
          </w:cols>
          <w:pgMar w:left="1440" w:top="734" w:right="1440" w:bottom="1008" w:gutter="0" w:footer="0" w:header="0"/>
        </w:sectPr>
      </w:pPr>
    </w:p>
    <w:bookmarkStart w:id="15" w:name="page16"/>
    <w:bookmarkEnd w:id="15"/>
    <w:p>
      <w:pPr>
        <w:spacing w:after="0" w:line="1" w:lineRule="exact"/>
        <w:rPr>
          <w:sz w:val="20"/>
          <w:szCs w:val="20"/>
          <w:color w:val="auto"/>
        </w:rPr>
      </w:pPr>
    </w:p>
    <w:tbl>
      <w:tblPr>
        <w:tblLayout w:type="fixed"/>
        <w:tblInd w:w="330" w:type="dxa"/>
        <w:tblCellMar>
          <w:top w:w="0" w:type="dxa"/>
          <w:left w:w="0" w:type="dxa"/>
          <w:bottom w:w="0" w:type="dxa"/>
          <w:right w:w="0" w:type="dxa"/>
        </w:tblCellMar>
      </w:tblPr>
      <w:tr>
        <w:trPr>
          <w:trHeight w:val="297"/>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Japan New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CID000825</w:t>
            </w: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Jiangwu H.C. Starck Tungsten Products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CID002551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Dayu Longxintai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Gan Bei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CID002321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9"/>
              </w:rPr>
              <w:t>Jiangxi Minmetals Gao'an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8"/>
              </w:rPr>
              <w:t>Jiangxi Rare Metals Tungsten Holdings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CID002648</w:t>
            </w: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w w:val="92"/>
              </w:rPr>
              <w:t>Jiangxi Tonggu Non-ferrous Metallurgical &amp; Chemical 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CID002318</w:t>
            </w: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tcPr>
          <w:p>
            <w:pPr>
              <w:spacing w:after="0"/>
              <w:rPr>
                <w:sz w:val="17"/>
                <w:szCs w:val="17"/>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Xinsheng Tungsten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Xiushui Xianggan Nonferrous Metals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CID002535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Jiangxi Yaosheng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Kennametal Fallon</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CID000966</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Kennametal Huntsville</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CID000105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Kennametal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CID002768</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Malipo Haiyu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CID002319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Moliren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Niagara Refining LLC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CID002589</w:t>
            </w: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w w:val="94"/>
              </w:rPr>
              <w:t>Nui Phao H.C. Starck Tungsten Chemicals Manufacturing</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CID002543</w:t>
            </w: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LLC</w:t>
            </w:r>
          </w:p>
        </w:tc>
        <w:tc>
          <w:tcPr>
            <w:tcW w:w="1620" w:type="dxa"/>
            <w:vAlign w:val="bottom"/>
            <w:tcBorders>
              <w:bottom w:val="single" w:sz="8" w:color="auto"/>
              <w:right w:val="single" w:sz="8" w:color="auto"/>
            </w:tcBorders>
          </w:tcPr>
          <w:p>
            <w:pPr>
              <w:spacing w:after="0"/>
              <w:rPr>
                <w:sz w:val="17"/>
                <w:szCs w:val="17"/>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Philippine Chuangxin Industrial Co., Inc.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CID002827</w:t>
            </w: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South-East Nonferrous Metal Company Limited of</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CID002815</w:t>
            </w: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Hengyang City</w:t>
            </w:r>
          </w:p>
        </w:tc>
        <w:tc>
          <w:tcPr>
            <w:tcW w:w="1620" w:type="dxa"/>
            <w:vAlign w:val="bottom"/>
            <w:tcBorders>
              <w:bottom w:val="single" w:sz="8" w:color="auto"/>
              <w:right w:val="single" w:sz="8" w:color="auto"/>
            </w:tcBorders>
          </w:tcPr>
          <w:p>
            <w:pPr>
              <w:spacing w:after="0"/>
              <w:rPr>
                <w:sz w:val="17"/>
                <w:szCs w:val="17"/>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Tejing (Vietnam)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CID001889</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Unecha Refractory metals plant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CID002724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Vietnam Youngsun Tungsten Industry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CID002011</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Wolfram Bergbau und Hutten AG</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CID002044</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WOLFRAM Company CJSC</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CID002047</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Woltech Korea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CID002843</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Xiamen Tungsten (H.C.)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CID002320</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Xiamen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CID002082</w:t>
            </w:r>
          </w:p>
        </w:tc>
      </w:tr>
      <w:tr>
        <w:trPr>
          <w:trHeight w:val="338"/>
        </w:trPr>
        <w:tc>
          <w:tcPr>
            <w:tcW w:w="1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w w:val="92"/>
              </w:rPr>
              <w:t>Xinfeng Huarui Tungsten &amp; Molybdenum New Material Co.,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CID002830</w:t>
            </w:r>
          </w:p>
        </w:tc>
      </w:tr>
      <w:tr>
        <w:trPr>
          <w:trHeight w:val="203"/>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20"/>
              <w:spacing w:after="0" w:line="203" w:lineRule="exact"/>
              <w:rPr>
                <w:sz w:val="20"/>
                <w:szCs w:val="20"/>
                <w:color w:val="auto"/>
              </w:rPr>
            </w:pPr>
            <w:r>
              <w:rPr>
                <w:rFonts w:ascii="Arial" w:cs="Arial" w:eastAsia="Arial" w:hAnsi="Arial"/>
                <w:sz w:val="22"/>
                <w:szCs w:val="22"/>
                <w:b w:val="1"/>
                <w:bCs w:val="1"/>
                <w:color w:val="auto"/>
              </w:rPr>
              <w:t>Ltd.</w:t>
            </w:r>
          </w:p>
        </w:tc>
        <w:tc>
          <w:tcPr>
            <w:tcW w:w="1620" w:type="dxa"/>
            <w:vAlign w:val="bottom"/>
            <w:tcBorders>
              <w:bottom w:val="single" w:sz="8" w:color="auto"/>
              <w:right w:val="single" w:sz="8" w:color="auto"/>
            </w:tcBorders>
          </w:tcPr>
          <w:p>
            <w:pPr>
              <w:spacing w:after="0"/>
              <w:rPr>
                <w:sz w:val="17"/>
                <w:szCs w:val="17"/>
                <w:color w:val="auto"/>
              </w:rPr>
            </w:pPr>
          </w:p>
        </w:tc>
      </w:tr>
      <w:tr>
        <w:trPr>
          <w:trHeight w:val="284"/>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Xinhai Rendan Shaoguan Tungsten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CID002095</w:t>
            </w:r>
          </w:p>
        </w:tc>
      </w:tr>
      <w:tr>
        <w:trPr>
          <w:trHeight w:val="291"/>
        </w:trPr>
        <w:tc>
          <w:tcPr>
            <w:tcW w:w="1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w w:val="98"/>
              </w:rPr>
              <w:t>Tungsten</w:t>
            </w:r>
          </w:p>
        </w:tc>
        <w:tc>
          <w:tcPr>
            <w:tcW w:w="5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Zhuzhou Cemented Carbide Group Co., Ltd.</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CID002236</w:t>
            </w:r>
          </w:p>
        </w:tc>
      </w:tr>
    </w:tbl>
    <w:p>
      <w:pPr>
        <w:spacing w:after="0" w:line="1" w:lineRule="exact"/>
        <w:rPr>
          <w:sz w:val="20"/>
          <w:szCs w:val="20"/>
          <w:color w:val="auto"/>
        </w:rPr>
      </w:pPr>
    </w:p>
    <w:sectPr>
      <w:pgSz w:w="11900" w:h="16838" w:orient="portrait"/>
      <w:cols w:equalWidth="0" w:num="1">
        <w:col w:w="9019"/>
      </w:cols>
      <w:pgMar w:left="1440" w:top="7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61"/>
    </w:lvl>
  </w:abstractNum>
  <w:abstractNum w:abstractNumId="2">
    <w:nsid w:val="238E1F29"/>
    <w:multiLevelType w:val="hybridMultilevel"/>
    <w:lvl w:ilvl="0">
      <w:lvlJc w:val="left"/>
      <w:lvlText w:val="%1."/>
      <w:numFmt w:val="upperLetter"/>
      <w:start w:val="1"/>
    </w:lvl>
    <w:lvl w:ilvl="1">
      <w:lvlJc w:val="left"/>
      <w:lvlText w:val="%2."/>
      <w:numFmt w:val="decimal"/>
      <w:start w:val="1"/>
    </w:lvl>
  </w:abstractNum>
  <w:abstractNum w:abstractNumId="3">
    <w:nsid w:val="46E87CCD"/>
    <w:multiLevelType w:val="hybridMultilevel"/>
    <w:lvl w:ilvl="0">
      <w:lvlJc w:val="left"/>
      <w:lvlText w:val="%1."/>
      <w:numFmt w:val="upperLetter"/>
      <w:start w:val="2"/>
    </w:lvl>
  </w:abstractNum>
  <w:abstractNum w:abstractNumId="4">
    <w:nsid w:val="3D1B58BA"/>
    <w:multiLevelType w:val="hybridMultilevel"/>
    <w:lvl w:ilvl="0">
      <w:lvlJc w:val="left"/>
      <w:lvlText w:val="%1."/>
      <w:numFmt w:val="upperLetter"/>
      <w:start w:val="4"/>
    </w:lvl>
  </w:abstractNum>
  <w:abstractNum w:abstractNumId="5">
    <w:nsid w:val="507ED7A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2019-12-07T15:56:49Z</dcterms:created>
  <dcterms:modified xsi:type="dcterms:W3CDTF">2019-12-07T15:56:49Z</dcterms:modified>
</cp:coreProperties>
</file>