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Date of Report (Date of earliest event reported) June 2,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80"/>
        <w:spacing w:after="0"/>
        <w:rPr>
          <w:sz w:val="20"/>
          <w:szCs w:val="20"/>
          <w:color w:val="auto"/>
        </w:rPr>
      </w:pPr>
      <w:r>
        <w:rPr>
          <w:rFonts w:ascii="Arial" w:cs="Arial" w:eastAsia="Arial" w:hAnsi="Arial"/>
          <w:sz w:val="15"/>
          <w:szCs w:val="15"/>
          <w:b w:val="1"/>
          <w:bCs w:val="1"/>
          <w:color w:val="auto"/>
        </w:rPr>
        <w:t>000-53930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620" w:space="720"/>
            <w:col w:w="3120" w:space="720"/>
            <w:col w:w="1840"/>
          </w:cols>
          <w:pgMar w:left="240" w:top="230" w:right="639" w:bottom="1440" w:gutter="0" w:footer="0" w:header="0"/>
          <w:type w:val="continuous"/>
        </w:sectPr>
      </w:pPr>
    </w:p>
    <w:p>
      <w:pPr>
        <w:ind w:left="11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166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3340" w:space="720"/>
            <w:col w:w="1960"/>
          </w:cols>
          <w:pgMar w:left="240" w:top="230" w:right="63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760"/>
          </w:cols>
          <w:pgMar w:left="240" w:top="230"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230"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ITEM 8.01 Other Events</w:t>
        </w:r>
      </w:hyperlink>
    </w:p>
    <w:p>
      <w:pPr>
        <w:spacing w:after="0" w:line="21"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Signature</w:t>
        </w:r>
      </w:hyperlink>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Index to Exhibits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Sales Release and Charts Dated June 2, 2010</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On June 2, 2010, General Motors Company (GM) issued a news release announcing May sales. The release and charts are attached as Exhibit 99.1.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r>
      <w:tr>
        <w:trPr>
          <w:trHeight w:val="372"/>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Exhibit</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35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720" w:type="dxa"/>
            <w:vAlign w:val="bottom"/>
          </w:tcPr>
          <w:p>
            <w:pPr>
              <w:spacing w:after="0"/>
              <w:rPr>
                <w:sz w:val="24"/>
                <w:szCs w:val="24"/>
                <w:color w:val="auto"/>
              </w:rPr>
            </w:pPr>
          </w:p>
        </w:tc>
        <w:tc>
          <w:tcPr>
            <w:tcW w:w="16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Method of Filing</w:t>
            </w:r>
          </w:p>
        </w:tc>
      </w:tr>
      <w:tr>
        <w:trPr>
          <w:trHeight w:val="316"/>
        </w:trPr>
        <w:tc>
          <w:tcPr>
            <w:tcW w:w="100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Sales Release and Charts Dated June 2, 2010</w:t>
            </w:r>
          </w:p>
        </w:tc>
        <w:tc>
          <w:tcPr>
            <w:tcW w:w="7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20" w:type="dxa"/>
            <w:vAlign w:val="bottom"/>
          </w:tcPr>
          <w:p>
            <w:pPr>
              <w:ind w:left="240"/>
              <w:spacing w:after="0"/>
              <w:rPr>
                <w:sz w:val="20"/>
                <w:szCs w:val="20"/>
                <w:color w:val="auto"/>
              </w:rPr>
            </w:pPr>
            <w:r>
              <w:rPr>
                <w:rFonts w:ascii="Arial" w:cs="Arial" w:eastAsia="Arial" w:hAnsi="Arial"/>
                <w:sz w:val="18"/>
                <w:szCs w:val="18"/>
                <w:color w:val="auto"/>
                <w:w w:val="88"/>
              </w:rPr>
              <w:t>Attached as Exhibit</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5900" w:val="left"/>
          <w:tab w:leader="none" w:pos="7920" w:val="left"/>
          <w:tab w:leader="none" w:pos="8260" w:val="left"/>
        </w:tabs>
        <w:rPr>
          <w:sz w:val="20"/>
          <w:szCs w:val="20"/>
          <w:color w:val="auto"/>
        </w:rPr>
      </w:pPr>
      <w:r>
        <w:rPr>
          <w:rFonts w:ascii="Arial" w:cs="Arial" w:eastAsia="Arial" w:hAnsi="Arial"/>
          <w:sz w:val="18"/>
          <w:szCs w:val="18"/>
          <w:color w:val="auto"/>
        </w:rPr>
        <w:t>Date: June 4,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w:t>
      </w:r>
      <w:r>
        <w:rPr>
          <w:rFonts w:ascii="Arial" w:cs="Arial" w:eastAsia="Arial" w:hAnsi="Arial"/>
          <w:sz w:val="13"/>
          <w:szCs w:val="13"/>
          <w:color w:val="auto"/>
        </w:rPr>
        <w:t>ICK</w:t>
      </w:r>
      <w:r>
        <w:rPr>
          <w:rFonts w:ascii="Arial" w:cs="Arial" w:eastAsia="Arial" w:hAnsi="Arial"/>
          <w:sz w:val="16"/>
          <w:szCs w:val="16"/>
          <w:color w:val="auto"/>
        </w:rPr>
        <w:t xml:space="preserve"> S. C</w:t>
      </w:r>
      <w:r>
        <w:rPr>
          <w:rFonts w:ascii="Arial" w:cs="Arial" w:eastAsia="Arial" w:hAnsi="Arial"/>
          <w:sz w:val="13"/>
          <w:szCs w:val="13"/>
          <w:color w:val="auto"/>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300"/>
        <w:spacing w:after="0"/>
        <w:rPr>
          <w:sz w:val="20"/>
          <w:szCs w:val="20"/>
          <w:color w:val="auto"/>
        </w:rPr>
      </w:pPr>
      <w:r>
        <w:rPr>
          <w:rFonts w:ascii="Arial" w:cs="Arial" w:eastAsia="Arial" w:hAnsi="Arial"/>
          <w:sz w:val="14"/>
          <w:szCs w:val="14"/>
          <w:b w:val="1"/>
          <w:bCs w:val="1"/>
          <w:color w:val="auto"/>
        </w:rPr>
        <w:t>Nick S. Cyprus</w:t>
      </w:r>
    </w:p>
    <w:p>
      <w:pPr>
        <w:spacing w:after="0" w:line="1"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Vice President, Controller and Chief Accounting Officer</w:t>
      </w:r>
    </w:p>
    <w:p>
      <w:pPr>
        <w:sectPr>
          <w:pgSz w:w="11900" w:h="16838" w:orient="portrait"/>
          <w:cols w:equalWidth="0" w:num="1">
            <w:col w:w="11000"/>
          </w:cols>
          <w:pgMar w:left="240" w:top="459"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For Release: 10:45 a.m. EST</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June 2, 2010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Chevrolet-Buick-GMC-Cadillac Post 32 Percent Sales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Increase in May</w:t>
      </w:r>
    </w:p>
    <w:p>
      <w:pPr>
        <w:spacing w:after="0" w:line="84"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Fifth Consecutive Month of Double-Digit Combined Sales Gains for GM’s Four Brands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Calendar-Year-to-Date Sales for GM’s Four Brands are up 31 Percent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GM Crossovers Sales Are up 81 Percent Year-to-Date</w:t>
      </w:r>
    </w:p>
    <w:p>
      <w:pPr>
        <w:spacing w:after="0" w:line="16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For the fifth straight month, Chevrolet, Buick, GMC and Cadillac together posted a double digit sales gain, with combined sales increasing 32</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over last May. Year-to-date sales for GM’s four brands have risen 31 percent to 874,749 units – an increase of 206,994 units compared to last year, which is almost twice the volume lost from brands the company has discontinued.</w:t>
      </w:r>
    </w:p>
    <w:p>
      <w:pPr>
        <w:spacing w:after="0" w:line="13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According to Steve Carlisle, vice president, U.S. Sales Operations, GM’s brands have outperformed the market this year on the strength of the company’s newest products. Year-to-date, combined sales of the Chevrolet Equinox, Chevrolet Camaro, Buick LaCrosse and Regal, GMC Terrain and Cadillac SRX and CTS Wagon are up 323 percent.</w:t>
      </w:r>
    </w:p>
    <w:p>
      <w:pPr>
        <w:spacing w:after="0" w:line="14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“Each of our brands has new products that are being received well by customers. In fact, these new vehicles now account for about one in every four retail sales in the U.S.,” said Carlisle. “With each brand launching new vehicles in the next few months, we are optimistic about the remainder of the year.”</w:t>
      </w:r>
    </w:p>
    <w:p>
      <w:pPr>
        <w:spacing w:after="0" w:line="85"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Since 2005, crossover sales as a percentage of industry sales have almost doubled. During the same time, sales of GM’s crossovers as a percentage of the company’s sales have more than tripled. May sales of GM’s crossovers – Chevrolet Equinox, HHR and Traverse; Buick Enclave, GMC Terrain and Acadia; and Cadillac SRX – were up 83 percent compared to May 2009, and are up 81 percent year-to-date. Through May, GM leads all automakers in total crossover sales.</w:t>
      </w:r>
    </w:p>
    <w:p>
      <w:pPr>
        <w:spacing w:after="0" w:line="8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According to Carlisle, the company’s crossover growth is an example of its ability to quickly adapt to shifts in the marketplace. “We’re a much leaner and more agile company today and can take advantage of movements in consumer tastes,” said Carlisle.</w:t>
      </w:r>
    </w:p>
    <w:p>
      <w:pPr>
        <w:sectPr>
          <w:pgSz w:w="11900" w:h="16838" w:orient="portrait"/>
          <w:cols w:equalWidth="0" w:num="1">
            <w:col w:w="11420"/>
          </w:cols>
          <w:pgMar w:left="240" w:top="125" w:right="239" w:bottom="1440" w:gutter="0" w:footer="0" w:header="0"/>
        </w:sectPr>
      </w:pPr>
    </w:p>
    <w:bookmarkStart w:id="5" w:name="page6"/>
    <w:bookmarkEnd w:id="5"/>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Chevrolet dealers reported sales of 167,235 – 31 percent higher than May, 2009. Retail sales for the brand were 19 percent higher for the month. Retail sales for Chevrolet’s popular full-size pickups, Silverado and Avalanche, increased 14 percent, while retail sales for the Suburban rose 73 percent. The Chevrolet Silverado, Equinox, Traverse, Avalanche, Malibu and Camaro all posted year-over-year retail sales increases of 10 percent or more (</w:t>
      </w:r>
      <w:r>
        <w:rPr>
          <w:rFonts w:ascii="Arial" w:cs="Arial" w:eastAsia="Arial" w:hAnsi="Arial"/>
          <w:sz w:val="16"/>
          <w:szCs w:val="16"/>
          <w:u w:val="single" w:color="auto"/>
          <w:color w:val="auto"/>
        </w:rPr>
        <w:t>read more</w:t>
      </w:r>
      <w:r>
        <w:rPr>
          <w:rFonts w:ascii="Arial" w:cs="Arial" w:eastAsia="Arial" w:hAnsi="Arial"/>
          <w:sz w:val="16"/>
          <w:szCs w:val="16"/>
          <w:color w:val="auto"/>
        </w:rPr>
        <w:t>).</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Buick sales rose 37 percent for the month to 12,582 – the eighth consecutive month of double digit year-over-year sales increases led by the LaCrosse and Enclave. Retail sales for Buick rose 46 percent during May. Buick LaCrosse retail sales increased 191 percent for the month. Year-to-date sales of the LaCrosse have increased 162 percent (</w:t>
      </w:r>
      <w:r>
        <w:rPr>
          <w:rFonts w:ascii="Arial" w:cs="Arial" w:eastAsia="Arial" w:hAnsi="Arial"/>
          <w:sz w:val="18"/>
          <w:szCs w:val="18"/>
          <w:u w:val="single" w:color="auto"/>
          <w:color w:val="auto"/>
        </w:rPr>
        <w:t>read more</w:t>
      </w:r>
      <w:r>
        <w:rPr>
          <w:rFonts w:ascii="Arial" w:cs="Arial" w:eastAsia="Arial" w:hAnsi="Arial"/>
          <w:sz w:val="18"/>
          <w:szCs w:val="18"/>
          <w:color w:val="auto"/>
        </w:rPr>
        <w:t>).</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GMC sales of 30,160 were 26 percent higher than last year, while retail sales for the brand were up 37 percent. Retail sales of the GMC Terrain continued to gain momentum, with sales increasing 350 percent for the year-to-date (</w:t>
      </w:r>
      <w:r>
        <w:rPr>
          <w:rFonts w:ascii="Arial" w:cs="Arial" w:eastAsia="Arial" w:hAnsi="Arial"/>
          <w:sz w:val="18"/>
          <w:szCs w:val="18"/>
          <w:u w:val="single" w:color="auto"/>
          <w:color w:val="auto"/>
        </w:rPr>
        <w:t>read more</w:t>
      </w:r>
      <w:r>
        <w:rPr>
          <w:rFonts w:ascii="Arial" w:cs="Arial" w:eastAsia="Arial" w:hAnsi="Arial"/>
          <w:sz w:val="18"/>
          <w:szCs w:val="18"/>
          <w:color w:val="auto"/>
        </w:rPr>
        <w:t>).</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Cadillac sales increased 54 percent to 12,328, while retail sales improved 43 percent for the month. CTS retail sales improved 7 percent for the month, and year-to-date sales of the SRX are 439 percent higher than a year ago (</w:t>
      </w:r>
      <w:r>
        <w:rPr>
          <w:rFonts w:ascii="Arial" w:cs="Arial" w:eastAsia="Arial" w:hAnsi="Arial"/>
          <w:sz w:val="18"/>
          <w:szCs w:val="18"/>
          <w:u w:val="single" w:color="auto"/>
          <w:color w:val="auto"/>
        </w:rPr>
        <w:t>read more</w:t>
      </w:r>
      <w:r>
        <w:rPr>
          <w:rFonts w:ascii="Arial" w:cs="Arial" w:eastAsia="Arial" w:hAnsi="Arial"/>
          <w:sz w:val="18"/>
          <w:szCs w:val="18"/>
          <w:color w:val="auto"/>
        </w:rPr>
        <w:t>).</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Month-end dealer inventory in the U.S. stood at about 408,000 units, which is about 22,000 lower compared to April 2010, and about 267,000 lower than May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Key Facts:</w:t>
      </w:r>
    </w:p>
    <w:p>
      <w:pPr>
        <w:spacing w:after="0" w:line="96"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Eighth Consecutive Month of Combined Sales Gains for GM’s Four Brands</w:t>
      </w:r>
    </w:p>
    <w:p>
      <w:pPr>
        <w:spacing w:after="0" w:line="90" w:lineRule="exact"/>
        <w:rPr>
          <w:rFonts w:ascii="Arial" w:cs="Arial" w:eastAsia="Arial" w:hAnsi="Arial"/>
          <w:sz w:val="18"/>
          <w:szCs w:val="18"/>
          <w:color w:val="auto"/>
        </w:rPr>
      </w:pPr>
    </w:p>
    <w:p>
      <w:pPr>
        <w:ind w:left="440" w:right="60" w:hanging="324"/>
        <w:spacing w:after="0" w:line="259" w:lineRule="auto"/>
        <w:tabs>
          <w:tab w:leader="none" w:pos="44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Chevrolet: </w:t>
      </w:r>
      <w:r>
        <w:rPr>
          <w:rFonts w:ascii="Arial" w:cs="Arial" w:eastAsia="Arial" w:hAnsi="Arial"/>
          <w:sz w:val="18"/>
          <w:szCs w:val="18"/>
          <w:i w:val="1"/>
          <w:iCs w:val="1"/>
          <w:color w:val="auto"/>
        </w:rPr>
        <w:t>Total sales up 31 percent compared to a year ago; retail sales up 19 percent; Chevrolet Equinox retail sales increased 228 percent; Camaro</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retail sales continued to set the pace for the sport segment with 8,402 deliveries; Chevrolet Traverse retail sales were up 11 percent for the month, and are up 10 percent for the year; Silverado retail sales were up 11 percent for the month.</w:t>
      </w:r>
    </w:p>
    <w:p>
      <w:pPr>
        <w:spacing w:after="0" w:line="59" w:lineRule="exact"/>
        <w:rPr>
          <w:rFonts w:ascii="Arial" w:cs="Arial" w:eastAsia="Arial" w:hAnsi="Arial"/>
          <w:sz w:val="18"/>
          <w:szCs w:val="18"/>
          <w:i w:val="1"/>
          <w:iCs w:val="1"/>
          <w:color w:val="auto"/>
        </w:rPr>
      </w:pPr>
    </w:p>
    <w:p>
      <w:pPr>
        <w:ind w:left="440" w:right="480" w:hanging="324"/>
        <w:spacing w:after="0" w:line="268" w:lineRule="auto"/>
        <w:tabs>
          <w:tab w:leader="none" w:pos="44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Buick: </w:t>
      </w:r>
      <w:r>
        <w:rPr>
          <w:rFonts w:ascii="Arial" w:cs="Arial" w:eastAsia="Arial" w:hAnsi="Arial"/>
          <w:sz w:val="18"/>
          <w:szCs w:val="18"/>
          <w:i w:val="1"/>
          <w:iCs w:val="1"/>
          <w:color w:val="auto"/>
        </w:rPr>
        <w:t>Total sales up 37 percent; retail sales up 46 percent; Buick LaCrosse retail sales rose 191 percent and are up 162 percent for the year; Buick</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Enclave retail sales rose 14 percent in May and are up 12 percent for the year.</w:t>
      </w:r>
    </w:p>
    <w:p>
      <w:pPr>
        <w:spacing w:after="0" w:line="50" w:lineRule="exact"/>
        <w:rPr>
          <w:rFonts w:ascii="Arial" w:cs="Arial" w:eastAsia="Arial" w:hAnsi="Arial"/>
          <w:sz w:val="18"/>
          <w:szCs w:val="18"/>
          <w:i w:val="1"/>
          <w:iCs w:val="1"/>
          <w:color w:val="auto"/>
        </w:rPr>
      </w:pPr>
    </w:p>
    <w:p>
      <w:pPr>
        <w:ind w:left="440" w:right="340" w:hanging="324"/>
        <w:spacing w:after="0" w:line="268" w:lineRule="auto"/>
        <w:tabs>
          <w:tab w:leader="none" w:pos="44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GMC: </w:t>
      </w:r>
      <w:r>
        <w:rPr>
          <w:rFonts w:ascii="Arial" w:cs="Arial" w:eastAsia="Arial" w:hAnsi="Arial"/>
          <w:sz w:val="18"/>
          <w:szCs w:val="18"/>
          <w:i w:val="1"/>
          <w:iCs w:val="1"/>
          <w:color w:val="auto"/>
        </w:rPr>
        <w:t>Total sales up 26 percent; retail sales up 37 percent; GMC Terrain retail sales were up 569 percent for the month and 350 percent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GMC Acadia retail sales increased 18 percent for the month and are up 24 percent year-to-date</w:t>
      </w:r>
    </w:p>
    <w:p>
      <w:pPr>
        <w:spacing w:after="0" w:line="50" w:lineRule="exact"/>
        <w:rPr>
          <w:rFonts w:ascii="Arial" w:cs="Arial" w:eastAsia="Arial" w:hAnsi="Arial"/>
          <w:sz w:val="18"/>
          <w:szCs w:val="18"/>
          <w:i w:val="1"/>
          <w:iCs w:val="1"/>
          <w:color w:val="auto"/>
        </w:rPr>
      </w:pPr>
    </w:p>
    <w:p>
      <w:pPr>
        <w:ind w:left="440" w:right="140" w:hanging="324"/>
        <w:spacing w:after="0" w:line="268" w:lineRule="auto"/>
        <w:tabs>
          <w:tab w:leader="none" w:pos="44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Cadillac: </w:t>
      </w:r>
      <w:r>
        <w:rPr>
          <w:rFonts w:ascii="Arial" w:cs="Arial" w:eastAsia="Arial" w:hAnsi="Arial"/>
          <w:sz w:val="18"/>
          <w:szCs w:val="18"/>
          <w:i w:val="1"/>
          <w:iCs w:val="1"/>
          <w:color w:val="auto"/>
        </w:rPr>
        <w:t>Total sales up 54 percent; retail sales up 43 percent; Cadillac SRX retail sales were up 605 percent for the month and 439 percent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Cadillac CTS had its best month of the year, with retail sales up 7 percent.</w:t>
      </w:r>
    </w:p>
    <w:p>
      <w:pPr>
        <w:spacing w:after="0" w:line="50" w:lineRule="exact"/>
        <w:rPr>
          <w:rFonts w:ascii="Arial" w:cs="Arial" w:eastAsia="Arial" w:hAnsi="Arial"/>
          <w:sz w:val="18"/>
          <w:szCs w:val="18"/>
          <w:i w:val="1"/>
          <w:iCs w:val="1"/>
          <w:color w:val="auto"/>
        </w:rPr>
      </w:pPr>
    </w:p>
    <w:p>
      <w:pPr>
        <w:ind w:left="440" w:hanging="324"/>
        <w:spacing w:after="0"/>
        <w:tabs>
          <w:tab w:leader="none" w:pos="440" w:val="left"/>
        </w:tabs>
        <w:numPr>
          <w:ilvl w:val="0"/>
          <w:numId w:val="3"/>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 xml:space="preserve">GM Full-Size Pickups, Full-Size Utilities and Full-Size Luxury Utilities </w:t>
      </w:r>
      <w:r>
        <w:rPr>
          <w:rFonts w:ascii="Arial" w:cs="Arial" w:eastAsia="Arial" w:hAnsi="Arial"/>
          <w:sz w:val="16"/>
          <w:szCs w:val="16"/>
          <w:i w:val="1"/>
          <w:iCs w:val="1"/>
          <w:color w:val="auto"/>
        </w:rPr>
        <w:t>sales rose 17 percent for the month and are up 9 percent year-to-date</w:t>
      </w:r>
    </w:p>
    <w:p>
      <w:pPr>
        <w:spacing w:after="0" w:line="113" w:lineRule="exact"/>
        <w:rPr>
          <w:rFonts w:ascii="Arial" w:cs="Arial" w:eastAsia="Arial" w:hAnsi="Arial"/>
          <w:sz w:val="16"/>
          <w:szCs w:val="16"/>
          <w:i w:val="1"/>
          <w:iCs w:val="1"/>
          <w:color w:val="auto"/>
        </w:rPr>
      </w:pPr>
    </w:p>
    <w:p>
      <w:pPr>
        <w:ind w:left="440" w:hanging="324"/>
        <w:spacing w:after="0"/>
        <w:tabs>
          <w:tab w:leader="none" w:pos="44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Fleet sales </w:t>
      </w:r>
      <w:r>
        <w:rPr>
          <w:rFonts w:ascii="Arial" w:cs="Arial" w:eastAsia="Arial" w:hAnsi="Arial"/>
          <w:sz w:val="18"/>
          <w:szCs w:val="18"/>
          <w:i w:val="1"/>
          <w:iCs w:val="1"/>
          <w:color w:val="auto"/>
        </w:rPr>
        <w:t>for GM’s four brands were 83,305 for the month.</w:t>
      </w:r>
    </w:p>
    <w:p>
      <w:pPr>
        <w:spacing w:after="0" w:line="165" w:lineRule="exact"/>
        <w:rPr>
          <w:sz w:val="20"/>
          <w:szCs w:val="20"/>
          <w:color w:val="auto"/>
        </w:rPr>
      </w:pPr>
    </w:p>
    <w:p>
      <w:pPr>
        <w:ind w:right="480"/>
        <w:spacing w:after="0" w:line="339" w:lineRule="auto"/>
        <w:rPr>
          <w:sz w:val="20"/>
          <w:szCs w:val="20"/>
          <w:color w:val="auto"/>
        </w:rPr>
      </w:pPr>
      <w:r>
        <w:rPr>
          <w:rFonts w:ascii="Arial" w:cs="Arial" w:eastAsia="Arial" w:hAnsi="Arial"/>
          <w:sz w:val="16"/>
          <w:szCs w:val="16"/>
          <w:b w:val="1"/>
          <w:bCs w:val="1"/>
          <w:color w:val="auto"/>
        </w:rPr>
        <w:t xml:space="preserve">About General Motors: </w:t>
      </w:r>
      <w:r>
        <w:rPr>
          <w:rFonts w:ascii="Arial" w:cs="Arial" w:eastAsia="Arial" w:hAnsi="Arial"/>
          <w:sz w:val="16"/>
          <w:szCs w:val="16"/>
          <w:color w:val="auto"/>
        </w:rPr>
        <w:t>General Motors, one of the world’s largest automakers, traces its roots back to 1908. With its global headquarters in Detroit, GM</w:t>
      </w:r>
      <w:r>
        <w:rPr>
          <w:rFonts w:ascii="Arial" w:cs="Arial" w:eastAsia="Arial" w:hAnsi="Arial"/>
          <w:sz w:val="16"/>
          <w:szCs w:val="16"/>
          <w:b w:val="1"/>
          <w:bCs w:val="1"/>
          <w:color w:val="auto"/>
        </w:rPr>
        <w:t xml:space="preserve"> </w:t>
      </w:r>
      <w:r>
        <w:rPr>
          <w:rFonts w:ascii="Arial" w:cs="Arial" w:eastAsia="Arial" w:hAnsi="Arial"/>
          <w:sz w:val="16"/>
          <w:szCs w:val="16"/>
          <w:color w:val="auto"/>
        </w:rPr>
        <w:t>employs 207,000 people in every major region of the world and does business in some 140 countries. GM and its strategic</w:t>
      </w:r>
    </w:p>
    <w:p>
      <w:pPr>
        <w:sectPr>
          <w:pgSz w:w="11900" w:h="16838" w:orient="portrait"/>
          <w:cols w:equalWidth="0" w:num="1">
            <w:col w:w="11340"/>
          </w:cols>
          <w:pgMar w:left="240" w:top="280" w:right="319" w:bottom="1440" w:gutter="0" w:footer="0" w:header="0"/>
        </w:sectPr>
      </w:pPr>
    </w:p>
    <w:bookmarkStart w:id="6" w:name="page7"/>
    <w:bookmarkEnd w:id="6"/>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partners produce cars and trucks in 34 countries, and sell and service these vehicles through the following brands: Buick, Cadillac, Chevrolet, FAW, GMC, Daewoo, Holden, Opel, Vauxhall and Wuling. GM’s largest national market is the United States, followed by China, Brazil, Germany, the United Kingdom, Canada, and Italy.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t>
      </w:r>
      <w:r>
        <w:rPr>
          <w:rFonts w:ascii="Arial" w:cs="Arial" w:eastAsia="Arial" w:hAnsi="Arial"/>
          <w:sz w:val="16"/>
          <w:szCs w:val="16"/>
          <w:u w:val="single" w:color="auto"/>
          <w:color w:val="auto"/>
        </w:rPr>
        <w:t>www.gm.com</w:t>
      </w:r>
      <w:r>
        <w:rPr>
          <w:rFonts w:ascii="Arial" w:cs="Arial" w:eastAsia="Arial" w:hAnsi="Arial"/>
          <w:sz w:val="16"/>
          <w:szCs w:val="16"/>
          <w:color w:val="auto"/>
        </w:rPr>
        <w:t>.</w:t>
      </w:r>
    </w:p>
    <w:p>
      <w:pPr>
        <w:spacing w:after="0" w:line="19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Tom Henderson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tom.e.henderson@gm.com</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313-667-2702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313-410-2704 cell</w:t>
      </w:r>
    </w:p>
    <w:p>
      <w:pPr>
        <w:sectPr>
          <w:pgSz w:w="11900" w:h="16838" w:orient="portrait"/>
          <w:cols w:equalWidth="0" w:num="1">
            <w:col w:w="11140"/>
          </w:cols>
          <w:pgMar w:left="240" w:top="280" w:right="5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3978910"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3978910" cy="342900"/>
                    </a:xfrm>
                    <a:prstGeom prst="rect">
                      <a:avLst/>
                    </a:prstGeom>
                    <a:noFill/>
                  </pic:spPr>
                </pic:pic>
              </a:graphicData>
            </a:graphic>
          </wp:anchor>
        </w:drawing>
        <w:t>For release: June 2, 2010, 10:45 AM</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Chevrolet U.S. Sales Up 31 Percent in May,</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Supported by Increasing Demand for Full-size Trucks</w:t>
      </w:r>
    </w:p>
    <w:p>
      <w:pPr>
        <w:spacing w:after="0" w:line="8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DETROIT – Chevrolet continues to gain momentum with 167,235 total sales in the U.S. in May, up 31 percent year over year. This includes 93,884 retail sales, up 19 percent year over year and the eighth consecutive month of year-over-year retail sales increases. These results can be attributed to increasing consumer demand across Chevrolet’s portfolio of fuel-efficient cars, crossovers, and full-size trucks.</w:t>
      </w:r>
    </w:p>
    <w:p>
      <w:pPr>
        <w:spacing w:after="0" w:line="14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Individuals and businesses purchased a total of 33,690 Silverados in May, an increase of 7 percent year-over-year. Total Silverado sales are up 8 percent year-to-date, indicating growing confidence in the economic recovery, according to Steve Carlisle, GM vice president, U.S. sales operations:</w:t>
      </w:r>
    </w:p>
    <w:p>
      <w:pPr>
        <w:spacing w:after="0" w:line="8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“Pickup trucks tend to be the first segment affected by the economy, and the last to recover. A year ago, truck sales were down across the industry as businesses and entrepreneurs delayed investing in new equipment because of uncertain economy. Today, the sustained growth in full-size-truck sales shows that businesses – from private landscapers to large construction companies – are beginning to invest as their business forecasts improve.”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Growing consumer demand also helped five Chevrolet models post double-digit retail-sales increases over May, 2009, including:</w:t>
      </w:r>
    </w:p>
    <w:p>
      <w:pPr>
        <w:spacing w:after="0" w:line="90"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2010 Chevrolet Equinox sales rose 227 percent, the eleventh consecutive month of year-over-year sales increases over the model it replaced.</w:t>
      </w:r>
    </w:p>
    <w:p>
      <w:pPr>
        <w:spacing w:after="0" w:line="113" w:lineRule="exact"/>
        <w:rPr>
          <w:rFonts w:ascii="Arial" w:cs="Arial" w:eastAsia="Arial" w:hAnsi="Arial"/>
          <w:sz w:val="16"/>
          <w:szCs w:val="16"/>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2010 Chevrolet Camaro sales increase 100 percent over May, 2009, its first full month of sales.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Chevrolet Suburban increased 73 percent.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Chevrolet Malibu increased 23 percent, the eighth consecutive month of year-over-year increases.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Chevrolet Traverse increased 11 percent over May 2009.</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growing consumer awareness for the Chevrolet brand is supported by data from Kelley Blue Book Market Intelligence. Chevrolet increased 22 points in their Automotive Brand Indicator (ABI) report for the first quarter of 2010 based on increased consumer shopping activity and sales leads generated through 15 million monthly visits to kbb.com, combined with Kelley Blue Book Market Intelligence’s Brand Watch™ study of consumer consideration and ratings.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According to the ABI report, Chevrolet posted the largest improvement quarter-over-quarter (from Q4 2009 to Q1 2010) within the top five brands:</w:t>
      </w:r>
    </w:p>
    <w:p>
      <w:pPr>
        <w:spacing w:after="0" w:line="113" w:lineRule="exact"/>
        <w:rPr>
          <w:sz w:val="20"/>
          <w:szCs w:val="20"/>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Chevrolet gained 22 points, to 285</w:t>
      </w:r>
    </w:p>
    <w:p>
      <w:pPr>
        <w:sectPr>
          <w:pgSz w:w="11900" w:h="16838" w:orient="portrait"/>
          <w:cols w:equalWidth="0" w:num="1">
            <w:col w:w="11420"/>
          </w:cols>
          <w:pgMar w:left="240" w:top="982" w:right="239" w:bottom="1440" w:gutter="0" w:footer="0" w:header="0"/>
        </w:sectPr>
      </w:pPr>
    </w:p>
    <w:bookmarkStart w:id="8" w:name="page9"/>
    <w:bookmarkEnd w:id="8"/>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Ford gained 11 points, to 294</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Honda gained four points, to 262</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Nissan gained 11 points, to 177</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Toyota fell 35 points, to 293</w:t>
      </w:r>
    </w:p>
    <w:p>
      <w:pPr>
        <w:spacing w:after="0" w:line="17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“Clearly Chevrolet is on a roll,” said Alan Batey, president, Chevrolet sales and service. “We are seeing strong consumer demand across our portfolio of cars, trucks and SUVs. And, we expect demand to grow this year as we introduce the 2011 Silverado HD, the all-new Cruze, and the Volt.”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Chevrolet</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Chevrolet is a global automotive brand, with annual sales of about 3.5 million vehicles in more than 130 countries. Chevrolet provides consumers with fuel-efficient, safe and reliable vehicles that deliver high quality, expressive design, spirited performance and value. In the U.S., the Chevrolet portfolio includes: iconic performance cars, such as Corvette and Camaro; dependable, long lasting pickups and SUVs, such as Silverado and Suburban; and award-winning passenger cars and crossovers, such as Malibu, Equinox and Traverse. Chevrolet also offers “gas-friendly” solutions, such as the upcoming 2011 Chevrolet Cruze Eco model that is expected to deliver up to an estimated 40 mpg highway, and 2011 Chevrolet Volt that will offer up to 40 miles of electric driving and an additional 300 miles of extended range with the onboard generator (based on GM testing). Most new Chevrolet models offer OnStar safety, security, and convenience technologies including OnStar Hands-Free Calling, Automatic Crash Response, and Stolen Vehicle Slowdown. More information regarding Chevrolet models, fuel solutions, and OnStar availability can be found at </w:t>
      </w:r>
      <w:r>
        <w:rPr>
          <w:rFonts w:ascii="Arial" w:cs="Arial" w:eastAsia="Arial" w:hAnsi="Arial"/>
          <w:sz w:val="16"/>
          <w:szCs w:val="16"/>
          <w:u w:val="single" w:color="auto"/>
          <w:color w:val="auto"/>
        </w:rPr>
        <w:t>www.chevrolet.com</w:t>
      </w:r>
      <w:r>
        <w:rPr>
          <w:rFonts w:ascii="Arial" w:cs="Arial" w:eastAsia="Arial" w:hAnsi="Arial"/>
          <w:sz w:val="16"/>
          <w:szCs w:val="16"/>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Tom Henderson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GM Sales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313-667-2702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313-410-2704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tom.e.henderson@gm.com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Klaus-Peter Martin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Chevrolet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313-667-8180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313-522-6303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klaus-peter.martin@gm.com</w:t>
      </w:r>
    </w:p>
    <w:p>
      <w:pPr>
        <w:sectPr>
          <w:pgSz w:w="11900" w:h="16838" w:orient="portrait"/>
          <w:cols w:equalWidth="0" w:num="1">
            <w:col w:w="11360"/>
          </w:cols>
          <w:pgMar w:left="240" w:top="280" w:right="29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003300"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03300" cy="411480"/>
                    </a:xfrm>
                    <a:prstGeom prst="rect">
                      <a:avLst/>
                    </a:prstGeom>
                    <a:noFill/>
                  </pic:spPr>
                </pic:pic>
              </a:graphicData>
            </a:graphic>
          </wp:anchor>
        </w:drawing>
        <w:t>Buick Sales Rise 37 Percent in May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Enclave and LaCrosse see largest gains</w:t>
      </w:r>
    </w:p>
    <w:p>
      <w:pPr>
        <w:spacing w:after="0" w:line="16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the eighth month in a row, Buick has posted double-digit sales increases in the U.S. Led by the Enclave and LaCrosse, total sales were up 37 percent in May compared to the same month last year. Retail sales were up 46 percent for the month.</w:t>
      </w:r>
    </w:p>
    <w:p>
      <w:pPr>
        <w:spacing w:after="0" w:line="13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LaCrosse had its best retail sales month since its launch last summer, with a 191 percent increase, selling 5,060 vehicles in May. The Enclave, Buick’s luxury crossover, saw a 14 percent increase in retail sales. The 2011 Regal sport sedan began arriving in dealerships in late May.</w:t>
      </w:r>
    </w:p>
    <w:p>
      <w:pPr>
        <w:spacing w:after="0" w:line="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Enclave and LaCrosse sales are proof that customers are discovering Buick,” said Brian Sweeney, U.S. vice president of Buick-GMC sales. “We have been pleased to see eight months of year-over-year sales increases, and believe that the Regal will continue the momentum by appealing to new buyers who may not have considered buying a Buick in the past.”</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LaCrosse and Enclave are making their mark with customers and bringing new customers to the brand with 42 percent of Buick sales coming from non-GM makes.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Buick delivered the first Regal in May to a 45-year-old executive at a manufacturing company in the Chicago area. The vehicle was on the dealership’s lot for less than 24 hours before it sold. The first owner said he chose the Regal because it “is a superb car to drive on the road, with more of a European feel than any other car we looked at.” He also looked at the Toyota Camry and Audi A4, but purchased the Regal because it had all the amenities of a premium vehicle without the costly price tag.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Buick</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Buick is in the midst of a transformation that started with the Enclave luxury crossover and continues with the completely redesigned LaCrosse luxury sedan and Regal sport sedan. Buick is emerging as a modern, premium brand with vehicles characterized by sculpted designs, personal technologies, luxurious interiors and responsive performance. Future new sedans and crossovers are planned and will continue to expand Buick’s portfolio both in North America and China. More information can be found at www.buick.com.</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Dayna Hart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Mobile: 313-300-9660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E-mail : </w:t>
      </w:r>
      <w:r>
        <w:rPr>
          <w:rFonts w:ascii="Arial" w:cs="Arial" w:eastAsia="Arial" w:hAnsi="Arial"/>
          <w:sz w:val="18"/>
          <w:szCs w:val="18"/>
          <w:u w:val="single" w:color="auto"/>
          <w:color w:val="auto"/>
        </w:rPr>
        <w:t>dayna.hart@gm.com</w:t>
      </w:r>
    </w:p>
    <w:p>
      <w:pPr>
        <w:sectPr>
          <w:pgSz w:w="11900" w:h="16838" w:orient="portrait"/>
          <w:cols w:equalWidth="0" w:num="1">
            <w:col w:w="11420"/>
          </w:cols>
          <w:pgMar w:left="240" w:top="10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471805"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471805" cy="428625"/>
                    </a:xfrm>
                    <a:prstGeom prst="rect">
                      <a:avLst/>
                    </a:prstGeom>
                    <a:noFill/>
                  </pic:spPr>
                </pic:pic>
              </a:graphicData>
            </a:graphic>
          </wp:anchor>
        </w:drawing>
        <w:t>For release: June 2, 2010, 10 a.m. EST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Cadillac total sales rise 54 percent in May led by SRX, CTS</w:t>
      </w:r>
    </w:p>
    <w:p>
      <w:pPr>
        <w:spacing w:after="0" w:line="9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DETROIT – </w:t>
      </w:r>
      <w:r>
        <w:rPr>
          <w:rFonts w:ascii="Arial" w:cs="Arial" w:eastAsia="Arial" w:hAnsi="Arial"/>
          <w:sz w:val="18"/>
          <w:szCs w:val="18"/>
          <w:color w:val="auto"/>
        </w:rPr>
        <w:t>Cadillac reported today U.S. total sales for May of 12,328, a 54 percent increase compared to the same month last year and the fourth consecutive</w:t>
      </w:r>
      <w:r>
        <w:rPr>
          <w:rFonts w:ascii="Arial" w:cs="Arial" w:eastAsia="Arial" w:hAnsi="Arial"/>
          <w:sz w:val="18"/>
          <w:szCs w:val="18"/>
          <w:b w:val="1"/>
          <w:bCs w:val="1"/>
          <w:color w:val="auto"/>
        </w:rPr>
        <w:t xml:space="preserve"> </w:t>
      </w:r>
      <w:r>
        <w:rPr>
          <w:rFonts w:ascii="Arial" w:cs="Arial" w:eastAsia="Arial" w:hAnsi="Arial"/>
          <w:sz w:val="18"/>
          <w:szCs w:val="18"/>
          <w:color w:val="auto"/>
        </w:rPr>
        <w:t>month of year-over-year increases. For the calendar year, Cadillac total sales were up 32 percent over last year.</w:t>
      </w:r>
    </w:p>
    <w:p>
      <w:pPr>
        <w:spacing w:after="0" w:line="12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Cadillac posted its best month of the year for both retail and total sales volume. Cadillac’s retail sales for May, compared to May 2009, increased more than 100 percent in the Miami, Atlanta, San Diego, Pittsburgh and Detroit area markets.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SRX sales rose 654 percent for May, compared to the same month last year, for its ninth straight month of triple-digit percentage total sales increases. Redesigned for the 2010 model year, the SRX mid-size luxury crossover had its best month of the year.</w:t>
      </w:r>
    </w:p>
    <w:p>
      <w:pPr>
        <w:spacing w:after="0" w:line="132"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CTS total sales rose 20 percent in May, recording its highest total sales volume since December of 2009. The results come as Cadillac prepares for the launch of the CTS Coupe in August. The Coupe will join the CTS Sport Sedan and CTS Sport Wagon to expand the award-winning CTS line.</w:t>
      </w:r>
    </w:p>
    <w:p>
      <w:pPr>
        <w:spacing w:after="0" w:line="8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“Cadillac is getting stronger as the year progresses,” said Kurt McNeil, U.S. vice president of Cadillac sales. “SRX has quickly become a leader among mid-size luxury crossovers. CTS Coupe will put Cadillac design and performance in a dramatic form that’s expected to attract new luxury car buyers to the brand.”</w:t>
      </w:r>
    </w:p>
    <w:p>
      <w:pPr>
        <w:spacing w:after="0" w:line="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Car and Driver magazine recently named CTS to its “10 Best Cars” list for the third straight year. Cadillac also took top honors for the third straight year in the 2010 AutoPacific Vehicle Satisfaction Awards, which use feedback from new car and truck owners to rank vehicles and brands. Escalade ranked first in the Luxury Sport Utility Vehicle category of the AutoPacific awards.</w:t>
      </w:r>
    </w:p>
    <w:p>
      <w:pPr>
        <w:sectPr>
          <w:pgSz w:w="11900" w:h="16838" w:orient="portrait"/>
          <w:cols w:equalWidth="0" w:num="1">
            <w:col w:w="11380"/>
          </w:cols>
          <w:pgMar w:left="240" w:top="1117" w:right="279" w:bottom="1440" w:gutter="0" w:footer="0" w:header="0"/>
        </w:sectPr>
      </w:pPr>
    </w:p>
    <w:bookmarkStart w:id="11" w:name="page12"/>
    <w:bookmarkEnd w:id="11"/>
    <w:p>
      <w:pPr>
        <w:jc w:val="center"/>
        <w:ind w:right="-1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Cadillac</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u w:val="single" w:color="auto"/>
          <w:color w:val="auto"/>
        </w:rPr>
        <w:t>Cadillac</w:t>
      </w:r>
      <w:r>
        <w:rPr>
          <w:rFonts w:ascii="Arial" w:cs="Arial" w:eastAsia="Arial" w:hAnsi="Arial"/>
          <w:sz w:val="18"/>
          <w:szCs w:val="18"/>
          <w:color w:val="auto"/>
        </w:rPr>
        <w:t xml:space="preserve"> has been a leading luxury auto brand since 1902. In recent years, Cadillac has engineered a historic renaissance led by artful engineering and advanced technology. More information on Cadillac can be found at media.cadillac.com.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Nick Twork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Cadillac Communications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Phone: +1.586.565.1001</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nicholas.twork@cadillac.com</w:t>
      </w:r>
    </w:p>
    <w:p>
      <w:pPr>
        <w:sectPr>
          <w:pgSz w:w="11900" w:h="16838" w:orient="portrait"/>
          <w:cols w:equalWidth="0" w:num="1">
            <w:col w:w="11240"/>
          </w:cols>
          <w:pgMar w:left="240" w:top="280" w:right="4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GMC Retail Sales Up 37 Percent in May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driven by consumer demand for Terrain, Acadia and Sierra</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GMC posted a 37 percent increase in retail sales in the month of May, compared to the same month last year. Total sales for GMC are up 26 percent, making May the eighth straight month of sales increases.</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increase was driven by strong sales of the Terrain and Acadia crossovers and Sierra. Terrain total calendar-year-to-date sales were up 350 percent and Acadia sales were up 30 percent.</w:t>
      </w:r>
    </w:p>
    <w:p>
      <w:pPr>
        <w:spacing w:after="0" w:line="13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Sierra had its best retail sales month of the year, selling 10,652 trucks. To continue the momentum around the Sierra, this summer GMC will launch the new Sierra HD that delivers best-in-class diesel horsepower and torque with the proven and reliable Duramax diesel powertrain and Allison transmission.</w:t>
      </w:r>
    </w:p>
    <w:p>
      <w:pPr>
        <w:spacing w:after="0" w:line="85"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“For the eighth straight month GMC has seen dramatic sales increases, proving that our products continue to appeal to customers – including many who are coming from non-GM makes,” said Brian Sweeney, U.S. vice president for Buick GMC sales. “We are encouraged to see that 40 percent of GMC buyers are trading in competitors’ vehicles.”</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Terrain is appealing more to women than any other GMC product. About 41 percent of buyers are women, which is nearly 14 percentage points higher than the overall brand.</w:t>
      </w:r>
    </w:p>
    <w:p>
      <w:pPr>
        <w:spacing w:after="0" w:line="132"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GMC is garnering outside recommendations for the models in its line-up. The Acadia was recently named Top Large Crossover SUV in AutoPacific’s Vehicle Satisfaction Award. The Terrain, Sierra 1500, Sierra HD, Yukon, Yukon XL and Canyon also received a top 10 ranking within their segment.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GMC</w:t>
      </w:r>
    </w:p>
    <w:p>
      <w:pPr>
        <w:spacing w:after="0" w:line="9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 xml:space="preserve">GMC is evolving to include more fuel-efficient trucks and crossovers. The GMC Terrain is a smaller SUV that offers 32 mpg highway fuel economy along with the capability, engineering expertise and refinement that have defined GMC for more than a century. Complementing the Terrain are the Acadia eight-passenger crossover, Yukon and Yukon XL and Sierra pickups. Today GMC is the only manufacturer offering three full-size hybrid models. Details on all GMC models are available at </w:t>
      </w:r>
      <w:r>
        <w:rPr>
          <w:rFonts w:ascii="Arial" w:cs="Arial" w:eastAsia="Arial" w:hAnsi="Arial"/>
          <w:sz w:val="18"/>
          <w:szCs w:val="18"/>
          <w:u w:val="single" w:color="auto"/>
          <w:color w:val="auto"/>
        </w:rPr>
        <w:t>www.gmc.com</w:t>
      </w:r>
      <w:r>
        <w:rPr>
          <w:rFonts w:ascii="Arial" w:cs="Arial" w:eastAsia="Arial" w:hAnsi="Arial"/>
          <w:sz w:val="18"/>
          <w:szCs w:val="18"/>
          <w:color w:val="auto"/>
        </w:rPr>
        <w:t>.</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Dayna Hart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Mobile: 313-300-9660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E-mail : </w:t>
      </w:r>
      <w:r>
        <w:rPr>
          <w:rFonts w:ascii="Arial" w:cs="Arial" w:eastAsia="Arial" w:hAnsi="Arial"/>
          <w:sz w:val="18"/>
          <w:szCs w:val="18"/>
          <w:u w:val="single" w:color="auto"/>
          <w:color w:val="auto"/>
        </w:rPr>
        <w:t>dayna.hart@gm.com</w:t>
      </w:r>
    </w:p>
    <w:p>
      <w:pPr>
        <w:sectPr>
          <w:pgSz w:w="11900" w:h="16838" w:orient="portrait"/>
          <w:cols w:equalWidth="0" w:num="1">
            <w:col w:w="11380"/>
          </w:cols>
          <w:pgMar w:left="240" w:top="841" w:right="2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May 2010 – Divisional Brand Level</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6660" w:type="dxa"/>
            <w:vAlign w:val="bottom"/>
            <w:tcBorders>
              <w:top w:val="single" w:sz="8" w:color="auto"/>
              <w:left w:val="single" w:sz="8" w:color="auto"/>
            </w:tcBorders>
          </w:tcPr>
          <w:p>
            <w:pPr>
              <w:spacing w:after="0"/>
              <w:rPr>
                <w:sz w:val="13"/>
                <w:szCs w:val="13"/>
                <w:color w:val="auto"/>
              </w:rPr>
            </w:pPr>
          </w:p>
        </w:tc>
        <w:tc>
          <w:tcPr>
            <w:tcW w:w="260" w:type="dxa"/>
            <w:vAlign w:val="bottom"/>
            <w:tcBorders>
              <w:top w:val="single" w:sz="8" w:color="auto"/>
              <w:right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color w:val="auto"/>
              </w:rPr>
              <w:t>May</w:t>
            </w:r>
          </w:p>
        </w:tc>
        <w:tc>
          <w:tcPr>
            <w:tcW w:w="5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2080" w:type="dxa"/>
            <w:vAlign w:val="bottom"/>
            <w:tcBorders>
              <w:top w:val="single" w:sz="8" w:color="auto"/>
              <w:right w:val="single" w:sz="8" w:color="auto"/>
            </w:tcBorders>
            <w:gridSpan w:val="3"/>
          </w:tcPr>
          <w:p>
            <w:pPr>
              <w:jc w:val="right"/>
              <w:ind w:right="317"/>
              <w:spacing w:after="0" w:line="151" w:lineRule="exact"/>
              <w:rPr>
                <w:sz w:val="20"/>
                <w:szCs w:val="20"/>
                <w:color w:val="auto"/>
              </w:rPr>
            </w:pPr>
            <w:r>
              <w:rPr>
                <w:rFonts w:ascii="Arial" w:cs="Arial" w:eastAsia="Arial" w:hAnsi="Arial"/>
                <w:sz w:val="14"/>
                <w:szCs w:val="14"/>
                <w:color w:val="auto"/>
              </w:rPr>
              <w:t>(Calendar Year-to-Date)</w:t>
            </w:r>
          </w:p>
        </w:tc>
        <w:tc>
          <w:tcPr>
            <w:tcW w:w="0" w:type="dxa"/>
            <w:vAlign w:val="bottom"/>
          </w:tcPr>
          <w:p>
            <w:pPr>
              <w:spacing w:after="0"/>
              <w:rPr>
                <w:sz w:val="1"/>
                <w:szCs w:val="1"/>
                <w:color w:val="auto"/>
              </w:rPr>
            </w:pPr>
          </w:p>
        </w:tc>
      </w:tr>
      <w:tr>
        <w:trPr>
          <w:trHeight w:val="105"/>
        </w:trPr>
        <w:tc>
          <w:tcPr>
            <w:tcW w:w="6660" w:type="dxa"/>
            <w:vAlign w:val="bottom"/>
            <w:tcBorders>
              <w:left w:val="single" w:sz="8" w:color="auto"/>
            </w:tcBorders>
            <w:vMerge w:val="restart"/>
          </w:tcPr>
          <w:p>
            <w:pPr>
              <w:ind w:left="120"/>
              <w:spacing w:after="0"/>
              <w:rPr>
                <w:sz w:val="20"/>
                <w:szCs w:val="20"/>
                <w:color w:val="auto"/>
              </w:rPr>
            </w:pPr>
            <w:r>
              <w:rPr>
                <w:rFonts w:ascii="Arial" w:cs="Arial" w:eastAsia="Arial" w:hAnsi="Arial"/>
                <w:sz w:val="14"/>
                <w:szCs w:val="14"/>
                <w:color w:val="auto"/>
              </w:rPr>
              <w:t>*S/D Curr: 26</w:t>
            </w:r>
          </w:p>
        </w:tc>
        <w:tc>
          <w:tcPr>
            <w:tcW w:w="26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color w:val="auto"/>
              </w:rPr>
              <w:t>January - May</w:t>
            </w:r>
          </w:p>
        </w:tc>
        <w:tc>
          <w:tcPr>
            <w:tcW w:w="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6660" w:type="dxa"/>
            <w:vAlign w:val="bottom"/>
            <w:tcBorders>
              <w:left w:val="single" w:sz="8" w:color="auto"/>
              <w:bottom w:val="single" w:sz="8" w:color="auto"/>
            </w:tcBorders>
            <w:vMerge w:val="continue"/>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gridSpan w:val="2"/>
            <w:vMerge w:val="continue"/>
          </w:tcPr>
          <w:p>
            <w:pPr>
              <w:spacing w:after="0"/>
              <w:rPr>
                <w:sz w:val="7"/>
                <w:szCs w:val="7"/>
                <w:color w:val="auto"/>
              </w:rPr>
            </w:pPr>
          </w:p>
        </w:tc>
        <w:tc>
          <w:tcPr>
            <w:tcW w:w="6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6660" w:type="dxa"/>
            <w:vAlign w:val="bottom"/>
            <w:tcBorders>
              <w:lef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2"/>
                <w:szCs w:val="12"/>
                <w:color w:val="auto"/>
              </w:rPr>
              <w:t>% Chg</w:t>
            </w:r>
          </w:p>
        </w:tc>
        <w:tc>
          <w:tcPr>
            <w:tcW w:w="560" w:type="dxa"/>
            <w:vAlign w:val="bottom"/>
            <w:tcBorders>
              <w:right w:val="single" w:sz="8" w:color="auto"/>
            </w:tcBorders>
            <w:gridSpan w:val="2"/>
          </w:tcPr>
          <w:p>
            <w:pPr>
              <w:jc w:val="right"/>
              <w:ind w:right="20"/>
              <w:spacing w:after="0" w:line="115" w:lineRule="exact"/>
              <w:rPr>
                <w:sz w:val="20"/>
                <w:szCs w:val="20"/>
                <w:color w:val="auto"/>
              </w:rPr>
            </w:pPr>
            <w:r>
              <w:rPr>
                <w:rFonts w:ascii="Arial" w:cs="Arial" w:eastAsia="Arial" w:hAnsi="Arial"/>
                <w:sz w:val="12"/>
                <w:szCs w:val="12"/>
                <w:color w:val="auto"/>
              </w:rPr>
              <w:t>%Chg</w:t>
            </w: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Borders>
              <w:right w:val="single" w:sz="8" w:color="auto"/>
            </w:tcBorders>
          </w:tcPr>
          <w:p>
            <w:pPr>
              <w:jc w:val="right"/>
              <w:ind w:right="37"/>
              <w:spacing w:after="0" w:line="115" w:lineRule="exact"/>
              <w:rPr>
                <w:sz w:val="20"/>
                <w:szCs w:val="20"/>
                <w:color w:val="auto"/>
              </w:rPr>
            </w:pPr>
            <w:r>
              <w:rPr>
                <w:rFonts w:ascii="Arial" w:cs="Arial" w:eastAsia="Arial" w:hAnsi="Arial"/>
                <w:sz w:val="12"/>
                <w:szCs w:val="12"/>
                <w:color w:val="auto"/>
              </w:rPr>
              <w:t>%Chg</w:t>
            </w:r>
          </w:p>
        </w:tc>
        <w:tc>
          <w:tcPr>
            <w:tcW w:w="0" w:type="dxa"/>
            <w:vAlign w:val="bottom"/>
          </w:tcPr>
          <w:p>
            <w:pPr>
              <w:spacing w:after="0"/>
              <w:rPr>
                <w:sz w:val="1"/>
                <w:szCs w:val="1"/>
                <w:color w:val="auto"/>
              </w:rPr>
            </w:pPr>
          </w:p>
        </w:tc>
      </w:tr>
      <w:tr>
        <w:trPr>
          <w:trHeight w:val="181"/>
        </w:trPr>
        <w:tc>
          <w:tcPr>
            <w:tcW w:w="6660" w:type="dxa"/>
            <w:vAlign w:val="bottom"/>
            <w:tcBorders>
              <w:left w:val="single" w:sz="8" w:color="auto"/>
              <w:bottom w:val="single" w:sz="8" w:color="auto"/>
            </w:tcBorders>
          </w:tcPr>
          <w:p>
            <w:pPr>
              <w:ind w:left="120"/>
              <w:spacing w:after="0" w:line="156" w:lineRule="exact"/>
              <w:rPr>
                <w:sz w:val="20"/>
                <w:szCs w:val="20"/>
                <w:color w:val="auto"/>
              </w:rPr>
            </w:pPr>
            <w:r>
              <w:rPr>
                <w:rFonts w:ascii="Arial" w:cs="Arial" w:eastAsia="Arial" w:hAnsi="Arial"/>
                <w:sz w:val="14"/>
                <w:szCs w:val="14"/>
                <w:color w:val="auto"/>
              </w:rPr>
              <w:t>*S/D Prev: 26</w:t>
            </w:r>
          </w:p>
        </w:tc>
        <w:tc>
          <w:tcPr>
            <w:tcW w:w="2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4"/>
                <w:szCs w:val="14"/>
                <w:color w:val="auto"/>
              </w:rPr>
              <w:t>2010</w:t>
            </w:r>
          </w:p>
        </w:tc>
        <w:tc>
          <w:tcPr>
            <w:tcW w:w="70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4"/>
                <w:szCs w:val="14"/>
                <w:color w:val="auto"/>
              </w:rPr>
              <w:t>2009</w:t>
            </w:r>
          </w:p>
        </w:tc>
        <w:tc>
          <w:tcPr>
            <w:tcW w:w="5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Volume</w:t>
            </w:r>
          </w:p>
        </w:tc>
        <w:tc>
          <w:tcPr>
            <w:tcW w:w="560" w:type="dxa"/>
            <w:vAlign w:val="bottom"/>
            <w:tcBorders>
              <w:bottom w:val="single" w:sz="8" w:color="auto"/>
              <w:right w:val="single" w:sz="8" w:color="auto"/>
            </w:tcBorders>
            <w:gridSpan w:val="2"/>
          </w:tcPr>
          <w:p>
            <w:pPr>
              <w:jc w:val="right"/>
              <w:ind w:right="20"/>
              <w:spacing w:after="0" w:line="156" w:lineRule="exact"/>
              <w:rPr>
                <w:sz w:val="20"/>
                <w:szCs w:val="20"/>
                <w:color w:val="auto"/>
              </w:rPr>
            </w:pPr>
            <w:r>
              <w:rPr>
                <w:rFonts w:ascii="Arial" w:cs="Arial" w:eastAsia="Arial" w:hAnsi="Arial"/>
                <w:sz w:val="14"/>
                <w:szCs w:val="14"/>
                <w:color w:val="auto"/>
              </w:rPr>
              <w:t>per S/D</w:t>
            </w:r>
          </w:p>
        </w:tc>
        <w:tc>
          <w:tcPr>
            <w:tcW w:w="7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2010</w:t>
            </w:r>
          </w:p>
        </w:tc>
        <w:tc>
          <w:tcPr>
            <w:tcW w:w="7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2009</w:t>
            </w:r>
          </w:p>
        </w:tc>
        <w:tc>
          <w:tcPr>
            <w:tcW w:w="600" w:type="dxa"/>
            <w:vAlign w:val="bottom"/>
            <w:tcBorders>
              <w:bottom w:val="single" w:sz="8" w:color="auto"/>
              <w:right w:val="single" w:sz="8" w:color="auto"/>
            </w:tcBorders>
          </w:tcPr>
          <w:p>
            <w:pPr>
              <w:jc w:val="right"/>
              <w:ind w:right="37"/>
              <w:spacing w:after="0" w:line="156" w:lineRule="exact"/>
              <w:rPr>
                <w:sz w:val="20"/>
                <w:szCs w:val="20"/>
                <w:color w:val="auto"/>
              </w:rPr>
            </w:pPr>
            <w:r>
              <w:rPr>
                <w:rFonts w:ascii="Arial" w:cs="Arial" w:eastAsia="Arial" w:hAnsi="Arial"/>
                <w:sz w:val="14"/>
                <w:szCs w:val="14"/>
                <w:color w:val="auto"/>
                <w:w w:val="96"/>
              </w:rPr>
              <w:t>Volume</w:t>
            </w:r>
          </w:p>
        </w:tc>
        <w:tc>
          <w:tcPr>
            <w:tcW w:w="0" w:type="dxa"/>
            <w:vAlign w:val="bottom"/>
          </w:tcPr>
          <w:p>
            <w:pPr>
              <w:spacing w:after="0"/>
              <w:rPr>
                <w:sz w:val="1"/>
                <w:szCs w:val="1"/>
                <w:color w:val="auto"/>
              </w:rPr>
            </w:pPr>
          </w:p>
        </w:tc>
      </w:tr>
      <w:tr>
        <w:trPr>
          <w:trHeight w:val="193"/>
        </w:trPr>
        <w:tc>
          <w:tcPr>
            <w:tcW w:w="6660" w:type="dxa"/>
            <w:vAlign w:val="bottom"/>
            <w:tcBorders>
              <w:top w:val="single" w:sz="8" w:color="auto"/>
              <w:left w:val="single" w:sz="8" w:color="auto"/>
              <w:right w:val="single" w:sz="8" w:color="CCEEFF"/>
            </w:tcBorders>
            <w:shd w:val="clear" w:color="auto" w:fill="CCEEFF"/>
          </w:tcPr>
          <w:p>
            <w:pPr>
              <w:ind w:left="120"/>
              <w:spacing w:after="0" w:line="193" w:lineRule="exact"/>
              <w:rPr>
                <w:sz w:val="20"/>
                <w:szCs w:val="20"/>
                <w:color w:val="auto"/>
              </w:rPr>
            </w:pPr>
            <w:r>
              <w:rPr>
                <w:rFonts w:ascii="Arial" w:cs="Arial" w:eastAsia="Arial" w:hAnsi="Arial"/>
                <w:sz w:val="18"/>
                <w:szCs w:val="18"/>
                <w:color w:val="auto"/>
              </w:rPr>
              <w:t>Vehicle Total</w:t>
            </w:r>
          </w:p>
        </w:tc>
        <w:tc>
          <w:tcPr>
            <w:tcW w:w="260" w:type="dxa"/>
            <w:vAlign w:val="bottom"/>
            <w:tcBorders>
              <w:top w:val="single" w:sz="8" w:color="auto"/>
              <w:right w:val="single" w:sz="8" w:color="auto"/>
            </w:tcBorders>
            <w:shd w:val="clear" w:color="auto" w:fill="CCEEFF"/>
          </w:tcPr>
          <w:p>
            <w:pPr>
              <w:spacing w:after="0"/>
              <w:rPr>
                <w:sz w:val="16"/>
                <w:szCs w:val="16"/>
                <w:color w:val="auto"/>
              </w:rPr>
            </w:pPr>
          </w:p>
        </w:tc>
        <w:tc>
          <w:tcPr>
            <w:tcW w:w="660" w:type="dxa"/>
            <w:vAlign w:val="bottom"/>
            <w:tcBorders>
              <w:top w:val="single" w:sz="8" w:color="CCEEFF"/>
            </w:tcBorders>
            <w:gridSpan w:val="2"/>
            <w:shd w:val="clear" w:color="auto" w:fill="CCEEFF"/>
          </w:tcPr>
          <w:p>
            <w:pPr>
              <w:jc w:val="right"/>
              <w:spacing w:after="0" w:line="193" w:lineRule="exact"/>
              <w:rPr>
                <w:sz w:val="20"/>
                <w:szCs w:val="20"/>
                <w:color w:val="auto"/>
              </w:rPr>
            </w:pPr>
            <w:r>
              <w:rPr>
                <w:rFonts w:ascii="Arial" w:cs="Arial" w:eastAsia="Arial" w:hAnsi="Arial"/>
                <w:sz w:val="18"/>
                <w:szCs w:val="18"/>
                <w:color w:val="auto"/>
                <w:w w:val="95"/>
              </w:rPr>
              <w:t>223,822</w:t>
            </w:r>
          </w:p>
        </w:tc>
        <w:tc>
          <w:tcPr>
            <w:tcW w:w="700" w:type="dxa"/>
            <w:vAlign w:val="bottom"/>
            <w:tcBorders>
              <w:top w:val="single" w:sz="8" w:color="CCEEFF"/>
            </w:tcBorders>
            <w:gridSpan w:val="2"/>
            <w:shd w:val="clear" w:color="auto" w:fill="CCEEFF"/>
          </w:tcPr>
          <w:p>
            <w:pPr>
              <w:jc w:val="right"/>
              <w:spacing w:after="0" w:line="193" w:lineRule="exact"/>
              <w:rPr>
                <w:sz w:val="20"/>
                <w:szCs w:val="20"/>
                <w:color w:val="auto"/>
              </w:rPr>
            </w:pPr>
            <w:r>
              <w:rPr>
                <w:rFonts w:ascii="Arial" w:cs="Arial" w:eastAsia="Arial" w:hAnsi="Arial"/>
                <w:sz w:val="18"/>
                <w:szCs w:val="18"/>
                <w:color w:val="auto"/>
              </w:rPr>
              <w:t>191,875</w:t>
            </w:r>
          </w:p>
        </w:tc>
        <w:tc>
          <w:tcPr>
            <w:tcW w:w="500" w:type="dxa"/>
            <w:vAlign w:val="bottom"/>
            <w:tcBorders>
              <w:top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16.6</w:t>
            </w:r>
          </w:p>
        </w:tc>
        <w:tc>
          <w:tcPr>
            <w:tcW w:w="560" w:type="dxa"/>
            <w:vAlign w:val="bottom"/>
            <w:tcBorders>
              <w:top w:val="single" w:sz="8" w:color="CCEEFF"/>
              <w:right w:val="single" w:sz="8" w:color="auto"/>
            </w:tcBorders>
            <w:gridSpan w:val="2"/>
            <w:shd w:val="clear" w:color="auto" w:fill="CCEEFF"/>
          </w:tcPr>
          <w:p>
            <w:pPr>
              <w:jc w:val="right"/>
              <w:ind w:right="20"/>
              <w:spacing w:after="0" w:line="193" w:lineRule="exact"/>
              <w:rPr>
                <w:sz w:val="20"/>
                <w:szCs w:val="20"/>
                <w:color w:val="auto"/>
              </w:rPr>
            </w:pPr>
            <w:r>
              <w:rPr>
                <w:rFonts w:ascii="Arial" w:cs="Arial" w:eastAsia="Arial" w:hAnsi="Arial"/>
                <w:sz w:val="18"/>
                <w:szCs w:val="18"/>
                <w:color w:val="auto"/>
              </w:rPr>
              <w:t>16.6</w:t>
            </w:r>
          </w:p>
        </w:tc>
        <w:tc>
          <w:tcPr>
            <w:tcW w:w="740" w:type="dxa"/>
            <w:vAlign w:val="bottom"/>
            <w:tcBorders>
              <w:top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885,141</w:t>
            </w:r>
          </w:p>
        </w:tc>
        <w:tc>
          <w:tcPr>
            <w:tcW w:w="740" w:type="dxa"/>
            <w:vAlign w:val="bottom"/>
            <w:tcBorders>
              <w:top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98"/>
              </w:rPr>
              <w:t>777,785</w:t>
            </w:r>
          </w:p>
        </w:tc>
        <w:tc>
          <w:tcPr>
            <w:tcW w:w="600" w:type="dxa"/>
            <w:vAlign w:val="bottom"/>
            <w:tcBorders>
              <w:top w:val="single" w:sz="8" w:color="CCEEFF"/>
              <w:right w:val="single" w:sz="8" w:color="auto"/>
            </w:tcBorders>
            <w:shd w:val="clear" w:color="auto" w:fill="CCEEFF"/>
          </w:tcPr>
          <w:p>
            <w:pPr>
              <w:jc w:val="right"/>
              <w:ind w:right="37"/>
              <w:spacing w:after="0" w:line="193"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6660" w:type="dxa"/>
            <w:vAlign w:val="bottom"/>
            <w:tcBorders>
              <w:left w:val="single" w:sz="8" w:color="auto"/>
            </w:tcBorders>
          </w:tcPr>
          <w:p>
            <w:pPr>
              <w:ind w:left="560"/>
              <w:spacing w:after="0"/>
              <w:rPr>
                <w:sz w:val="20"/>
                <w:szCs w:val="20"/>
                <w:color w:val="auto"/>
              </w:rPr>
            </w:pPr>
            <w:r>
              <w:rPr>
                <w:rFonts w:ascii="Arial" w:cs="Arial" w:eastAsia="Arial" w:hAnsi="Arial"/>
                <w:sz w:val="18"/>
                <w:szCs w:val="18"/>
                <w:color w:val="auto"/>
              </w:rPr>
              <w:t>Brand Total</w:t>
            </w:r>
          </w:p>
        </w:tc>
        <w:tc>
          <w:tcPr>
            <w:tcW w:w="260" w:type="dxa"/>
            <w:vAlign w:val="bottom"/>
            <w:tcBorders>
              <w:right w:val="single" w:sz="8" w:color="auto"/>
            </w:tcBorders>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222,305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168,623</w:t>
            </w:r>
          </w:p>
        </w:tc>
        <w:tc>
          <w:tcPr>
            <w:tcW w:w="500" w:type="dxa"/>
            <w:vAlign w:val="bottom"/>
          </w:tcPr>
          <w:p>
            <w:pPr>
              <w:jc w:val="right"/>
              <w:spacing w:after="0"/>
              <w:rPr>
                <w:sz w:val="20"/>
                <w:szCs w:val="20"/>
                <w:color w:val="auto"/>
              </w:rPr>
            </w:pPr>
            <w:r>
              <w:rPr>
                <w:rFonts w:ascii="Arial" w:cs="Arial" w:eastAsia="Arial" w:hAnsi="Arial"/>
                <w:sz w:val="18"/>
                <w:szCs w:val="18"/>
                <w:color w:val="auto"/>
              </w:rPr>
              <w:t>31.8</w:t>
            </w:r>
          </w:p>
        </w:tc>
        <w:tc>
          <w:tcPr>
            <w:tcW w:w="56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31.8</w:t>
            </w:r>
          </w:p>
        </w:tc>
        <w:tc>
          <w:tcPr>
            <w:tcW w:w="740" w:type="dxa"/>
            <w:vAlign w:val="bottom"/>
          </w:tcPr>
          <w:p>
            <w:pPr>
              <w:jc w:val="right"/>
              <w:spacing w:after="0"/>
              <w:rPr>
                <w:sz w:val="20"/>
                <w:szCs w:val="20"/>
                <w:color w:val="auto"/>
              </w:rPr>
            </w:pPr>
            <w:r>
              <w:rPr>
                <w:rFonts w:ascii="Arial" w:cs="Arial" w:eastAsia="Arial" w:hAnsi="Arial"/>
                <w:sz w:val="18"/>
                <w:szCs w:val="18"/>
                <w:color w:val="auto"/>
              </w:rPr>
              <w:t>874,749</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667,755</w:t>
            </w:r>
          </w:p>
        </w:tc>
        <w:tc>
          <w:tcPr>
            <w:tcW w:w="60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6660" w:type="dxa"/>
            <w:vAlign w:val="bottom"/>
            <w:tcBorders>
              <w:left w:val="single" w:sz="8" w:color="auto"/>
              <w:bottom w:val="single" w:sz="8" w:color="auto"/>
              <w:right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Other Brand Total</w:t>
            </w:r>
          </w:p>
        </w:tc>
        <w:tc>
          <w:tcPr>
            <w:tcW w:w="260" w:type="dxa"/>
            <w:vAlign w:val="bottom"/>
            <w:tcBorders>
              <w:bottom w:val="single" w:sz="8" w:color="auto"/>
              <w:right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23,252</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560" w:type="dxa"/>
            <w:vAlign w:val="bottom"/>
            <w:tcBorders>
              <w:bottom w:val="single" w:sz="8" w:color="auto"/>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110,030</w:t>
            </w:r>
          </w:p>
        </w:tc>
        <w:tc>
          <w:tcPr>
            <w:tcW w:w="60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GM Vehicle Deliveries by Marketing Division</w:t>
            </w: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6660" w:type="dxa"/>
            <w:vAlign w:val="bottom"/>
            <w:tcBorders>
              <w:left w:val="single" w:sz="8" w:color="auto"/>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56"/>
              <w:spacing w:after="0" w:line="131" w:lineRule="exact"/>
              <w:rPr>
                <w:sz w:val="20"/>
                <w:szCs w:val="20"/>
                <w:color w:val="auto"/>
              </w:rPr>
            </w:pPr>
            <w:r>
              <w:rPr>
                <w:rFonts w:ascii="Arial" w:cs="Arial" w:eastAsia="Arial" w:hAnsi="Arial"/>
                <w:sz w:val="14"/>
                <w:szCs w:val="14"/>
                <w:color w:val="auto"/>
                <w:w w:val="89"/>
              </w:rPr>
              <w:t>%Chg</w:t>
            </w:r>
          </w:p>
        </w:tc>
        <w:tc>
          <w:tcPr>
            <w:tcW w:w="4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%Chg</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Borders>
              <w:right w:val="single" w:sz="8" w:color="auto"/>
            </w:tcBorders>
          </w:tcPr>
          <w:p>
            <w:pPr>
              <w:jc w:val="right"/>
              <w:ind w:right="37"/>
              <w:spacing w:after="0" w:line="131" w:lineRule="exact"/>
              <w:rPr>
                <w:sz w:val="20"/>
                <w:szCs w:val="20"/>
                <w:color w:val="auto"/>
              </w:rPr>
            </w:pPr>
            <w:r>
              <w:rPr>
                <w:rFonts w:ascii="Arial" w:cs="Arial" w:eastAsia="Arial" w:hAnsi="Arial"/>
                <w:sz w:val="14"/>
                <w:szCs w:val="14"/>
                <w:color w:val="auto"/>
              </w:rPr>
              <w:t>%Chg</w:t>
            </w:r>
          </w:p>
        </w:tc>
        <w:tc>
          <w:tcPr>
            <w:tcW w:w="0" w:type="dxa"/>
            <w:vAlign w:val="bottom"/>
          </w:tcPr>
          <w:p>
            <w:pPr>
              <w:spacing w:after="0"/>
              <w:rPr>
                <w:sz w:val="1"/>
                <w:szCs w:val="1"/>
                <w:color w:val="auto"/>
              </w:rPr>
            </w:pPr>
          </w:p>
        </w:tc>
      </w:tr>
      <w:tr>
        <w:trPr>
          <w:trHeight w:val="159"/>
        </w:trPr>
        <w:tc>
          <w:tcPr>
            <w:tcW w:w="6660" w:type="dxa"/>
            <w:vAlign w:val="bottom"/>
            <w:tcBorders>
              <w:left w:val="single" w:sz="8" w:color="auto"/>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2010</w:t>
            </w: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2009</w:t>
            </w:r>
          </w:p>
        </w:tc>
        <w:tc>
          <w:tcPr>
            <w:tcW w:w="620" w:type="dxa"/>
            <w:vAlign w:val="bottom"/>
            <w:tcBorders>
              <w:bottom w:val="single" w:sz="8" w:color="auto"/>
            </w:tcBorders>
            <w:gridSpan w:val="2"/>
          </w:tcPr>
          <w:p>
            <w:pPr>
              <w:jc w:val="right"/>
              <w:ind w:right="56"/>
              <w:spacing w:after="0" w:line="159" w:lineRule="exact"/>
              <w:rPr>
                <w:sz w:val="20"/>
                <w:szCs w:val="20"/>
                <w:color w:val="auto"/>
              </w:rPr>
            </w:pPr>
            <w:r>
              <w:rPr>
                <w:rFonts w:ascii="Arial" w:cs="Arial" w:eastAsia="Arial" w:hAnsi="Arial"/>
                <w:sz w:val="14"/>
                <w:szCs w:val="14"/>
                <w:color w:val="auto"/>
                <w:w w:val="96"/>
              </w:rPr>
              <w:t>Volume</w:t>
            </w:r>
          </w:p>
        </w:tc>
        <w:tc>
          <w:tcPr>
            <w:tcW w:w="440" w:type="dxa"/>
            <w:vAlign w:val="bottom"/>
            <w:tcBorders>
              <w:bottom w:val="single" w:sz="8" w:color="auto"/>
              <w:right w:val="single" w:sz="8" w:color="auto"/>
            </w:tcBorders>
          </w:tcPr>
          <w:p>
            <w:pPr>
              <w:jc w:val="right"/>
              <w:spacing w:after="0" w:line="159" w:lineRule="exact"/>
              <w:rPr>
                <w:sz w:val="20"/>
                <w:szCs w:val="20"/>
                <w:color w:val="auto"/>
              </w:rPr>
            </w:pPr>
            <w:r>
              <w:rPr>
                <w:rFonts w:ascii="Arial" w:cs="Arial" w:eastAsia="Arial" w:hAnsi="Arial"/>
                <w:sz w:val="14"/>
                <w:szCs w:val="14"/>
                <w:color w:val="auto"/>
                <w:w w:val="84"/>
              </w:rPr>
              <w:t>per S/D</w:t>
            </w: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7"/>
              <w:spacing w:after="0" w:line="159" w:lineRule="exact"/>
              <w:rPr>
                <w:sz w:val="20"/>
                <w:szCs w:val="20"/>
                <w:color w:val="auto"/>
              </w:rPr>
            </w:pPr>
            <w:r>
              <w:rPr>
                <w:rFonts w:ascii="Arial" w:cs="Arial" w:eastAsia="Arial" w:hAnsi="Arial"/>
                <w:sz w:val="14"/>
                <w:szCs w:val="14"/>
                <w:color w:val="auto"/>
              </w:rPr>
              <w:t>2010</w:t>
            </w:r>
          </w:p>
        </w:tc>
        <w:tc>
          <w:tcPr>
            <w:tcW w:w="740" w:type="dxa"/>
            <w:vAlign w:val="bottom"/>
            <w:tcBorders>
              <w:bottom w:val="single" w:sz="8" w:color="auto"/>
            </w:tcBorders>
          </w:tcPr>
          <w:p>
            <w:pPr>
              <w:jc w:val="right"/>
              <w:ind w:right="35"/>
              <w:spacing w:after="0" w:line="159" w:lineRule="exact"/>
              <w:rPr>
                <w:sz w:val="20"/>
                <w:szCs w:val="20"/>
                <w:color w:val="auto"/>
              </w:rPr>
            </w:pPr>
            <w:r>
              <w:rPr>
                <w:rFonts w:ascii="Arial" w:cs="Arial" w:eastAsia="Arial" w:hAnsi="Arial"/>
                <w:sz w:val="14"/>
                <w:szCs w:val="14"/>
                <w:color w:val="auto"/>
              </w:rPr>
              <w:t>2009</w:t>
            </w:r>
          </w:p>
        </w:tc>
        <w:tc>
          <w:tcPr>
            <w:tcW w:w="600" w:type="dxa"/>
            <w:vAlign w:val="bottom"/>
            <w:tcBorders>
              <w:bottom w:val="single" w:sz="8" w:color="auto"/>
              <w:right w:val="single" w:sz="8" w:color="auto"/>
            </w:tcBorders>
          </w:tcPr>
          <w:p>
            <w:pPr>
              <w:jc w:val="right"/>
              <w:ind w:right="37"/>
              <w:spacing w:after="0" w:line="159" w:lineRule="exact"/>
              <w:rPr>
                <w:sz w:val="20"/>
                <w:szCs w:val="20"/>
                <w:color w:val="auto"/>
              </w:rPr>
            </w:pPr>
            <w:r>
              <w:rPr>
                <w:rFonts w:ascii="Arial" w:cs="Arial" w:eastAsia="Arial" w:hAnsi="Arial"/>
                <w:sz w:val="14"/>
                <w:szCs w:val="14"/>
                <w:color w:val="auto"/>
                <w:w w:val="96"/>
              </w:rPr>
              <w:t>Volume</w:t>
            </w:r>
          </w:p>
        </w:tc>
        <w:tc>
          <w:tcPr>
            <w:tcW w:w="0" w:type="dxa"/>
            <w:vAlign w:val="bottom"/>
          </w:tcPr>
          <w:p>
            <w:pPr>
              <w:spacing w:after="0"/>
              <w:rPr>
                <w:sz w:val="1"/>
                <w:szCs w:val="1"/>
                <w:color w:val="auto"/>
              </w:rPr>
            </w:pPr>
          </w:p>
        </w:tc>
      </w:tr>
      <w:tr>
        <w:trPr>
          <w:trHeight w:val="210"/>
        </w:trPr>
        <w:tc>
          <w:tcPr>
            <w:tcW w:w="66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Buick Total</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6"/>
              </w:rPr>
              <w:t>37.4</w:t>
            </w:r>
          </w:p>
        </w:tc>
        <w:tc>
          <w:tcPr>
            <w:tcW w:w="4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56,899</w:t>
            </w: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38,622</w:t>
            </w:r>
          </w:p>
        </w:tc>
        <w:tc>
          <w:tcPr>
            <w:tcW w:w="60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6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Cadillac Total</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12,328</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8,027</w:t>
            </w:r>
          </w:p>
        </w:tc>
        <w:tc>
          <w:tcPr>
            <w:tcW w:w="120" w:type="dxa"/>
            <w:vAlign w:val="bottom"/>
          </w:tcPr>
          <w:p>
            <w:pPr>
              <w:spacing w:after="0"/>
              <w:rPr>
                <w:sz w:val="18"/>
                <w:szCs w:val="18"/>
                <w:color w:val="auto"/>
              </w:rPr>
            </w:pPr>
          </w:p>
        </w:tc>
        <w:tc>
          <w:tcPr>
            <w:tcW w:w="500" w:type="dxa"/>
            <w:vAlign w:val="bottom"/>
          </w:tcPr>
          <w:p>
            <w:pPr>
              <w:jc w:val="right"/>
              <w:ind w:right="56"/>
              <w:spacing w:after="0"/>
              <w:rPr>
                <w:sz w:val="20"/>
                <w:szCs w:val="20"/>
                <w:color w:val="auto"/>
              </w:rPr>
            </w:pPr>
            <w:r>
              <w:rPr>
                <w:rFonts w:ascii="Arial" w:cs="Arial" w:eastAsia="Arial" w:hAnsi="Arial"/>
                <w:sz w:val="18"/>
                <w:szCs w:val="18"/>
                <w:color w:val="auto"/>
                <w:w w:val="96"/>
              </w:rPr>
              <w:t>53.6</w:t>
            </w: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8"/>
                <w:szCs w:val="18"/>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52,997</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40,110</w:t>
            </w:r>
          </w:p>
        </w:tc>
        <w:tc>
          <w:tcPr>
            <w:tcW w:w="60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66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Chevrolet Total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167,235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127,510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6"/>
              </w:rPr>
              <w:t>31.2</w:t>
            </w:r>
          </w:p>
        </w:tc>
        <w:tc>
          <w:tcPr>
            <w:tcW w:w="4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2"/>
              </w:rPr>
              <w:t>641,062</w:t>
            </w: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2"/>
              </w:rPr>
              <w:t>490,220</w:t>
            </w:r>
          </w:p>
        </w:tc>
        <w:tc>
          <w:tcPr>
            <w:tcW w:w="60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6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GMC Total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30,160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23,926</w:t>
            </w:r>
          </w:p>
        </w:tc>
        <w:tc>
          <w:tcPr>
            <w:tcW w:w="120" w:type="dxa"/>
            <w:vAlign w:val="bottom"/>
          </w:tcPr>
          <w:p>
            <w:pPr>
              <w:spacing w:after="0"/>
              <w:rPr>
                <w:sz w:val="18"/>
                <w:szCs w:val="18"/>
                <w:color w:val="auto"/>
              </w:rPr>
            </w:pPr>
          </w:p>
        </w:tc>
        <w:tc>
          <w:tcPr>
            <w:tcW w:w="500" w:type="dxa"/>
            <w:vAlign w:val="bottom"/>
          </w:tcPr>
          <w:p>
            <w:pPr>
              <w:jc w:val="right"/>
              <w:ind w:right="56"/>
              <w:spacing w:after="0"/>
              <w:rPr>
                <w:sz w:val="20"/>
                <w:szCs w:val="20"/>
                <w:color w:val="auto"/>
              </w:rPr>
            </w:pPr>
            <w:r>
              <w:rPr>
                <w:rFonts w:ascii="Arial" w:cs="Arial" w:eastAsia="Arial" w:hAnsi="Arial"/>
                <w:sz w:val="18"/>
                <w:szCs w:val="18"/>
                <w:color w:val="auto"/>
                <w:w w:val="96"/>
              </w:rPr>
              <w:t>26.1</w:t>
            </w: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8"/>
                <w:szCs w:val="18"/>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w w:val="92"/>
              </w:rPr>
              <w:t>123,791</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98,803</w:t>
            </w:r>
          </w:p>
        </w:tc>
        <w:tc>
          <w:tcPr>
            <w:tcW w:w="60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6660" w:type="dxa"/>
            <w:vAlign w:val="bottom"/>
            <w:tcBorders>
              <w:left w:val="single" w:sz="8" w:color="auto"/>
              <w:right w:val="single" w:sz="8" w:color="auto"/>
            </w:tcBorders>
            <w:shd w:val="clear" w:color="auto" w:fill="CCEEFF"/>
          </w:tcPr>
          <w:p>
            <w:pPr>
              <w:ind w:left="3180"/>
              <w:spacing w:after="0"/>
              <w:rPr>
                <w:sz w:val="20"/>
                <w:szCs w:val="20"/>
                <w:color w:val="auto"/>
              </w:rPr>
            </w:pPr>
            <w:r>
              <w:rPr>
                <w:rFonts w:ascii="Arial" w:cs="Arial" w:eastAsia="Arial" w:hAnsi="Arial"/>
                <w:sz w:val="18"/>
                <w:szCs w:val="18"/>
                <w:color w:val="auto"/>
              </w:rPr>
              <w:t>Brand Total</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222,305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168,623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6"/>
              </w:rPr>
              <w:t>31.8</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2"/>
              </w:rPr>
              <w:t>874,749</w:t>
            </w: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2"/>
              </w:rPr>
              <w:t>667,755</w:t>
            </w:r>
          </w:p>
        </w:tc>
        <w:tc>
          <w:tcPr>
            <w:tcW w:w="60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6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HUMMER Total</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1,290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18"/>
                <w:szCs w:val="18"/>
                <w:color w:val="auto"/>
              </w:rPr>
            </w:pPr>
          </w:p>
        </w:tc>
        <w:tc>
          <w:tcPr>
            <w:tcW w:w="500" w:type="dxa"/>
            <w:vAlign w:val="bottom"/>
          </w:tcPr>
          <w:p>
            <w:pPr>
              <w:jc w:val="right"/>
              <w:ind w:right="56"/>
              <w:spacing w:after="0"/>
              <w:rPr>
                <w:sz w:val="20"/>
                <w:szCs w:val="20"/>
                <w:color w:val="auto"/>
              </w:rPr>
            </w:pPr>
            <w:r>
              <w:rPr>
                <w:rFonts w:ascii="Arial" w:cs="Arial" w:eastAsia="Arial" w:hAnsi="Arial"/>
                <w:sz w:val="18"/>
                <w:szCs w:val="18"/>
                <w:color w:val="auto"/>
                <w:w w:val="96"/>
              </w:rPr>
              <w:t>17.9</w:t>
            </w: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2,626</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5,113</w:t>
            </w:r>
          </w:p>
        </w:tc>
        <w:tc>
          <w:tcPr>
            <w:tcW w:w="60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66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Pontiac Total</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13,329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82"/>
              </w:rPr>
              <w:t>-98.6</w:t>
            </w:r>
          </w:p>
        </w:tc>
        <w:tc>
          <w:tcPr>
            <w:tcW w:w="4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-98.6</w:t>
            </w:r>
          </w:p>
        </w:tc>
        <w:tc>
          <w:tcPr>
            <w:tcW w:w="12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815</w:t>
            </w: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65,054</w:t>
            </w:r>
          </w:p>
        </w:tc>
        <w:tc>
          <w:tcPr>
            <w:tcW w:w="60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6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Saab Total</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783</w:t>
            </w:r>
          </w:p>
        </w:tc>
        <w:tc>
          <w:tcPr>
            <w:tcW w:w="62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608</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4,607</w:t>
            </w:r>
          </w:p>
        </w:tc>
        <w:tc>
          <w:tcPr>
            <w:tcW w:w="60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66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Saturn Total</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82"/>
              </w:rPr>
              <w:t>-99.4</w:t>
            </w:r>
          </w:p>
        </w:tc>
        <w:tc>
          <w:tcPr>
            <w:tcW w:w="4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-99.4</w:t>
            </w:r>
          </w:p>
        </w:tc>
        <w:tc>
          <w:tcPr>
            <w:tcW w:w="12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6,343</w:t>
            </w: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35,256</w:t>
            </w:r>
          </w:p>
        </w:tc>
        <w:tc>
          <w:tcPr>
            <w:tcW w:w="60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6660" w:type="dxa"/>
            <w:vAlign w:val="bottom"/>
            <w:tcBorders>
              <w:left w:val="single" w:sz="8" w:color="auto"/>
              <w:right w:val="single" w:sz="8" w:color="auto"/>
            </w:tcBorders>
          </w:tcPr>
          <w:p>
            <w:pPr>
              <w:ind w:left="2960"/>
              <w:spacing w:after="0"/>
              <w:rPr>
                <w:sz w:val="20"/>
                <w:szCs w:val="20"/>
                <w:color w:val="auto"/>
              </w:rPr>
            </w:pPr>
            <w:r>
              <w:rPr>
                <w:rFonts w:ascii="Arial" w:cs="Arial" w:eastAsia="Arial" w:hAnsi="Arial"/>
                <w:sz w:val="18"/>
                <w:szCs w:val="18"/>
                <w:color w:val="auto"/>
              </w:rPr>
              <w:t>Other Brand Total</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1,517</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23,252</w:t>
            </w:r>
          </w:p>
        </w:tc>
        <w:tc>
          <w:tcPr>
            <w:tcW w:w="120" w:type="dxa"/>
            <w:vAlign w:val="bottom"/>
          </w:tcPr>
          <w:p>
            <w:pPr>
              <w:spacing w:after="0"/>
              <w:rPr>
                <w:sz w:val="18"/>
                <w:szCs w:val="18"/>
                <w:color w:val="auto"/>
              </w:rPr>
            </w:pPr>
          </w:p>
        </w:tc>
        <w:tc>
          <w:tcPr>
            <w:tcW w:w="500" w:type="dxa"/>
            <w:vAlign w:val="bottom"/>
          </w:tcPr>
          <w:p>
            <w:pPr>
              <w:jc w:val="right"/>
              <w:ind w:right="56"/>
              <w:spacing w:after="0"/>
              <w:rPr>
                <w:sz w:val="20"/>
                <w:szCs w:val="20"/>
                <w:color w:val="auto"/>
              </w:rPr>
            </w:pPr>
            <w:r>
              <w:rPr>
                <w:rFonts w:ascii="Arial" w:cs="Arial" w:eastAsia="Arial" w:hAnsi="Arial"/>
                <w:sz w:val="18"/>
                <w:szCs w:val="18"/>
                <w:color w:val="auto"/>
                <w:w w:val="82"/>
              </w:rPr>
              <w:t>-93.5</w:t>
            </w:r>
          </w:p>
        </w:tc>
        <w:tc>
          <w:tcPr>
            <w:tcW w:w="440" w:type="dxa"/>
            <w:vAlign w:val="bottom"/>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18"/>
                <w:szCs w:val="18"/>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10,392</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w w:val="92"/>
              </w:rPr>
              <w:t>110,030</w:t>
            </w:r>
          </w:p>
        </w:tc>
        <w:tc>
          <w:tcPr>
            <w:tcW w:w="600" w:type="dxa"/>
            <w:vAlign w:val="bottom"/>
            <w:tcBorders>
              <w:right w:val="single" w:sz="8" w:color="auto"/>
            </w:tcBorders>
          </w:tcPr>
          <w:p>
            <w:pPr>
              <w:jc w:val="right"/>
              <w:ind w:right="37"/>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66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 Vehicle Total</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223,822</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191,875</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6"/>
              </w:rPr>
              <w:t>16.6</w:t>
            </w:r>
          </w:p>
        </w:tc>
        <w:tc>
          <w:tcPr>
            <w:tcW w:w="4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auto"/>
              <w:right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w w:val="92"/>
              </w:rPr>
              <w:t>885,141</w:t>
            </w: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92"/>
              </w:rPr>
              <w:t>777,785</w:t>
            </w:r>
          </w:p>
        </w:tc>
        <w:tc>
          <w:tcPr>
            <w:tcW w:w="60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Twenty-six selling days (S/D) for the May period this year and twenty-six for last year.</w:t>
      </w:r>
    </w:p>
    <w:p>
      <w:pPr>
        <w:spacing w:after="0" w:line="1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 August 2007, GM includes GMC &amp; Chevrolet dealer deliveries of commercial vehicles distributed by American Isuzu Motors, Inc.</w:t>
      </w:r>
    </w:p>
    <w:p>
      <w:pPr>
        <w:spacing w:after="0" w:line="205" w:lineRule="exact"/>
        <w:rPr>
          <w:sz w:val="20"/>
          <w:szCs w:val="20"/>
          <w:color w:val="auto"/>
        </w:rPr>
      </w:pPr>
    </w:p>
    <w:p>
      <w:pPr>
        <w:spacing w:after="0"/>
        <w:tabs>
          <w:tab w:leader="none" w:pos="10460" w:val="left"/>
        </w:tabs>
        <w:rPr>
          <w:sz w:val="20"/>
          <w:szCs w:val="20"/>
          <w:color w:val="auto"/>
        </w:rPr>
      </w:pPr>
      <w:r>
        <w:rPr>
          <w:rFonts w:ascii="Arial" w:cs="Arial" w:eastAsia="Arial" w:hAnsi="Arial"/>
          <w:sz w:val="18"/>
          <w:szCs w:val="18"/>
          <w:color w:val="auto"/>
        </w:rPr>
        <w:t>Sales Reporting and Data Management</w:t>
      </w:r>
      <w:r>
        <w:rPr>
          <w:sz w:val="20"/>
          <w:szCs w:val="20"/>
          <w:color w:val="auto"/>
        </w:rPr>
        <w:tab/>
      </w:r>
      <w:r>
        <w:rPr>
          <w:rFonts w:ascii="Arial" w:cs="Arial" w:eastAsia="Arial" w:hAnsi="Arial"/>
          <w:sz w:val="15"/>
          <w:szCs w:val="15"/>
          <w:color w:val="auto"/>
        </w:rPr>
        <w:t>Page 1 of 2</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U.S. Deliveries for May 2010 – Divisional Brand Level</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6300" w:type="dxa"/>
            <w:vAlign w:val="bottom"/>
            <w:tcBorders>
              <w:top w:val="single" w:sz="8" w:color="auto"/>
              <w:left w:val="single" w:sz="8" w:color="auto"/>
              <w:right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right w:val="single" w:sz="8" w:color="auto"/>
            </w:tcBorders>
            <w:shd w:val="clear" w:color="auto" w:fill="CCEEFF"/>
          </w:tcPr>
          <w:p>
            <w:pPr>
              <w:spacing w:after="0"/>
              <w:rPr>
                <w:sz w:val="13"/>
                <w:szCs w:val="13"/>
                <w:color w:val="auto"/>
              </w:rPr>
            </w:pPr>
          </w:p>
        </w:tc>
        <w:tc>
          <w:tcPr>
            <w:tcW w:w="2240" w:type="dxa"/>
            <w:vAlign w:val="bottom"/>
            <w:tcBorders>
              <w:top w:val="single" w:sz="8" w:color="auto"/>
              <w:right w:val="single" w:sz="8" w:color="auto"/>
            </w:tcBorders>
            <w:gridSpan w:val="3"/>
            <w:shd w:val="clear" w:color="auto" w:fill="CCEEFF"/>
          </w:tcPr>
          <w:p>
            <w:pPr>
              <w:jc w:val="right"/>
              <w:ind w:right="393"/>
              <w:spacing w:after="0" w:line="151" w:lineRule="exact"/>
              <w:rPr>
                <w:sz w:val="20"/>
                <w:szCs w:val="20"/>
                <w:color w:val="auto"/>
              </w:rPr>
            </w:pPr>
            <w:r>
              <w:rPr>
                <w:rFonts w:ascii="Arial" w:cs="Arial" w:eastAsia="Arial" w:hAnsi="Arial"/>
                <w:sz w:val="14"/>
                <w:szCs w:val="14"/>
                <w:color w:val="auto"/>
              </w:rPr>
              <w:t>(Calendar Year-to-Date)</w:t>
            </w:r>
          </w:p>
        </w:tc>
      </w:tr>
      <w:tr>
        <w:trPr>
          <w:trHeight w:val="173"/>
        </w:trPr>
        <w:tc>
          <w:tcPr>
            <w:tcW w:w="630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May</w:t>
            </w:r>
          </w:p>
        </w:tc>
        <w:tc>
          <w:tcPr>
            <w:tcW w:w="5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right w:val="single" w:sz="8" w:color="auto"/>
            </w:tcBorders>
            <w:shd w:val="clear" w:color="auto" w:fill="CCEEFF"/>
          </w:tcPr>
          <w:p>
            <w:pPr>
              <w:spacing w:after="0"/>
              <w:rPr>
                <w:sz w:val="15"/>
                <w:szCs w:val="15"/>
                <w:color w:val="auto"/>
              </w:rPr>
            </w:pPr>
          </w:p>
        </w:tc>
        <w:tc>
          <w:tcPr>
            <w:tcW w:w="1600" w:type="dxa"/>
            <w:vAlign w:val="bottom"/>
            <w:tcBorders>
              <w:bottom w:val="single" w:sz="8" w:color="auto"/>
            </w:tcBorders>
            <w:gridSpan w:val="2"/>
            <w:shd w:val="clear" w:color="auto" w:fill="CCEEFF"/>
          </w:tcPr>
          <w:p>
            <w:pPr>
              <w:jc w:val="right"/>
              <w:ind w:right="13"/>
              <w:spacing w:after="0"/>
              <w:rPr>
                <w:sz w:val="20"/>
                <w:szCs w:val="20"/>
                <w:color w:val="auto"/>
              </w:rPr>
            </w:pPr>
            <w:r>
              <w:rPr>
                <w:rFonts w:ascii="Arial" w:cs="Arial" w:eastAsia="Arial" w:hAnsi="Arial"/>
                <w:sz w:val="14"/>
                <w:szCs w:val="14"/>
                <w:color w:val="auto"/>
              </w:rPr>
              <w:t>January - May</w:t>
            </w:r>
          </w:p>
        </w:tc>
        <w:tc>
          <w:tcPr>
            <w:tcW w:w="640" w:type="dxa"/>
            <w:vAlign w:val="bottom"/>
            <w:tcBorders>
              <w:bottom w:val="single" w:sz="8" w:color="auto"/>
              <w:right w:val="single" w:sz="8" w:color="auto"/>
            </w:tcBorders>
            <w:shd w:val="clear" w:color="auto" w:fill="CCEEFF"/>
          </w:tcPr>
          <w:p>
            <w:pPr>
              <w:spacing w:after="0"/>
              <w:rPr>
                <w:sz w:val="15"/>
                <w:szCs w:val="15"/>
                <w:color w:val="auto"/>
              </w:rPr>
            </w:pPr>
          </w:p>
        </w:tc>
      </w:tr>
      <w:tr>
        <w:trPr>
          <w:trHeight w:val="131"/>
        </w:trPr>
        <w:tc>
          <w:tcPr>
            <w:tcW w:w="6300" w:type="dxa"/>
            <w:vAlign w:val="bottom"/>
            <w:tcBorders>
              <w:left w:val="single" w:sz="8" w:color="auto"/>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jc w:val="right"/>
              <w:spacing w:after="0" w:line="131" w:lineRule="exact"/>
              <w:rPr>
                <w:sz w:val="20"/>
                <w:szCs w:val="20"/>
                <w:color w:val="auto"/>
              </w:rPr>
            </w:pPr>
            <w:r>
              <w:rPr>
                <w:rFonts w:ascii="Arial" w:cs="Arial" w:eastAsia="Arial" w:hAnsi="Arial"/>
                <w:sz w:val="14"/>
                <w:szCs w:val="14"/>
                <w:color w:val="auto"/>
                <w:w w:val="99"/>
              </w:rPr>
              <w:t>% Chg</w:t>
            </w:r>
          </w:p>
        </w:tc>
        <w:tc>
          <w:tcPr>
            <w:tcW w:w="740" w:type="dxa"/>
            <w:vAlign w:val="bottom"/>
            <w:tcBorders>
              <w:right w:val="single" w:sz="8" w:color="auto"/>
            </w:tcBorders>
          </w:tcPr>
          <w:p>
            <w:pPr>
              <w:jc w:val="right"/>
              <w:ind w:right="13"/>
              <w:spacing w:after="0" w:line="131" w:lineRule="exact"/>
              <w:rPr>
                <w:sz w:val="20"/>
                <w:szCs w:val="20"/>
                <w:color w:val="auto"/>
              </w:rPr>
            </w:pPr>
            <w:r>
              <w:rPr>
                <w:rFonts w:ascii="Arial" w:cs="Arial" w:eastAsia="Arial" w:hAnsi="Arial"/>
                <w:sz w:val="14"/>
                <w:szCs w:val="14"/>
                <w:color w:val="auto"/>
                <w:w w:val="99"/>
              </w:rPr>
              <w:t>%Chg per</w:t>
            </w: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Borders>
              <w:right w:val="single" w:sz="8" w:color="auto"/>
            </w:tcBorders>
          </w:tcPr>
          <w:p>
            <w:pPr>
              <w:jc w:val="right"/>
              <w:ind w:right="33"/>
              <w:spacing w:after="0" w:line="131" w:lineRule="exact"/>
              <w:rPr>
                <w:sz w:val="20"/>
                <w:szCs w:val="20"/>
                <w:color w:val="auto"/>
              </w:rPr>
            </w:pPr>
            <w:r>
              <w:rPr>
                <w:rFonts w:ascii="Arial" w:cs="Arial" w:eastAsia="Arial" w:hAnsi="Arial"/>
                <w:sz w:val="14"/>
                <w:szCs w:val="14"/>
                <w:color w:val="auto"/>
              </w:rPr>
              <w:t>%Chg</w:t>
            </w:r>
          </w:p>
        </w:tc>
      </w:tr>
      <w:tr>
        <w:trPr>
          <w:trHeight w:val="159"/>
        </w:trPr>
        <w:tc>
          <w:tcPr>
            <w:tcW w:w="6300" w:type="dxa"/>
            <w:vAlign w:val="bottom"/>
            <w:tcBorders>
              <w:left w:val="single" w:sz="8" w:color="auto"/>
              <w:bottom w:val="single" w:sz="8" w:color="auto"/>
              <w:right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800" w:type="dxa"/>
            <w:vAlign w:val="bottom"/>
            <w:tcBorders>
              <w:bottom w:val="single" w:sz="8" w:color="auto"/>
            </w:tcBorders>
          </w:tcPr>
          <w:p>
            <w:pPr>
              <w:jc w:val="right"/>
              <w:ind w:right="53"/>
              <w:spacing w:after="0" w:line="159" w:lineRule="exact"/>
              <w:rPr>
                <w:sz w:val="20"/>
                <w:szCs w:val="20"/>
                <w:color w:val="auto"/>
              </w:rPr>
            </w:pPr>
            <w:r>
              <w:rPr>
                <w:rFonts w:ascii="Arial" w:cs="Arial" w:eastAsia="Arial" w:hAnsi="Arial"/>
                <w:sz w:val="14"/>
                <w:szCs w:val="14"/>
                <w:color w:val="auto"/>
              </w:rPr>
              <w:t>2009</w:t>
            </w:r>
          </w:p>
        </w:tc>
        <w:tc>
          <w:tcPr>
            <w:tcW w:w="5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8"/>
              </w:rPr>
              <w:t>Volume</w:t>
            </w:r>
          </w:p>
        </w:tc>
        <w:tc>
          <w:tcPr>
            <w:tcW w:w="740" w:type="dxa"/>
            <w:vAlign w:val="bottom"/>
            <w:tcBorders>
              <w:bottom w:val="single" w:sz="8" w:color="auto"/>
              <w:right w:val="single" w:sz="8" w:color="auto"/>
            </w:tcBorders>
          </w:tcPr>
          <w:p>
            <w:pPr>
              <w:jc w:val="right"/>
              <w:ind w:right="13"/>
              <w:spacing w:after="0" w:line="159" w:lineRule="exact"/>
              <w:rPr>
                <w:sz w:val="20"/>
                <w:szCs w:val="20"/>
                <w:color w:val="auto"/>
              </w:rPr>
            </w:pPr>
            <w:r>
              <w:rPr>
                <w:rFonts w:ascii="Arial" w:cs="Arial" w:eastAsia="Arial" w:hAnsi="Arial"/>
                <w:sz w:val="14"/>
                <w:szCs w:val="14"/>
                <w:color w:val="auto"/>
              </w:rPr>
              <w:t>S/D</w:t>
            </w:r>
          </w:p>
        </w:tc>
        <w:tc>
          <w:tcPr>
            <w:tcW w:w="840" w:type="dxa"/>
            <w:vAlign w:val="bottom"/>
            <w:tcBorders>
              <w:bottom w:val="single" w:sz="8" w:color="auto"/>
            </w:tcBorders>
          </w:tcPr>
          <w:p>
            <w:pPr>
              <w:jc w:val="right"/>
              <w:ind w:right="13"/>
              <w:spacing w:after="0" w:line="159" w:lineRule="exact"/>
              <w:rPr>
                <w:sz w:val="20"/>
                <w:szCs w:val="20"/>
                <w:color w:val="auto"/>
              </w:rPr>
            </w:pPr>
            <w:r>
              <w:rPr>
                <w:rFonts w:ascii="Arial" w:cs="Arial" w:eastAsia="Arial" w:hAnsi="Arial"/>
                <w:sz w:val="14"/>
                <w:szCs w:val="14"/>
                <w:color w:val="auto"/>
              </w:rPr>
              <w:t>2010</w:t>
            </w:r>
          </w:p>
        </w:tc>
        <w:tc>
          <w:tcPr>
            <w:tcW w:w="7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2009</w:t>
            </w:r>
          </w:p>
        </w:tc>
        <w:tc>
          <w:tcPr>
            <w:tcW w:w="640" w:type="dxa"/>
            <w:vAlign w:val="bottom"/>
            <w:tcBorders>
              <w:bottom w:val="single" w:sz="8" w:color="auto"/>
              <w:right w:val="single" w:sz="8" w:color="auto"/>
            </w:tcBorders>
          </w:tcPr>
          <w:p>
            <w:pPr>
              <w:jc w:val="right"/>
              <w:ind w:right="33"/>
              <w:spacing w:after="0" w:line="159" w:lineRule="exact"/>
              <w:rPr>
                <w:sz w:val="20"/>
                <w:szCs w:val="20"/>
                <w:color w:val="auto"/>
              </w:rPr>
            </w:pPr>
            <w:r>
              <w:rPr>
                <w:rFonts w:ascii="Arial" w:cs="Arial" w:eastAsia="Arial" w:hAnsi="Arial"/>
                <w:sz w:val="14"/>
                <w:szCs w:val="14"/>
                <w:color w:val="auto"/>
              </w:rPr>
              <w:t>Volume</w:t>
            </w:r>
          </w:p>
        </w:tc>
      </w:tr>
      <w:tr>
        <w:trPr>
          <w:trHeight w:val="210"/>
        </w:trPr>
        <w:tc>
          <w:tcPr>
            <w:tcW w:w="630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Selling Days (S/D)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26</w:t>
            </w:r>
          </w:p>
        </w:tc>
        <w:tc>
          <w:tcPr>
            <w:tcW w:w="5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Enclave</w:t>
            </w:r>
          </w:p>
        </w:tc>
        <w:tc>
          <w:tcPr>
            <w:tcW w:w="820" w:type="dxa"/>
            <w:vAlign w:val="bottom"/>
          </w:tcPr>
          <w:p>
            <w:pPr>
              <w:jc w:val="right"/>
              <w:spacing w:after="0"/>
              <w:rPr>
                <w:sz w:val="20"/>
                <w:szCs w:val="20"/>
                <w:color w:val="auto"/>
              </w:rPr>
            </w:pPr>
            <w:r>
              <w:rPr>
                <w:rFonts w:ascii="Arial" w:cs="Arial" w:eastAsia="Arial" w:hAnsi="Arial"/>
                <w:sz w:val="18"/>
                <w:szCs w:val="18"/>
                <w:color w:val="auto"/>
              </w:rPr>
              <w:t>4,715</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4,103</w:t>
            </w:r>
          </w:p>
        </w:tc>
        <w:tc>
          <w:tcPr>
            <w:tcW w:w="520" w:type="dxa"/>
            <w:vAlign w:val="bottom"/>
          </w:tcPr>
          <w:p>
            <w:pPr>
              <w:jc w:val="right"/>
              <w:spacing w:after="0"/>
              <w:rPr>
                <w:sz w:val="20"/>
                <w:szCs w:val="20"/>
                <w:color w:val="auto"/>
              </w:rPr>
            </w:pPr>
            <w:r>
              <w:rPr>
                <w:rFonts w:ascii="Arial" w:cs="Arial" w:eastAsia="Arial" w:hAnsi="Arial"/>
                <w:sz w:val="18"/>
                <w:szCs w:val="18"/>
                <w:color w:val="auto"/>
              </w:rPr>
              <w:t>14.9</w:t>
            </w:r>
          </w:p>
        </w:tc>
        <w:tc>
          <w:tcPr>
            <w:tcW w:w="7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14.9</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21,686</w:t>
            </w:r>
          </w:p>
        </w:tc>
        <w:tc>
          <w:tcPr>
            <w:tcW w:w="760" w:type="dxa"/>
            <w:vAlign w:val="bottom"/>
          </w:tcPr>
          <w:p>
            <w:pPr>
              <w:jc w:val="right"/>
              <w:spacing w:after="0"/>
              <w:rPr>
                <w:sz w:val="20"/>
                <w:szCs w:val="20"/>
                <w:color w:val="auto"/>
              </w:rPr>
            </w:pPr>
            <w:r>
              <w:rPr>
                <w:rFonts w:ascii="Arial" w:cs="Arial" w:eastAsia="Arial" w:hAnsi="Arial"/>
                <w:sz w:val="18"/>
                <w:szCs w:val="18"/>
                <w:color w:val="auto"/>
              </w:rPr>
              <w:t>17,105</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26.8</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LaCrosse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5,452</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1,748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211.9</w:t>
            </w:r>
          </w:p>
        </w:tc>
        <w:tc>
          <w:tcPr>
            <w:tcW w:w="7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211.9</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25,033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213.8</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Lucerne</w:t>
            </w:r>
          </w:p>
        </w:tc>
        <w:tc>
          <w:tcPr>
            <w:tcW w:w="820" w:type="dxa"/>
            <w:vAlign w:val="bottom"/>
          </w:tcPr>
          <w:p>
            <w:pPr>
              <w:jc w:val="right"/>
              <w:spacing w:after="0"/>
              <w:rPr>
                <w:sz w:val="20"/>
                <w:szCs w:val="20"/>
                <w:color w:val="auto"/>
              </w:rPr>
            </w:pPr>
            <w:r>
              <w:rPr>
                <w:rFonts w:ascii="Arial" w:cs="Arial" w:eastAsia="Arial" w:hAnsi="Arial"/>
                <w:sz w:val="18"/>
                <w:szCs w:val="18"/>
                <w:color w:val="auto"/>
              </w:rPr>
              <w:t>2,265</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3,307</w:t>
            </w:r>
          </w:p>
        </w:tc>
        <w:tc>
          <w:tcPr>
            <w:tcW w:w="520" w:type="dxa"/>
            <w:vAlign w:val="bottom"/>
          </w:tcPr>
          <w:p>
            <w:pPr>
              <w:jc w:val="right"/>
              <w:spacing w:after="0"/>
              <w:rPr>
                <w:sz w:val="20"/>
                <w:szCs w:val="20"/>
                <w:color w:val="auto"/>
              </w:rPr>
            </w:pPr>
            <w:r>
              <w:rPr>
                <w:rFonts w:ascii="Arial" w:cs="Arial" w:eastAsia="Arial" w:hAnsi="Arial"/>
                <w:sz w:val="18"/>
                <w:szCs w:val="18"/>
                <w:color w:val="auto"/>
              </w:rPr>
              <w:t>-31.5</w:t>
            </w:r>
          </w:p>
        </w:tc>
        <w:tc>
          <w:tcPr>
            <w:tcW w:w="7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-31.5</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10,030</w:t>
            </w:r>
          </w:p>
        </w:tc>
        <w:tc>
          <w:tcPr>
            <w:tcW w:w="760" w:type="dxa"/>
            <w:vAlign w:val="bottom"/>
          </w:tcPr>
          <w:p>
            <w:pPr>
              <w:jc w:val="right"/>
              <w:spacing w:after="0"/>
              <w:rPr>
                <w:sz w:val="20"/>
                <w:szCs w:val="20"/>
                <w:color w:val="auto"/>
              </w:rPr>
            </w:pPr>
            <w:r>
              <w:rPr>
                <w:rFonts w:ascii="Arial" w:cs="Arial" w:eastAsia="Arial" w:hAnsi="Arial"/>
                <w:sz w:val="18"/>
                <w:szCs w:val="18"/>
                <w:color w:val="auto"/>
              </w:rPr>
              <w:t>13,516</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-25.8</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Rainier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Regal</w:t>
            </w:r>
          </w:p>
        </w:tc>
        <w:tc>
          <w:tcPr>
            <w:tcW w:w="820" w:type="dxa"/>
            <w:vAlign w:val="bottom"/>
          </w:tcPr>
          <w:p>
            <w:pPr>
              <w:jc w:val="right"/>
              <w:spacing w:after="0"/>
              <w:rPr>
                <w:sz w:val="20"/>
                <w:szCs w:val="20"/>
                <w:color w:val="auto"/>
              </w:rPr>
            </w:pPr>
            <w:r>
              <w:rPr>
                <w:rFonts w:ascii="Arial" w:cs="Arial" w:eastAsia="Arial" w:hAnsi="Arial"/>
                <w:sz w:val="18"/>
                <w:szCs w:val="18"/>
                <w:color w:val="auto"/>
              </w:rPr>
              <w:t>150</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Rendezvous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Terraza</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Buick 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12,582</w:t>
            </w: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9,160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7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37.4</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56,899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38,622</w:t>
            </w:r>
          </w:p>
        </w:tc>
        <w:tc>
          <w:tcPr>
            <w:tcW w:w="6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47.3</w:t>
            </w:r>
          </w:p>
        </w:tc>
      </w:tr>
      <w:tr>
        <w:trPr>
          <w:trHeight w:val="210"/>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CTS</w:t>
            </w:r>
          </w:p>
        </w:tc>
        <w:tc>
          <w:tcPr>
            <w:tcW w:w="820" w:type="dxa"/>
            <w:vAlign w:val="bottom"/>
          </w:tcPr>
          <w:p>
            <w:pPr>
              <w:jc w:val="right"/>
              <w:spacing w:after="0"/>
              <w:rPr>
                <w:sz w:val="20"/>
                <w:szCs w:val="20"/>
                <w:color w:val="auto"/>
              </w:rPr>
            </w:pPr>
            <w:r>
              <w:rPr>
                <w:rFonts w:ascii="Arial" w:cs="Arial" w:eastAsia="Arial" w:hAnsi="Arial"/>
                <w:sz w:val="18"/>
                <w:szCs w:val="18"/>
                <w:color w:val="auto"/>
              </w:rPr>
              <w:t>3,489</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2,914</w:t>
            </w:r>
          </w:p>
        </w:tc>
        <w:tc>
          <w:tcPr>
            <w:tcW w:w="520" w:type="dxa"/>
            <w:vAlign w:val="bottom"/>
          </w:tcPr>
          <w:p>
            <w:pPr>
              <w:jc w:val="right"/>
              <w:spacing w:after="0"/>
              <w:rPr>
                <w:sz w:val="20"/>
                <w:szCs w:val="20"/>
                <w:color w:val="auto"/>
              </w:rPr>
            </w:pPr>
            <w:r>
              <w:rPr>
                <w:rFonts w:ascii="Arial" w:cs="Arial" w:eastAsia="Arial" w:hAnsi="Arial"/>
                <w:sz w:val="18"/>
                <w:szCs w:val="18"/>
                <w:color w:val="auto"/>
              </w:rPr>
              <w:t>19.7</w:t>
            </w:r>
          </w:p>
        </w:tc>
        <w:tc>
          <w:tcPr>
            <w:tcW w:w="7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19.7</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14,892</w:t>
            </w:r>
          </w:p>
        </w:tc>
        <w:tc>
          <w:tcPr>
            <w:tcW w:w="760" w:type="dxa"/>
            <w:vAlign w:val="bottom"/>
          </w:tcPr>
          <w:p>
            <w:pPr>
              <w:jc w:val="right"/>
              <w:spacing w:after="0"/>
              <w:rPr>
                <w:sz w:val="20"/>
                <w:szCs w:val="20"/>
                <w:color w:val="auto"/>
              </w:rPr>
            </w:pPr>
            <w:r>
              <w:rPr>
                <w:rFonts w:ascii="Arial" w:cs="Arial" w:eastAsia="Arial" w:hAnsi="Arial"/>
                <w:sz w:val="18"/>
                <w:szCs w:val="18"/>
                <w:color w:val="auto"/>
              </w:rPr>
              <w:t>17,366</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-14.2</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1,520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7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48.9</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7,423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14.5</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Escalade</w:t>
            </w:r>
          </w:p>
        </w:tc>
        <w:tc>
          <w:tcPr>
            <w:tcW w:w="820" w:type="dxa"/>
            <w:vAlign w:val="bottom"/>
          </w:tcPr>
          <w:p>
            <w:pPr>
              <w:jc w:val="right"/>
              <w:spacing w:after="0"/>
              <w:rPr>
                <w:sz w:val="20"/>
                <w:szCs w:val="20"/>
                <w:color w:val="auto"/>
              </w:rPr>
            </w:pPr>
            <w:r>
              <w:rPr>
                <w:rFonts w:ascii="Arial" w:cs="Arial" w:eastAsia="Arial" w:hAnsi="Arial"/>
                <w:sz w:val="18"/>
                <w:szCs w:val="18"/>
                <w:color w:val="auto"/>
              </w:rPr>
              <w:t>1,332</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1,831</w:t>
            </w:r>
          </w:p>
        </w:tc>
        <w:tc>
          <w:tcPr>
            <w:tcW w:w="520" w:type="dxa"/>
            <w:vAlign w:val="bottom"/>
          </w:tcPr>
          <w:p>
            <w:pPr>
              <w:jc w:val="right"/>
              <w:spacing w:after="0"/>
              <w:rPr>
                <w:sz w:val="20"/>
                <w:szCs w:val="20"/>
                <w:color w:val="auto"/>
              </w:rPr>
            </w:pPr>
            <w:r>
              <w:rPr>
                <w:rFonts w:ascii="Arial" w:cs="Arial" w:eastAsia="Arial" w:hAnsi="Arial"/>
                <w:sz w:val="18"/>
                <w:szCs w:val="18"/>
                <w:color w:val="auto"/>
              </w:rPr>
              <w:t>-27.3</w:t>
            </w:r>
          </w:p>
        </w:tc>
        <w:tc>
          <w:tcPr>
            <w:tcW w:w="7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-27.3</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6,506</w:t>
            </w:r>
          </w:p>
        </w:tc>
        <w:tc>
          <w:tcPr>
            <w:tcW w:w="760" w:type="dxa"/>
            <w:vAlign w:val="bottom"/>
          </w:tcPr>
          <w:p>
            <w:pPr>
              <w:jc w:val="right"/>
              <w:spacing w:after="0"/>
              <w:rPr>
                <w:sz w:val="20"/>
                <w:szCs w:val="20"/>
                <w:color w:val="auto"/>
              </w:rPr>
            </w:pPr>
            <w:r>
              <w:rPr>
                <w:rFonts w:ascii="Arial" w:cs="Arial" w:eastAsia="Arial" w:hAnsi="Arial"/>
                <w:sz w:val="18"/>
                <w:szCs w:val="18"/>
                <w:color w:val="auto"/>
              </w:rPr>
              <w:t>6,506</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0.0</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Escalade ESV</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372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7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51.9</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2,781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13.6</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Escalade EXT</w:t>
            </w:r>
          </w:p>
        </w:tc>
        <w:tc>
          <w:tcPr>
            <w:tcW w:w="820" w:type="dxa"/>
            <w:vAlign w:val="bottom"/>
          </w:tcPr>
          <w:p>
            <w:pPr>
              <w:jc w:val="right"/>
              <w:spacing w:after="0"/>
              <w:rPr>
                <w:sz w:val="20"/>
                <w:szCs w:val="20"/>
                <w:color w:val="auto"/>
              </w:rPr>
            </w:pPr>
            <w:r>
              <w:rPr>
                <w:rFonts w:ascii="Arial" w:cs="Arial" w:eastAsia="Arial" w:hAnsi="Arial"/>
                <w:sz w:val="18"/>
                <w:szCs w:val="18"/>
                <w:color w:val="auto"/>
              </w:rPr>
              <w:t>136</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143</w:t>
            </w: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7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-4.9</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666</w:t>
            </w:r>
          </w:p>
        </w:tc>
        <w:tc>
          <w:tcPr>
            <w:tcW w:w="760" w:type="dxa"/>
            <w:vAlign w:val="bottom"/>
          </w:tcPr>
          <w:p>
            <w:pPr>
              <w:jc w:val="right"/>
              <w:spacing w:after="0"/>
              <w:rPr>
                <w:sz w:val="20"/>
                <w:szCs w:val="20"/>
                <w:color w:val="auto"/>
              </w:rPr>
            </w:pPr>
            <w:r>
              <w:rPr>
                <w:rFonts w:ascii="Arial" w:cs="Arial" w:eastAsia="Arial" w:hAnsi="Arial"/>
                <w:sz w:val="18"/>
                <w:szCs w:val="18"/>
                <w:color w:val="auto"/>
              </w:rPr>
              <w:t>1,072</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-37.9</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SRX</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541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654.3</w:t>
            </w:r>
          </w:p>
        </w:tc>
        <w:tc>
          <w:tcPr>
            <w:tcW w:w="7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654.3</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18,851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493.2</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STS</w:t>
            </w:r>
          </w:p>
        </w:tc>
        <w:tc>
          <w:tcPr>
            <w:tcW w:w="820" w:type="dxa"/>
            <w:vAlign w:val="bottom"/>
          </w:tcPr>
          <w:p>
            <w:pPr>
              <w:jc w:val="right"/>
              <w:spacing w:after="0"/>
              <w:rPr>
                <w:sz w:val="20"/>
                <w:szCs w:val="20"/>
                <w:color w:val="auto"/>
              </w:rPr>
            </w:pPr>
            <w:r>
              <w:rPr>
                <w:rFonts w:ascii="Arial" w:cs="Arial" w:eastAsia="Arial" w:hAnsi="Arial"/>
                <w:sz w:val="18"/>
                <w:szCs w:val="18"/>
                <w:color w:val="auto"/>
              </w:rPr>
              <w:t>441</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637</w:t>
            </w:r>
          </w:p>
        </w:tc>
        <w:tc>
          <w:tcPr>
            <w:tcW w:w="520" w:type="dxa"/>
            <w:vAlign w:val="bottom"/>
          </w:tcPr>
          <w:p>
            <w:pPr>
              <w:jc w:val="right"/>
              <w:spacing w:after="0"/>
              <w:rPr>
                <w:sz w:val="20"/>
                <w:szCs w:val="20"/>
                <w:color w:val="auto"/>
              </w:rPr>
            </w:pPr>
            <w:r>
              <w:rPr>
                <w:rFonts w:ascii="Arial" w:cs="Arial" w:eastAsia="Arial" w:hAnsi="Arial"/>
                <w:sz w:val="18"/>
                <w:szCs w:val="18"/>
                <w:color w:val="auto"/>
              </w:rPr>
              <w:t>-30.8</w:t>
            </w:r>
          </w:p>
        </w:tc>
        <w:tc>
          <w:tcPr>
            <w:tcW w:w="7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-30.8</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1,736</w:t>
            </w:r>
          </w:p>
        </w:tc>
        <w:tc>
          <w:tcPr>
            <w:tcW w:w="760" w:type="dxa"/>
            <w:vAlign w:val="bottom"/>
          </w:tcPr>
          <w:p>
            <w:pPr>
              <w:jc w:val="right"/>
              <w:spacing w:after="0"/>
              <w:rPr>
                <w:sz w:val="20"/>
                <w:szCs w:val="20"/>
                <w:color w:val="auto"/>
              </w:rPr>
            </w:pPr>
            <w:r>
              <w:rPr>
                <w:rFonts w:ascii="Arial" w:cs="Arial" w:eastAsia="Arial" w:hAnsi="Arial"/>
                <w:sz w:val="18"/>
                <w:szCs w:val="18"/>
                <w:color w:val="auto"/>
              </w:rPr>
              <w:t>2,694</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-35.6</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XLR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7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-69.6</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-60.8</w:t>
            </w:r>
          </w:p>
        </w:tc>
      </w:tr>
      <w:tr>
        <w:trPr>
          <w:trHeight w:val="216"/>
        </w:trPr>
        <w:tc>
          <w:tcPr>
            <w:tcW w:w="6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Cadillac 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12,328</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8,027</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7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53.6</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52,997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40,110</w:t>
            </w:r>
          </w:p>
        </w:tc>
        <w:tc>
          <w:tcPr>
            <w:tcW w:w="6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32.1</w:t>
            </w:r>
          </w:p>
        </w:tc>
      </w:tr>
      <w:tr>
        <w:trPr>
          <w:trHeight w:val="210"/>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Avalanche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1,021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7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87.0</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7,459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28.6</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Aveo</w:t>
            </w:r>
          </w:p>
        </w:tc>
        <w:tc>
          <w:tcPr>
            <w:tcW w:w="820" w:type="dxa"/>
            <w:vAlign w:val="bottom"/>
          </w:tcPr>
          <w:p>
            <w:pPr>
              <w:jc w:val="right"/>
              <w:spacing w:after="0"/>
              <w:rPr>
                <w:sz w:val="20"/>
                <w:szCs w:val="20"/>
                <w:color w:val="auto"/>
              </w:rPr>
            </w:pPr>
            <w:r>
              <w:rPr>
                <w:rFonts w:ascii="Arial" w:cs="Arial" w:eastAsia="Arial" w:hAnsi="Arial"/>
                <w:sz w:val="18"/>
                <w:szCs w:val="18"/>
                <w:color w:val="auto"/>
              </w:rPr>
              <w:t>3,888</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2,067</w:t>
            </w:r>
          </w:p>
        </w:tc>
        <w:tc>
          <w:tcPr>
            <w:tcW w:w="520" w:type="dxa"/>
            <w:vAlign w:val="bottom"/>
          </w:tcPr>
          <w:p>
            <w:pPr>
              <w:jc w:val="right"/>
              <w:spacing w:after="0"/>
              <w:rPr>
                <w:sz w:val="20"/>
                <w:szCs w:val="20"/>
                <w:color w:val="auto"/>
              </w:rPr>
            </w:pPr>
            <w:r>
              <w:rPr>
                <w:rFonts w:ascii="Arial" w:cs="Arial" w:eastAsia="Arial" w:hAnsi="Arial"/>
                <w:sz w:val="18"/>
                <w:szCs w:val="18"/>
                <w:color w:val="auto"/>
              </w:rPr>
              <w:t>88.1</w:t>
            </w:r>
          </w:p>
        </w:tc>
        <w:tc>
          <w:tcPr>
            <w:tcW w:w="7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88.1</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14,749</w:t>
            </w:r>
          </w:p>
        </w:tc>
        <w:tc>
          <w:tcPr>
            <w:tcW w:w="760" w:type="dxa"/>
            <w:vAlign w:val="bottom"/>
          </w:tcPr>
          <w:p>
            <w:pPr>
              <w:jc w:val="right"/>
              <w:spacing w:after="0"/>
              <w:rPr>
                <w:sz w:val="20"/>
                <w:szCs w:val="20"/>
                <w:color w:val="auto"/>
              </w:rPr>
            </w:pPr>
            <w:r>
              <w:rPr>
                <w:rFonts w:ascii="Arial" w:cs="Arial" w:eastAsia="Arial" w:hAnsi="Arial"/>
                <w:sz w:val="18"/>
                <w:szCs w:val="18"/>
                <w:color w:val="auto"/>
              </w:rPr>
              <w:t>9,669</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52.5</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Camaro</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5,463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7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63.5</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38,838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539.1</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Chevy C/T Series</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200.0</w:t>
            </w:r>
          </w:p>
        </w:tc>
        <w:tc>
          <w:tcPr>
            <w:tcW w:w="7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200.0</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-46.2</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Chevy W Series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7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-53.3</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-49.5</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Cobalt</w:t>
            </w:r>
          </w:p>
        </w:tc>
        <w:tc>
          <w:tcPr>
            <w:tcW w:w="820" w:type="dxa"/>
            <w:vAlign w:val="bottom"/>
          </w:tcPr>
          <w:p>
            <w:pPr>
              <w:jc w:val="right"/>
              <w:spacing w:after="0"/>
              <w:rPr>
                <w:sz w:val="20"/>
                <w:szCs w:val="20"/>
                <w:color w:val="auto"/>
              </w:rPr>
            </w:pPr>
            <w:r>
              <w:rPr>
                <w:rFonts w:ascii="Arial" w:cs="Arial" w:eastAsia="Arial" w:hAnsi="Arial"/>
                <w:sz w:val="18"/>
                <w:szCs w:val="18"/>
                <w:color w:val="auto"/>
              </w:rPr>
              <w:t>16,173</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12,764</w:t>
            </w:r>
          </w:p>
        </w:tc>
        <w:tc>
          <w:tcPr>
            <w:tcW w:w="520" w:type="dxa"/>
            <w:vAlign w:val="bottom"/>
          </w:tcPr>
          <w:p>
            <w:pPr>
              <w:jc w:val="right"/>
              <w:spacing w:after="0"/>
              <w:rPr>
                <w:sz w:val="20"/>
                <w:szCs w:val="20"/>
                <w:color w:val="auto"/>
              </w:rPr>
            </w:pPr>
            <w:r>
              <w:rPr>
                <w:rFonts w:ascii="Arial" w:cs="Arial" w:eastAsia="Arial" w:hAnsi="Arial"/>
                <w:sz w:val="18"/>
                <w:szCs w:val="18"/>
                <w:color w:val="auto"/>
              </w:rPr>
              <w:t>26.7</w:t>
            </w:r>
          </w:p>
        </w:tc>
        <w:tc>
          <w:tcPr>
            <w:tcW w:w="7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26.7</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67,253</w:t>
            </w:r>
          </w:p>
        </w:tc>
        <w:tc>
          <w:tcPr>
            <w:tcW w:w="760" w:type="dxa"/>
            <w:vAlign w:val="bottom"/>
          </w:tcPr>
          <w:p>
            <w:pPr>
              <w:jc w:val="right"/>
              <w:spacing w:after="0"/>
              <w:rPr>
                <w:sz w:val="20"/>
                <w:szCs w:val="20"/>
                <w:color w:val="auto"/>
              </w:rPr>
            </w:pPr>
            <w:r>
              <w:rPr>
                <w:rFonts w:ascii="Arial" w:cs="Arial" w:eastAsia="Arial" w:hAnsi="Arial"/>
                <w:sz w:val="18"/>
                <w:szCs w:val="18"/>
                <w:color w:val="auto"/>
              </w:rPr>
              <w:t>44,829</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50.0</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Colorado</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3,610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7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-29.8</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9,776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13,999</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-30.2</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Corvette</w:t>
            </w:r>
          </w:p>
        </w:tc>
        <w:tc>
          <w:tcPr>
            <w:tcW w:w="820" w:type="dxa"/>
            <w:vAlign w:val="bottom"/>
          </w:tcPr>
          <w:p>
            <w:pPr>
              <w:jc w:val="right"/>
              <w:spacing w:after="0"/>
              <w:rPr>
                <w:sz w:val="20"/>
                <w:szCs w:val="20"/>
                <w:color w:val="auto"/>
              </w:rPr>
            </w:pPr>
            <w:r>
              <w:rPr>
                <w:rFonts w:ascii="Arial" w:cs="Arial" w:eastAsia="Arial" w:hAnsi="Arial"/>
                <w:sz w:val="18"/>
                <w:szCs w:val="18"/>
                <w:color w:val="auto"/>
              </w:rPr>
              <w:t>1,428</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1,643</w:t>
            </w:r>
          </w:p>
        </w:tc>
        <w:tc>
          <w:tcPr>
            <w:tcW w:w="520" w:type="dxa"/>
            <w:vAlign w:val="bottom"/>
          </w:tcPr>
          <w:p>
            <w:pPr>
              <w:jc w:val="right"/>
              <w:spacing w:after="0"/>
              <w:rPr>
                <w:sz w:val="20"/>
                <w:szCs w:val="20"/>
                <w:color w:val="auto"/>
              </w:rPr>
            </w:pPr>
            <w:r>
              <w:rPr>
                <w:rFonts w:ascii="Arial" w:cs="Arial" w:eastAsia="Arial" w:hAnsi="Arial"/>
                <w:sz w:val="18"/>
                <w:szCs w:val="18"/>
                <w:color w:val="auto"/>
              </w:rPr>
              <w:t>-13.1</w:t>
            </w:r>
          </w:p>
        </w:tc>
        <w:tc>
          <w:tcPr>
            <w:tcW w:w="7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-13.1</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4,950</w:t>
            </w:r>
          </w:p>
        </w:tc>
        <w:tc>
          <w:tcPr>
            <w:tcW w:w="760" w:type="dxa"/>
            <w:vAlign w:val="bottom"/>
          </w:tcPr>
          <w:p>
            <w:pPr>
              <w:jc w:val="right"/>
              <w:spacing w:after="0"/>
              <w:rPr>
                <w:sz w:val="20"/>
                <w:szCs w:val="20"/>
                <w:color w:val="auto"/>
              </w:rPr>
            </w:pPr>
            <w:r>
              <w:rPr>
                <w:rFonts w:ascii="Arial" w:cs="Arial" w:eastAsia="Arial" w:hAnsi="Arial"/>
                <w:sz w:val="18"/>
                <w:szCs w:val="18"/>
                <w:color w:val="auto"/>
              </w:rPr>
              <w:t>6,102</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-18.9</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Equinox</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13,134</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3,689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256.0</w:t>
            </w:r>
          </w:p>
        </w:tc>
        <w:tc>
          <w:tcPr>
            <w:tcW w:w="7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256.0</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55,500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21,043</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163.7</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Express</w:t>
            </w:r>
          </w:p>
        </w:tc>
        <w:tc>
          <w:tcPr>
            <w:tcW w:w="820" w:type="dxa"/>
            <w:vAlign w:val="bottom"/>
          </w:tcPr>
          <w:p>
            <w:pPr>
              <w:jc w:val="right"/>
              <w:spacing w:after="0"/>
              <w:rPr>
                <w:sz w:val="20"/>
                <w:szCs w:val="20"/>
                <w:color w:val="auto"/>
              </w:rPr>
            </w:pPr>
            <w:r>
              <w:rPr>
                <w:rFonts w:ascii="Arial" w:cs="Arial" w:eastAsia="Arial" w:hAnsi="Arial"/>
                <w:sz w:val="18"/>
                <w:szCs w:val="18"/>
                <w:color w:val="auto"/>
              </w:rPr>
              <w:t>6,247</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5,988</w:t>
            </w: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7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4.3</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21,724</w:t>
            </w:r>
          </w:p>
        </w:tc>
        <w:tc>
          <w:tcPr>
            <w:tcW w:w="760" w:type="dxa"/>
            <w:vAlign w:val="bottom"/>
          </w:tcPr>
          <w:p>
            <w:pPr>
              <w:jc w:val="right"/>
              <w:spacing w:after="0"/>
              <w:rPr>
                <w:sz w:val="20"/>
                <w:szCs w:val="20"/>
                <w:color w:val="auto"/>
              </w:rPr>
            </w:pPr>
            <w:r>
              <w:rPr>
                <w:rFonts w:ascii="Arial" w:cs="Arial" w:eastAsia="Arial" w:hAnsi="Arial"/>
                <w:sz w:val="18"/>
                <w:szCs w:val="18"/>
                <w:color w:val="auto"/>
              </w:rPr>
              <w:t>20,846</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4.2</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HHR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10,412</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9,671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7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7.7</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32,072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24,531</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30.7</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Impala</w:t>
            </w:r>
          </w:p>
        </w:tc>
        <w:tc>
          <w:tcPr>
            <w:tcW w:w="820" w:type="dxa"/>
            <w:vAlign w:val="bottom"/>
          </w:tcPr>
          <w:p>
            <w:pPr>
              <w:jc w:val="right"/>
              <w:spacing w:after="0"/>
              <w:rPr>
                <w:sz w:val="20"/>
                <w:szCs w:val="20"/>
                <w:color w:val="auto"/>
              </w:rPr>
            </w:pPr>
            <w:r>
              <w:rPr>
                <w:rFonts w:ascii="Arial" w:cs="Arial" w:eastAsia="Arial" w:hAnsi="Arial"/>
                <w:sz w:val="18"/>
                <w:szCs w:val="18"/>
                <w:color w:val="auto"/>
              </w:rPr>
              <w:t>20,623</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18,709</w:t>
            </w:r>
          </w:p>
        </w:tc>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7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10.2</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75,040</w:t>
            </w:r>
          </w:p>
        </w:tc>
        <w:tc>
          <w:tcPr>
            <w:tcW w:w="760" w:type="dxa"/>
            <w:vAlign w:val="bottom"/>
          </w:tcPr>
          <w:p>
            <w:pPr>
              <w:jc w:val="right"/>
              <w:spacing w:after="0"/>
              <w:rPr>
                <w:sz w:val="20"/>
                <w:szCs w:val="20"/>
                <w:color w:val="auto"/>
              </w:rPr>
            </w:pPr>
            <w:r>
              <w:rPr>
                <w:rFonts w:ascii="Arial" w:cs="Arial" w:eastAsia="Arial" w:hAnsi="Arial"/>
                <w:sz w:val="18"/>
                <w:szCs w:val="18"/>
                <w:color w:val="auto"/>
              </w:rPr>
              <w:t>63,756</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17.7</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Kodiak 4/5 Series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321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7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-53.6</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791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-51.3</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Kodiak 6/7/8 Series</w:t>
            </w: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73</w:t>
            </w:r>
          </w:p>
        </w:tc>
        <w:tc>
          <w:tcPr>
            <w:tcW w:w="520" w:type="dxa"/>
            <w:vAlign w:val="bottom"/>
          </w:tcPr>
          <w:p>
            <w:pPr>
              <w:jc w:val="right"/>
              <w:spacing w:after="0"/>
              <w:rPr>
                <w:sz w:val="20"/>
                <w:szCs w:val="20"/>
                <w:color w:val="auto"/>
              </w:rPr>
            </w:pPr>
            <w:r>
              <w:rPr>
                <w:rFonts w:ascii="Arial" w:cs="Arial" w:eastAsia="Arial" w:hAnsi="Arial"/>
                <w:sz w:val="18"/>
                <w:szCs w:val="18"/>
                <w:color w:val="auto"/>
              </w:rPr>
              <w:t>-46.6</w:t>
            </w:r>
          </w:p>
        </w:tc>
        <w:tc>
          <w:tcPr>
            <w:tcW w:w="7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-46.6</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119</w:t>
            </w:r>
          </w:p>
        </w:tc>
        <w:tc>
          <w:tcPr>
            <w:tcW w:w="760" w:type="dxa"/>
            <w:vAlign w:val="bottom"/>
          </w:tcPr>
          <w:p>
            <w:pPr>
              <w:jc w:val="right"/>
              <w:spacing w:after="0"/>
              <w:rPr>
                <w:sz w:val="20"/>
                <w:szCs w:val="20"/>
                <w:color w:val="auto"/>
              </w:rPr>
            </w:pPr>
            <w:r>
              <w:rPr>
                <w:rFonts w:ascii="Arial" w:cs="Arial" w:eastAsia="Arial" w:hAnsi="Arial"/>
                <w:sz w:val="18"/>
                <w:szCs w:val="18"/>
                <w:color w:val="auto"/>
              </w:rPr>
              <w:t>452</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-73.7</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Malibu</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21,722</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14,098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7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54.1</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87,597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64,363</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36.1</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Monte Carlo</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Silverado-C/K Pickup</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33,690</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31,463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7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7.1</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135,788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125,183</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8.5</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Suburban (Chevy)</w:t>
            </w:r>
          </w:p>
        </w:tc>
        <w:tc>
          <w:tcPr>
            <w:tcW w:w="820" w:type="dxa"/>
            <w:vAlign w:val="bottom"/>
          </w:tcPr>
          <w:p>
            <w:pPr>
              <w:jc w:val="right"/>
              <w:spacing w:after="0"/>
              <w:rPr>
                <w:sz w:val="20"/>
                <w:szCs w:val="20"/>
                <w:color w:val="auto"/>
              </w:rPr>
            </w:pPr>
            <w:r>
              <w:rPr>
                <w:rFonts w:ascii="Arial" w:cs="Arial" w:eastAsia="Arial" w:hAnsi="Arial"/>
                <w:sz w:val="18"/>
                <w:szCs w:val="18"/>
                <w:color w:val="auto"/>
              </w:rPr>
              <w:t>5,279</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2,631</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100.6</w:t>
            </w:r>
          </w:p>
        </w:tc>
        <w:tc>
          <w:tcPr>
            <w:tcW w:w="7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100.6</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18,246</w:t>
            </w:r>
          </w:p>
        </w:tc>
        <w:tc>
          <w:tcPr>
            <w:tcW w:w="760" w:type="dxa"/>
            <w:vAlign w:val="bottom"/>
          </w:tcPr>
          <w:p>
            <w:pPr>
              <w:jc w:val="right"/>
              <w:spacing w:after="0"/>
              <w:rPr>
                <w:sz w:val="20"/>
                <w:szCs w:val="20"/>
                <w:color w:val="auto"/>
              </w:rPr>
            </w:pPr>
            <w:r>
              <w:rPr>
                <w:rFonts w:ascii="Arial" w:cs="Arial" w:eastAsia="Arial" w:hAnsi="Arial"/>
                <w:sz w:val="18"/>
                <w:szCs w:val="18"/>
                <w:color w:val="auto"/>
              </w:rPr>
              <w:t>12,763</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43.0</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Tahoe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6,306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7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49.0</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29,881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28,101</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TrailBlazer</w:t>
            </w: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739</w:t>
            </w:r>
          </w:p>
        </w:tc>
        <w:tc>
          <w:tcPr>
            <w:tcW w:w="520" w:type="dxa"/>
            <w:vAlign w:val="bottom"/>
          </w:tcPr>
          <w:p>
            <w:pPr>
              <w:jc w:val="right"/>
              <w:spacing w:after="0"/>
              <w:rPr>
                <w:sz w:val="20"/>
                <w:szCs w:val="20"/>
                <w:color w:val="auto"/>
              </w:rPr>
            </w:pPr>
            <w:r>
              <w:rPr>
                <w:rFonts w:ascii="Arial" w:cs="Arial" w:eastAsia="Arial" w:hAnsi="Arial"/>
                <w:sz w:val="18"/>
                <w:szCs w:val="18"/>
                <w:color w:val="auto"/>
              </w:rPr>
              <w:t>-98.6</w:t>
            </w:r>
          </w:p>
        </w:tc>
        <w:tc>
          <w:tcPr>
            <w:tcW w:w="7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-98.6</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154</w:t>
            </w:r>
          </w:p>
        </w:tc>
        <w:tc>
          <w:tcPr>
            <w:tcW w:w="760" w:type="dxa"/>
            <w:vAlign w:val="bottom"/>
          </w:tcPr>
          <w:p>
            <w:pPr>
              <w:jc w:val="right"/>
              <w:spacing w:after="0"/>
              <w:rPr>
                <w:sz w:val="20"/>
                <w:szCs w:val="20"/>
                <w:color w:val="auto"/>
              </w:rPr>
            </w:pPr>
            <w:r>
              <w:rPr>
                <w:rFonts w:ascii="Arial" w:cs="Arial" w:eastAsia="Arial" w:hAnsi="Arial"/>
                <w:sz w:val="18"/>
                <w:szCs w:val="18"/>
                <w:color w:val="auto"/>
              </w:rPr>
              <w:t>6,138</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-97.5</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Traverse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11,641</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7,045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7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65.2</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40,900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33,390</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22.5</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Uplander</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163</w:t>
            </w:r>
          </w:p>
        </w:tc>
        <w:tc>
          <w:tcPr>
            <w:tcW w:w="520" w:type="dxa"/>
            <w:vAlign w:val="bottom"/>
          </w:tcPr>
          <w:p>
            <w:pPr>
              <w:jc w:val="right"/>
              <w:spacing w:after="0"/>
              <w:rPr>
                <w:sz w:val="20"/>
                <w:szCs w:val="20"/>
                <w:color w:val="auto"/>
              </w:rPr>
            </w:pPr>
            <w:r>
              <w:rPr>
                <w:rFonts w:ascii="Arial" w:cs="Arial" w:eastAsia="Arial" w:hAnsi="Arial"/>
                <w:sz w:val="18"/>
                <w:szCs w:val="18"/>
                <w:color w:val="auto"/>
              </w:rPr>
              <w:t>-97.5</w:t>
            </w:r>
          </w:p>
        </w:tc>
        <w:tc>
          <w:tcPr>
            <w:tcW w:w="7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-97.5</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760" w:type="dxa"/>
            <w:vAlign w:val="bottom"/>
          </w:tcPr>
          <w:p>
            <w:pPr>
              <w:jc w:val="right"/>
              <w:spacing w:after="0"/>
              <w:rPr>
                <w:sz w:val="20"/>
                <w:szCs w:val="20"/>
                <w:color w:val="auto"/>
              </w:rPr>
            </w:pPr>
            <w:r>
              <w:rPr>
                <w:rFonts w:ascii="Arial" w:cs="Arial" w:eastAsia="Arial" w:hAnsi="Arial"/>
                <w:sz w:val="18"/>
                <w:szCs w:val="18"/>
                <w:color w:val="auto"/>
              </w:rPr>
              <w:t>1,213</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-95.5</w:t>
            </w:r>
          </w:p>
        </w:tc>
      </w:tr>
      <w:tr>
        <w:trPr>
          <w:trHeight w:val="216"/>
        </w:trPr>
        <w:tc>
          <w:tcPr>
            <w:tcW w:w="63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Chevrolet 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167,235</w:t>
            </w: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8"/>
              </w:rPr>
              <w:t>127,510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7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31.2</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641,062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490,220</w:t>
            </w:r>
          </w:p>
        </w:tc>
        <w:tc>
          <w:tcPr>
            <w:tcW w:w="6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30.8</w:t>
            </w:r>
          </w:p>
        </w:tc>
      </w:tr>
      <w:tr>
        <w:trPr>
          <w:trHeight w:val="210"/>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Acadia</w:t>
            </w:r>
          </w:p>
        </w:tc>
        <w:tc>
          <w:tcPr>
            <w:tcW w:w="820" w:type="dxa"/>
            <w:vAlign w:val="bottom"/>
          </w:tcPr>
          <w:p>
            <w:pPr>
              <w:jc w:val="right"/>
              <w:spacing w:after="0"/>
              <w:rPr>
                <w:sz w:val="20"/>
                <w:szCs w:val="20"/>
                <w:color w:val="auto"/>
              </w:rPr>
            </w:pPr>
            <w:r>
              <w:rPr>
                <w:rFonts w:ascii="Arial" w:cs="Arial" w:eastAsia="Arial" w:hAnsi="Arial"/>
                <w:sz w:val="18"/>
                <w:szCs w:val="18"/>
                <w:color w:val="auto"/>
              </w:rPr>
              <w:t>5,823</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4,974</w:t>
            </w:r>
          </w:p>
        </w:tc>
        <w:tc>
          <w:tcPr>
            <w:tcW w:w="520" w:type="dxa"/>
            <w:vAlign w:val="bottom"/>
          </w:tcPr>
          <w:p>
            <w:pPr>
              <w:jc w:val="right"/>
              <w:spacing w:after="0"/>
              <w:rPr>
                <w:sz w:val="20"/>
                <w:szCs w:val="20"/>
                <w:color w:val="auto"/>
              </w:rPr>
            </w:pPr>
            <w:r>
              <w:rPr>
                <w:rFonts w:ascii="Arial" w:cs="Arial" w:eastAsia="Arial" w:hAnsi="Arial"/>
                <w:sz w:val="18"/>
                <w:szCs w:val="18"/>
                <w:color w:val="auto"/>
              </w:rPr>
              <w:t>17.1</w:t>
            </w:r>
          </w:p>
        </w:tc>
        <w:tc>
          <w:tcPr>
            <w:tcW w:w="7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17.1</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29,462</w:t>
            </w:r>
          </w:p>
        </w:tc>
        <w:tc>
          <w:tcPr>
            <w:tcW w:w="760" w:type="dxa"/>
            <w:vAlign w:val="bottom"/>
          </w:tcPr>
          <w:p>
            <w:pPr>
              <w:jc w:val="right"/>
              <w:spacing w:after="0"/>
              <w:rPr>
                <w:sz w:val="20"/>
                <w:szCs w:val="20"/>
                <w:color w:val="auto"/>
              </w:rPr>
            </w:pPr>
            <w:r>
              <w:rPr>
                <w:rFonts w:ascii="Arial" w:cs="Arial" w:eastAsia="Arial" w:hAnsi="Arial"/>
                <w:sz w:val="18"/>
                <w:szCs w:val="18"/>
                <w:color w:val="auto"/>
              </w:rPr>
              <w:t>22,726</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29.6</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Canyon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1,140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7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-43.9</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2,991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-32.5</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Envoy</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465</w:t>
            </w:r>
          </w:p>
        </w:tc>
        <w:tc>
          <w:tcPr>
            <w:tcW w:w="520" w:type="dxa"/>
            <w:vAlign w:val="bottom"/>
          </w:tcPr>
          <w:p>
            <w:pPr>
              <w:jc w:val="right"/>
              <w:spacing w:after="0"/>
              <w:rPr>
                <w:sz w:val="20"/>
                <w:szCs w:val="20"/>
                <w:color w:val="auto"/>
              </w:rPr>
            </w:pPr>
            <w:r>
              <w:rPr>
                <w:rFonts w:ascii="Arial" w:cs="Arial" w:eastAsia="Arial" w:hAnsi="Arial"/>
                <w:sz w:val="18"/>
                <w:szCs w:val="18"/>
                <w:color w:val="auto"/>
              </w:rPr>
              <w:t>-98.7</w:t>
            </w:r>
          </w:p>
        </w:tc>
        <w:tc>
          <w:tcPr>
            <w:tcW w:w="7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-98.7</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57</w:t>
            </w:r>
          </w:p>
        </w:tc>
        <w:tc>
          <w:tcPr>
            <w:tcW w:w="760" w:type="dxa"/>
            <w:vAlign w:val="bottom"/>
          </w:tcPr>
          <w:p>
            <w:pPr>
              <w:jc w:val="right"/>
              <w:spacing w:after="0"/>
              <w:rPr>
                <w:sz w:val="20"/>
                <w:szCs w:val="20"/>
                <w:color w:val="auto"/>
              </w:rPr>
            </w:pPr>
            <w:r>
              <w:rPr>
                <w:rFonts w:ascii="Arial" w:cs="Arial" w:eastAsia="Arial" w:hAnsi="Arial"/>
                <w:sz w:val="18"/>
                <w:szCs w:val="18"/>
                <w:color w:val="auto"/>
              </w:rPr>
              <w:t>2,931</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-98.1</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GMC C/T Series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7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-75.0</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-71.2</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GMC W Series</w:t>
            </w: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150</w:t>
            </w:r>
          </w:p>
        </w:tc>
        <w:tc>
          <w:tcPr>
            <w:tcW w:w="520" w:type="dxa"/>
            <w:vAlign w:val="bottom"/>
          </w:tcPr>
          <w:p>
            <w:pPr>
              <w:jc w:val="right"/>
              <w:spacing w:after="0"/>
              <w:rPr>
                <w:sz w:val="20"/>
                <w:szCs w:val="20"/>
                <w:color w:val="auto"/>
              </w:rPr>
            </w:pPr>
            <w:r>
              <w:rPr>
                <w:rFonts w:ascii="Arial" w:cs="Arial" w:eastAsia="Arial" w:hAnsi="Arial"/>
                <w:sz w:val="18"/>
                <w:szCs w:val="18"/>
                <w:color w:val="auto"/>
              </w:rPr>
              <w:t>-74.0</w:t>
            </w:r>
          </w:p>
        </w:tc>
        <w:tc>
          <w:tcPr>
            <w:tcW w:w="7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-74.0</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245</w:t>
            </w:r>
          </w:p>
        </w:tc>
        <w:tc>
          <w:tcPr>
            <w:tcW w:w="760" w:type="dxa"/>
            <w:vAlign w:val="bottom"/>
          </w:tcPr>
          <w:p>
            <w:pPr>
              <w:jc w:val="right"/>
              <w:spacing w:after="0"/>
              <w:rPr>
                <w:sz w:val="20"/>
                <w:szCs w:val="20"/>
                <w:color w:val="auto"/>
              </w:rPr>
            </w:pPr>
            <w:r>
              <w:rPr>
                <w:rFonts w:ascii="Arial" w:cs="Arial" w:eastAsia="Arial" w:hAnsi="Arial"/>
                <w:sz w:val="18"/>
                <w:szCs w:val="18"/>
                <w:color w:val="auto"/>
              </w:rPr>
              <w:t>663</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-63.0</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Savana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1,619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7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-7.7</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5,390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-20.7</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Sierra</w:t>
            </w:r>
          </w:p>
        </w:tc>
        <w:tc>
          <w:tcPr>
            <w:tcW w:w="820" w:type="dxa"/>
            <w:vAlign w:val="bottom"/>
          </w:tcPr>
          <w:p>
            <w:pPr>
              <w:jc w:val="right"/>
              <w:spacing w:after="0"/>
              <w:rPr>
                <w:sz w:val="20"/>
                <w:szCs w:val="20"/>
                <w:color w:val="auto"/>
              </w:rPr>
            </w:pPr>
            <w:r>
              <w:rPr>
                <w:rFonts w:ascii="Arial" w:cs="Arial" w:eastAsia="Arial" w:hAnsi="Arial"/>
                <w:sz w:val="18"/>
                <w:szCs w:val="18"/>
                <w:color w:val="auto"/>
              </w:rPr>
              <w:t>11,305</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10,272</w:t>
            </w:r>
          </w:p>
        </w:tc>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7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10.1</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44,167</w:t>
            </w:r>
          </w:p>
        </w:tc>
        <w:tc>
          <w:tcPr>
            <w:tcW w:w="760" w:type="dxa"/>
            <w:vAlign w:val="bottom"/>
          </w:tcPr>
          <w:p>
            <w:pPr>
              <w:jc w:val="right"/>
              <w:spacing w:after="0"/>
              <w:rPr>
                <w:sz w:val="20"/>
                <w:szCs w:val="20"/>
                <w:color w:val="auto"/>
              </w:rPr>
            </w:pPr>
            <w:r>
              <w:rPr>
                <w:rFonts w:ascii="Arial" w:cs="Arial" w:eastAsia="Arial" w:hAnsi="Arial"/>
                <w:sz w:val="18"/>
                <w:szCs w:val="18"/>
                <w:color w:val="auto"/>
              </w:rPr>
              <w:t>41,053</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7.6</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Terrain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22,512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Topkick 4/5 Series</w:t>
            </w: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234</w:t>
            </w:r>
          </w:p>
        </w:tc>
        <w:tc>
          <w:tcPr>
            <w:tcW w:w="520" w:type="dxa"/>
            <w:vAlign w:val="bottom"/>
          </w:tcPr>
          <w:p>
            <w:pPr>
              <w:jc w:val="right"/>
              <w:spacing w:after="0"/>
              <w:rPr>
                <w:sz w:val="20"/>
                <w:szCs w:val="20"/>
                <w:color w:val="auto"/>
              </w:rPr>
            </w:pPr>
            <w:r>
              <w:rPr>
                <w:rFonts w:ascii="Arial" w:cs="Arial" w:eastAsia="Arial" w:hAnsi="Arial"/>
                <w:sz w:val="18"/>
                <w:szCs w:val="18"/>
                <w:color w:val="auto"/>
              </w:rPr>
              <w:t>-63.2</w:t>
            </w:r>
          </w:p>
        </w:tc>
        <w:tc>
          <w:tcPr>
            <w:tcW w:w="7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-63.2</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663</w:t>
            </w:r>
          </w:p>
        </w:tc>
        <w:tc>
          <w:tcPr>
            <w:tcW w:w="760" w:type="dxa"/>
            <w:vAlign w:val="bottom"/>
          </w:tcPr>
          <w:p>
            <w:pPr>
              <w:jc w:val="right"/>
              <w:spacing w:after="0"/>
              <w:rPr>
                <w:sz w:val="20"/>
                <w:szCs w:val="20"/>
                <w:color w:val="auto"/>
              </w:rPr>
            </w:pPr>
            <w:r>
              <w:rPr>
                <w:rFonts w:ascii="Arial" w:cs="Arial" w:eastAsia="Arial" w:hAnsi="Arial"/>
                <w:sz w:val="18"/>
                <w:szCs w:val="18"/>
                <w:color w:val="auto"/>
              </w:rPr>
              <w:t>1,014</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-34.6</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Topkick 6/7/8 Series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7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-53.9</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-72.5</w:t>
            </w:r>
          </w:p>
        </w:tc>
      </w:tr>
      <w:tr>
        <w:trPr>
          <w:trHeight w:val="216"/>
        </w:trPr>
        <w:tc>
          <w:tcPr>
            <w:tcW w:w="63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Yukon</w:t>
            </w:r>
          </w:p>
        </w:tc>
        <w:tc>
          <w:tcPr>
            <w:tcW w:w="820" w:type="dxa"/>
            <w:vAlign w:val="bottom"/>
          </w:tcPr>
          <w:p>
            <w:pPr>
              <w:jc w:val="right"/>
              <w:spacing w:after="0"/>
              <w:rPr>
                <w:sz w:val="20"/>
                <w:szCs w:val="20"/>
                <w:color w:val="auto"/>
              </w:rPr>
            </w:pPr>
            <w:r>
              <w:rPr>
                <w:rFonts w:ascii="Arial" w:cs="Arial" w:eastAsia="Arial" w:hAnsi="Arial"/>
                <w:sz w:val="18"/>
                <w:szCs w:val="18"/>
                <w:color w:val="auto"/>
              </w:rPr>
              <w:t>2,782</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3,979</w:t>
            </w:r>
          </w:p>
        </w:tc>
        <w:tc>
          <w:tcPr>
            <w:tcW w:w="520" w:type="dxa"/>
            <w:vAlign w:val="bottom"/>
          </w:tcPr>
          <w:p>
            <w:pPr>
              <w:jc w:val="right"/>
              <w:spacing w:after="0"/>
              <w:rPr>
                <w:sz w:val="20"/>
                <w:szCs w:val="20"/>
                <w:color w:val="auto"/>
              </w:rPr>
            </w:pPr>
            <w:r>
              <w:rPr>
                <w:rFonts w:ascii="Arial" w:cs="Arial" w:eastAsia="Arial" w:hAnsi="Arial"/>
                <w:sz w:val="18"/>
                <w:szCs w:val="18"/>
                <w:color w:val="auto"/>
              </w:rPr>
              <w:t>-30.1</w:t>
            </w:r>
          </w:p>
        </w:tc>
        <w:tc>
          <w:tcPr>
            <w:tcW w:w="7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-30.1</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9,551</w:t>
            </w:r>
          </w:p>
        </w:tc>
        <w:tc>
          <w:tcPr>
            <w:tcW w:w="760" w:type="dxa"/>
            <w:vAlign w:val="bottom"/>
          </w:tcPr>
          <w:p>
            <w:pPr>
              <w:jc w:val="right"/>
              <w:spacing w:after="0"/>
              <w:rPr>
                <w:sz w:val="20"/>
                <w:szCs w:val="20"/>
                <w:color w:val="auto"/>
              </w:rPr>
            </w:pPr>
            <w:r>
              <w:rPr>
                <w:rFonts w:ascii="Arial" w:cs="Arial" w:eastAsia="Arial" w:hAnsi="Arial"/>
                <w:sz w:val="18"/>
                <w:szCs w:val="18"/>
                <w:color w:val="auto"/>
              </w:rPr>
              <w:t>12,521</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-23.7</w:t>
            </w:r>
          </w:p>
        </w:tc>
      </w:tr>
      <w:tr>
        <w:trPr>
          <w:trHeight w:val="216"/>
        </w:trPr>
        <w:tc>
          <w:tcPr>
            <w:tcW w:w="63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Yukon XL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923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201.1</w:t>
            </w:r>
          </w:p>
        </w:tc>
        <w:tc>
          <w:tcPr>
            <w:tcW w:w="7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201.1</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8,486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64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48.6</w:t>
            </w:r>
          </w:p>
        </w:tc>
      </w:tr>
      <w:tr>
        <w:trPr>
          <w:trHeight w:val="216"/>
        </w:trPr>
        <w:tc>
          <w:tcPr>
            <w:tcW w:w="63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1"/>
              </w:rPr>
              <w:t>GMC 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30,160</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23,926</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7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26.1</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123,791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98,803</w:t>
            </w:r>
          </w:p>
        </w:tc>
        <w:tc>
          <w:tcPr>
            <w:tcW w:w="6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25.3</w:t>
            </w:r>
          </w:p>
        </w:tc>
      </w:tr>
      <w:tr>
        <w:trPr>
          <w:trHeight w:val="210"/>
        </w:trPr>
        <w:tc>
          <w:tcPr>
            <w:tcW w:w="63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Brand 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222,305</w:t>
            </w: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w w:val="98"/>
              </w:rPr>
              <w:t>168,623</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c>
          <w:tcPr>
            <w:tcW w:w="7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31.8</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874,749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667,755</w:t>
            </w:r>
          </w:p>
        </w:tc>
        <w:tc>
          <w:tcPr>
            <w:tcW w:w="6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31.0</w:t>
            </w:r>
          </w:p>
        </w:tc>
      </w:tr>
      <w:tr>
        <w:trPr>
          <w:trHeight w:val="210"/>
        </w:trPr>
        <w:tc>
          <w:tcPr>
            <w:tcW w:w="63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5"/>
              </w:rPr>
              <w:t>HUMMER 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1,094</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7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17.9</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2,626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w:t>
            </w:r>
          </w:p>
        </w:tc>
        <w:tc>
          <w:tcPr>
            <w:tcW w:w="6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-48.6</w:t>
            </w:r>
          </w:p>
        </w:tc>
      </w:tr>
      <w:tr>
        <w:trPr>
          <w:trHeight w:val="210"/>
        </w:trPr>
        <w:tc>
          <w:tcPr>
            <w:tcW w:w="630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7"/>
              </w:rPr>
              <w:t>Pontiac 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13,329</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7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-98.6</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65,054</w:t>
            </w:r>
          </w:p>
        </w:tc>
        <w:tc>
          <w:tcPr>
            <w:tcW w:w="6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-98.7</w:t>
            </w:r>
          </w:p>
        </w:tc>
      </w:tr>
      <w:tr>
        <w:trPr>
          <w:trHeight w:val="210"/>
        </w:trPr>
        <w:tc>
          <w:tcPr>
            <w:tcW w:w="63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Saab 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783</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w:t>
            </w:r>
          </w:p>
        </w:tc>
        <w:tc>
          <w:tcPr>
            <w:tcW w:w="6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-86.8</w:t>
            </w:r>
          </w:p>
        </w:tc>
      </w:tr>
      <w:tr>
        <w:trPr>
          <w:trHeight w:val="210"/>
        </w:trPr>
        <w:tc>
          <w:tcPr>
            <w:tcW w:w="63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Saturn 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8,046</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7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-99.4</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6,343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35,256</w:t>
            </w:r>
          </w:p>
        </w:tc>
        <w:tc>
          <w:tcPr>
            <w:tcW w:w="6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-82.0</w:t>
            </w:r>
          </w:p>
        </w:tc>
      </w:tr>
      <w:tr>
        <w:trPr>
          <w:trHeight w:val="210"/>
        </w:trPr>
        <w:tc>
          <w:tcPr>
            <w:tcW w:w="630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91"/>
              </w:rPr>
              <w:t>Other Brand 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1,517</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23,252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-93.5</w:t>
            </w:r>
          </w:p>
        </w:tc>
        <w:tc>
          <w:tcPr>
            <w:tcW w:w="7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-93.5</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10,392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110,030</w:t>
            </w:r>
          </w:p>
        </w:tc>
        <w:tc>
          <w:tcPr>
            <w:tcW w:w="6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-90.6</w:t>
            </w:r>
          </w:p>
        </w:tc>
      </w:tr>
      <w:tr>
        <w:trPr>
          <w:trHeight w:val="210"/>
        </w:trPr>
        <w:tc>
          <w:tcPr>
            <w:tcW w:w="630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b w:val="1"/>
                <w:bCs w:val="1"/>
                <w:color w:val="auto"/>
                <w:w w:val="93"/>
              </w:rPr>
              <w:t>GM 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223,822</w:t>
            </w: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w w:val="98"/>
              </w:rPr>
              <w:t>191,875</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7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16.6</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885,141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777,785</w:t>
            </w:r>
          </w:p>
        </w:tc>
        <w:tc>
          <w:tcPr>
            <w:tcW w:w="64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13.8</w:t>
            </w:r>
          </w:p>
        </w:tc>
      </w:tr>
      <w:tr>
        <w:trPr>
          <w:trHeight w:val="410"/>
        </w:trPr>
        <w:tc>
          <w:tcPr>
            <w:tcW w:w="6300" w:type="dxa"/>
            <w:vAlign w:val="bottom"/>
          </w:tcPr>
          <w:p>
            <w:pPr>
              <w:spacing w:after="0"/>
              <w:rPr>
                <w:sz w:val="20"/>
                <w:szCs w:val="20"/>
                <w:color w:val="auto"/>
              </w:rPr>
            </w:pPr>
            <w:r>
              <w:rPr>
                <w:rFonts w:ascii="Arial" w:cs="Arial" w:eastAsia="Arial" w:hAnsi="Arial"/>
                <w:sz w:val="18"/>
                <w:szCs w:val="18"/>
                <w:color w:val="auto"/>
              </w:rPr>
              <w:t>Sales Reporting and Data Management</w:t>
            </w: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gridSpan w:val="2"/>
          </w:tcPr>
          <w:p>
            <w:pPr>
              <w:jc w:val="right"/>
              <w:ind w:right="53"/>
              <w:spacing w:after="0"/>
              <w:rPr>
                <w:sz w:val="20"/>
                <w:szCs w:val="20"/>
                <w:color w:val="auto"/>
              </w:rPr>
            </w:pPr>
            <w:r>
              <w:rPr>
                <w:rFonts w:ascii="Arial" w:cs="Arial" w:eastAsia="Arial" w:hAnsi="Arial"/>
                <w:sz w:val="18"/>
                <w:szCs w:val="18"/>
                <w:color w:val="auto"/>
              </w:rPr>
              <w:t>Page 2 of 2</w:t>
            </w:r>
          </w:p>
        </w:tc>
      </w:tr>
    </w:tbl>
    <w:p>
      <w:pPr>
        <w:spacing w:after="0" w:line="1" w:lineRule="exact"/>
        <w:rPr>
          <w:sz w:val="20"/>
          <w:szCs w:val="20"/>
          <w:color w:val="auto"/>
        </w:rPr>
      </w:pPr>
    </w:p>
    <w:sectPr>
      <w:pgSz w:w="11900" w:h="16838" w:orient="portrait"/>
      <w:cols w:equalWidth="0" w:num="1">
        <w:col w:w="11420"/>
      </w:cols>
      <w:pgMar w:left="240" w:top="274" w:right="239" w:bottom="115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2019-12-11T05:19:30Z</dcterms:created>
  <dcterms:modified xsi:type="dcterms:W3CDTF">2019-12-11T05:19:30Z</dcterms:modified>
</cp:coreProperties>
</file>