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Detroit, Michigan 48265-3000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Item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Entry Into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-215900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04" w:space="500"/>
            <w:col w:w="9720"/>
          </w:cols>
          <w:pgMar w:left="436" w:top="297" w:right="539" w:bottom="1440" w:gutter="0" w:footer="0" w:header="0"/>
        </w:sectPr>
      </w:pPr>
    </w:p>
    <w:p>
      <w:pPr>
        <w:ind w:left="4"/>
        <w:spacing w:after="0"/>
        <w:rPr>
          <w:sz w:val="20"/>
          <w:szCs w:val="20"/>
          <w:color w:val="auto"/>
        </w:rPr>
      </w:pPr>
      <w:r>
        <w:rPr>
          <w:rFonts w:ascii="Arial" w:cs="Arial" w:eastAsia="Arial" w:hAnsi="Arial"/>
          <w:sz w:val="15"/>
          <w:szCs w:val="15"/>
          <w:color w:val="auto"/>
        </w:rPr>
        <w:t>See Item 2.03 below.</w:t>
      </w:r>
    </w:p>
    <w:p>
      <w:pPr>
        <w:sectPr>
          <w:pgSz w:w="11900" w:h="16838" w:orient="portrait"/>
          <w:cols w:equalWidth="0" w:num="1">
            <w:col w:w="10924"/>
          </w:cols>
          <w:pgMar w:left="436" w:top="297" w:right="5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2.03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44" w:lineRule="exact"/>
        <w:rPr>
          <w:sz w:val="20"/>
          <w:szCs w:val="20"/>
          <w:color w:val="auto"/>
        </w:rPr>
      </w:pPr>
    </w:p>
    <w:p>
      <w:pPr>
        <w:sectPr>
          <w:pgSz w:w="11900" w:h="16838" w:orient="portrait"/>
          <w:cols w:equalWidth="0" w:num="2">
            <w:col w:w="704" w:space="500"/>
            <w:col w:w="9720"/>
          </w:cols>
          <w:pgMar w:left="436" w:top="297" w:right="539" w:bottom="1440" w:gutter="0" w:footer="0" w:header="0"/>
          <w:type w:val="continuous"/>
        </w:sectPr>
      </w:pPr>
    </w:p>
    <w:p>
      <w:pPr>
        <w:ind w:left="4"/>
        <w:spacing w:after="0" w:line="263" w:lineRule="auto"/>
        <w:rPr>
          <w:sz w:val="20"/>
          <w:szCs w:val="20"/>
          <w:color w:val="auto"/>
        </w:rPr>
      </w:pPr>
      <w:r>
        <w:rPr>
          <w:rFonts w:ascii="Arial" w:cs="Arial" w:eastAsia="Arial" w:hAnsi="Arial"/>
          <w:sz w:val="18"/>
          <w:szCs w:val="18"/>
          <w:color w:val="auto"/>
        </w:rPr>
        <w:t>On October 3, 2023, General Motors Company (“GM”) entered into a new 364-Day Revolving Credit Agreement with JPMorgan Chase Bank, N.A., as administrative agent, and the other lenders named therein (the “Facility”). The Facility is unsecured, provides available borrowing capacity of $6.0 billion, and matures on October 1, 2024.</w:t>
      </w:r>
    </w:p>
    <w:p>
      <w:pPr>
        <w:spacing w:after="0" w:line="184" w:lineRule="exact"/>
        <w:rPr>
          <w:sz w:val="20"/>
          <w:szCs w:val="20"/>
          <w:color w:val="auto"/>
        </w:rPr>
      </w:pPr>
    </w:p>
    <w:p>
      <w:pPr>
        <w:jc w:val="both"/>
        <w:ind w:left="4" w:right="360"/>
        <w:spacing w:after="0" w:line="263" w:lineRule="auto"/>
        <w:rPr>
          <w:sz w:val="20"/>
          <w:szCs w:val="20"/>
          <w:color w:val="auto"/>
        </w:rPr>
      </w:pPr>
      <w:r>
        <w:rPr>
          <w:rFonts w:ascii="Arial" w:cs="Arial" w:eastAsia="Arial" w:hAnsi="Arial"/>
          <w:sz w:val="18"/>
          <w:szCs w:val="18"/>
          <w:color w:val="auto"/>
        </w:rPr>
        <w:t>Interest rates on obligations under the Facility are based on prevailing annual interest rates for Term SOFR loans, Daily Simple SOFR loans or an alternative base rate, each subject to an applicable margin. This applicable margin will be based upon the credit rating assigned to the Facility or to senior, unsecured long-term indebtedness of GM.</w:t>
      </w:r>
    </w:p>
    <w:p>
      <w:pPr>
        <w:spacing w:after="0" w:line="184"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The Facility contains representations, warranties and covenants that are typical for these types of facilities. These covenants include restrictions on mergers or sales of assets, limitations on the incurrence of indebtedness and requirements for subsidiaries to guarantee the obligations, in each case subject to conditions, exceptions and limitations. The Facility also requires that GM maintain at least $4.0 billion in global liquidity and at least $2.0 billion in U.S. liquidity.</w:t>
      </w:r>
    </w:p>
    <w:p>
      <w:pPr>
        <w:spacing w:after="0" w:line="187" w:lineRule="exact"/>
        <w:rPr>
          <w:sz w:val="20"/>
          <w:szCs w:val="20"/>
          <w:color w:val="auto"/>
        </w:rPr>
      </w:pPr>
    </w:p>
    <w:p>
      <w:pPr>
        <w:ind w:left="4" w:right="120"/>
        <w:spacing w:after="0" w:line="342" w:lineRule="auto"/>
        <w:rPr>
          <w:sz w:val="20"/>
          <w:szCs w:val="20"/>
          <w:color w:val="auto"/>
        </w:rPr>
      </w:pPr>
      <w:r>
        <w:rPr>
          <w:rFonts w:ascii="Arial" w:cs="Arial" w:eastAsia="Arial" w:hAnsi="Arial"/>
          <w:sz w:val="16"/>
          <w:szCs w:val="16"/>
          <w:color w:val="auto"/>
        </w:rPr>
        <w:t>Some of the lenders under the Facility,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24"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The foregoing description does not constitute a complete summary of the Facility and is qualified by reference in its entirety to the full text of the Facility filed herewith.</w:t>
      </w:r>
    </w:p>
    <w:p>
      <w:pPr>
        <w:spacing w:after="0" w:line="31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280" w:type="dxa"/>
            <w:vAlign w:val="bottom"/>
            <w:gridSpan w:val="2"/>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2"/>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5"/>
              </w:rPr>
              <w:t>Exhibit</w:t>
            </w:r>
          </w:p>
        </w:tc>
        <w:tc>
          <w:tcPr>
            <w:tcW w:w="5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r>
    </w:tbl>
    <w:p>
      <w:pPr>
        <w:spacing w:after="0" w:line="94" w:lineRule="exact"/>
        <w:rPr>
          <w:sz w:val="20"/>
          <w:szCs w:val="20"/>
          <w:color w:val="auto"/>
        </w:rPr>
      </w:pPr>
    </w:p>
    <w:p>
      <w:pPr>
        <w:ind w:left="784" w:right="60" w:hanging="782"/>
        <w:spacing w:after="0" w:line="277" w:lineRule="auto"/>
        <w:tabs>
          <w:tab w:leader="none" w:pos="76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EE"/>
        </w:rPr>
        <w:t>364-Day Revolving Credit Agreement, dated as of October 3, 2023, among General Motors Company, the several lenders from time to time parties thereto, and JPMorgan Chase Bank, N.A., as administrative agent</w:t>
      </w:r>
    </w:p>
    <w:p>
      <w:pPr>
        <w:spacing w:after="0" w:line="62" w:lineRule="exact"/>
        <w:rPr>
          <w:sz w:val="20"/>
          <w:szCs w:val="20"/>
          <w:color w:val="auto"/>
        </w:rPr>
      </w:pPr>
    </w:p>
    <w:p>
      <w:pPr>
        <w:ind w:left="4"/>
        <w:spacing w:after="0"/>
        <w:tabs>
          <w:tab w:leader="none" w:pos="7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52" w:lineRule="exact"/>
        <w:rPr>
          <w:sz w:val="20"/>
          <w:szCs w:val="20"/>
          <w:color w:val="auto"/>
        </w:rPr>
      </w:pPr>
    </w:p>
    <w:p>
      <w:pPr>
        <w:ind w:left="424" w:right="32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0924"/>
          </w:cols>
          <w:pgMar w:left="436" w:top="297" w:right="5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56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Kim</w:t>
            </w: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Date: October 4, 2023</w:t>
            </w:r>
          </w:p>
        </w:tc>
        <w:tc>
          <w:tcPr>
            <w:tcW w:w="2600" w:type="dxa"/>
            <w:vAlign w:val="bottom"/>
          </w:tcPr>
          <w:p>
            <w:pPr>
              <w:ind w:left="19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Kim</w:t>
            </w:r>
          </w:p>
        </w:tc>
      </w:tr>
      <w:tr>
        <w:trPr>
          <w:trHeight w:val="230"/>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ectPr>
          <w:pgSz w:w="11900" w:h="16838" w:orient="portrait"/>
          <w:cols w:equalWidth="0" w:num="1">
            <w:col w:w="11020"/>
          </w:cols>
          <w:pgMar w:left="440" w:top="297" w:right="439" w:bottom="1440" w:gutter="0" w:footer="0" w:header="0"/>
        </w:sectPr>
      </w:pPr>
    </w:p>
    <w:bookmarkStart w:id="3" w:name="page4"/>
    <w:bookmarkEnd w:id="3"/>
    <w:p>
      <w:pPr>
        <w:ind w:left="98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gridSpan w:val="3"/>
          </w:tcPr>
          <w:p>
            <w:pPr>
              <w:ind w:left="1480"/>
              <w:spacing w:after="0"/>
              <w:rPr>
                <w:sz w:val="20"/>
                <w:szCs w:val="20"/>
                <w:color w:val="auto"/>
              </w:rPr>
            </w:pPr>
            <w:r>
              <w:rPr>
                <w:rFonts w:ascii="Arial" w:cs="Arial" w:eastAsia="Arial" w:hAnsi="Arial"/>
                <w:sz w:val="18"/>
                <w:szCs w:val="18"/>
                <w:b w:val="1"/>
                <w:bCs w:val="1"/>
                <w:color w:val="auto"/>
              </w:rPr>
              <w:t>EXECUTION VERSION</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7"/>
              </w:rPr>
              <w:t>364-DAY REVOLVING CREDIT AGREEMENT</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20" w:type="dxa"/>
            <w:vAlign w:val="bottom"/>
            <w:gridSpan w:val="2"/>
          </w:tcPr>
          <w:p>
            <w:pPr>
              <w:jc w:val="center"/>
              <w:ind w:right="1630"/>
              <w:spacing w:after="0"/>
              <w:rPr>
                <w:sz w:val="20"/>
                <w:szCs w:val="20"/>
                <w:color w:val="auto"/>
              </w:rPr>
            </w:pPr>
            <w:r>
              <w:rPr>
                <w:rFonts w:ascii="Arial" w:cs="Arial" w:eastAsia="Arial" w:hAnsi="Arial"/>
                <w:sz w:val="18"/>
                <w:szCs w:val="18"/>
                <w:color w:val="auto"/>
                <w:w w:val="94"/>
              </w:rPr>
              <w:t>Among</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5"/>
              </w:rPr>
              <w:t>GENERAL MOTORS COMPANY,</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4"/>
                <w:szCs w:val="24"/>
                <w:color w:val="auto"/>
              </w:rPr>
            </w:pPr>
          </w:p>
        </w:tc>
        <w:tc>
          <w:tcPr>
            <w:tcW w:w="6320" w:type="dxa"/>
            <w:vAlign w:val="bottom"/>
            <w:gridSpan w:val="5"/>
          </w:tcPr>
          <w:p>
            <w:pPr>
              <w:jc w:val="center"/>
              <w:ind w:right="791"/>
              <w:spacing w:after="0"/>
              <w:rPr>
                <w:sz w:val="20"/>
                <w:szCs w:val="20"/>
                <w:color w:val="auto"/>
              </w:rPr>
            </w:pPr>
            <w:r>
              <w:rPr>
                <w:rFonts w:ascii="Arial" w:cs="Arial" w:eastAsia="Arial" w:hAnsi="Arial"/>
                <w:sz w:val="18"/>
                <w:szCs w:val="18"/>
                <w:color w:val="auto"/>
                <w:w w:val="95"/>
              </w:rPr>
              <w:t>THE SEVERAL LENDERS FROM TIME TO TIME PARTIES HERETO,</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gridSpan w:val="3"/>
          </w:tcPr>
          <w:p>
            <w:pPr>
              <w:jc w:val="center"/>
              <w:spacing w:after="0"/>
              <w:rPr>
                <w:sz w:val="20"/>
                <w:szCs w:val="20"/>
                <w:color w:val="auto"/>
              </w:rPr>
            </w:pPr>
            <w:r>
              <w:rPr>
                <w:rFonts w:ascii="Arial" w:cs="Arial" w:eastAsia="Arial" w:hAnsi="Arial"/>
                <w:sz w:val="18"/>
                <w:szCs w:val="18"/>
                <w:color w:val="auto"/>
                <w:w w:val="90"/>
              </w:rPr>
              <w:t>Dated as of October 3, 2023</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160" w:type="dxa"/>
            <w:vAlign w:val="bottom"/>
            <w:gridSpan w:val="3"/>
          </w:tcPr>
          <w:p>
            <w:pPr>
              <w:jc w:val="center"/>
              <w:ind w:left="371"/>
              <w:spacing w:after="0"/>
              <w:rPr>
                <w:sz w:val="20"/>
                <w:szCs w:val="20"/>
                <w:color w:val="auto"/>
              </w:rPr>
            </w:pPr>
            <w:r>
              <w:rPr>
                <w:rFonts w:ascii="Arial" w:cs="Arial" w:eastAsia="Arial" w:hAnsi="Arial"/>
                <w:sz w:val="18"/>
                <w:szCs w:val="18"/>
                <w:color w:val="auto"/>
                <w:w w:val="97"/>
              </w:rPr>
              <w:t>JPMORGAN CHASE BANK, N.A.,</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CITIBANK, N.A.,</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jc w:val="center"/>
              <w:ind w:left="371"/>
              <w:spacing w:after="0"/>
              <w:rPr>
                <w:sz w:val="20"/>
                <w:szCs w:val="20"/>
                <w:color w:val="auto"/>
              </w:rPr>
            </w:pPr>
            <w:r>
              <w:rPr>
                <w:rFonts w:ascii="Arial" w:cs="Arial" w:eastAsia="Arial" w:hAnsi="Arial"/>
                <w:sz w:val="18"/>
                <w:szCs w:val="18"/>
                <w:i w:val="1"/>
                <w:iCs w:val="1"/>
                <w:color w:val="auto"/>
                <w:w w:val="92"/>
              </w:rPr>
              <w:t>as Administrative Agent, Global Coordinator,</w:t>
            </w:r>
          </w:p>
        </w:tc>
        <w:tc>
          <w:tcPr>
            <w:tcW w:w="380" w:type="dxa"/>
            <w:vAlign w:val="bottom"/>
          </w:tcPr>
          <w:p>
            <w:pPr>
              <w:spacing w:after="0"/>
              <w:rPr>
                <w:sz w:val="18"/>
                <w:szCs w:val="18"/>
                <w:color w:val="auto"/>
              </w:rPr>
            </w:pPr>
          </w:p>
        </w:tc>
        <w:tc>
          <w:tcPr>
            <w:tcW w:w="5480" w:type="dxa"/>
            <w:vAlign w:val="bottom"/>
            <w:gridSpan w:val="4"/>
          </w:tcPr>
          <w:p>
            <w:pPr>
              <w:jc w:val="center"/>
              <w:ind w:left="90"/>
              <w:spacing w:after="0"/>
              <w:rPr>
                <w:sz w:val="20"/>
                <w:szCs w:val="20"/>
                <w:color w:val="auto"/>
              </w:rPr>
            </w:pPr>
            <w:r>
              <w:rPr>
                <w:rFonts w:ascii="Arial" w:cs="Arial" w:eastAsia="Arial" w:hAnsi="Arial"/>
                <w:sz w:val="18"/>
                <w:szCs w:val="18"/>
                <w:i w:val="1"/>
                <w:iCs w:val="1"/>
                <w:color w:val="auto"/>
                <w:w w:val="91"/>
              </w:rPr>
              <w:t>as Syndication Agent, Global Coordinator,</w:t>
            </w:r>
          </w:p>
        </w:tc>
        <w:tc>
          <w:tcPr>
            <w:tcW w:w="0" w:type="dxa"/>
            <w:vAlign w:val="bottom"/>
          </w:tcPr>
          <w:p>
            <w:pPr>
              <w:spacing w:after="0"/>
              <w:rPr>
                <w:sz w:val="1"/>
                <w:szCs w:val="1"/>
                <w:color w:val="auto"/>
              </w:rPr>
            </w:pPr>
          </w:p>
        </w:tc>
      </w:tr>
      <w:tr>
        <w:trPr>
          <w:trHeight w:val="230"/>
        </w:trPr>
        <w:tc>
          <w:tcPr>
            <w:tcW w:w="5160" w:type="dxa"/>
            <w:vAlign w:val="bottom"/>
            <w:gridSpan w:val="3"/>
          </w:tcPr>
          <w:p>
            <w:pPr>
              <w:jc w:val="center"/>
              <w:ind w:left="371"/>
              <w:spacing w:after="0"/>
              <w:rPr>
                <w:sz w:val="20"/>
                <w:szCs w:val="20"/>
                <w:color w:val="auto"/>
              </w:rPr>
            </w:pPr>
            <w:r>
              <w:rPr>
                <w:rFonts w:ascii="Arial" w:cs="Arial" w:eastAsia="Arial" w:hAnsi="Arial"/>
                <w:sz w:val="18"/>
                <w:szCs w:val="18"/>
                <w:i w:val="1"/>
                <w:iCs w:val="1"/>
                <w:color w:val="auto"/>
                <w:w w:val="92"/>
              </w:rPr>
              <w:t>Joint Lead Arranger and Joint Bookrunner</w:t>
            </w:r>
          </w:p>
        </w:tc>
        <w:tc>
          <w:tcPr>
            <w:tcW w:w="380" w:type="dxa"/>
            <w:vAlign w:val="bottom"/>
          </w:tcPr>
          <w:p>
            <w:pPr>
              <w:spacing w:after="0"/>
              <w:rPr>
                <w:sz w:val="20"/>
                <w:szCs w:val="20"/>
                <w:color w:val="auto"/>
              </w:rPr>
            </w:pPr>
          </w:p>
        </w:tc>
        <w:tc>
          <w:tcPr>
            <w:tcW w:w="5480" w:type="dxa"/>
            <w:vAlign w:val="bottom"/>
            <w:gridSpan w:val="4"/>
          </w:tcPr>
          <w:p>
            <w:pPr>
              <w:jc w:val="center"/>
              <w:ind w:left="90"/>
              <w:spacing w:after="0"/>
              <w:rPr>
                <w:sz w:val="20"/>
                <w:szCs w:val="20"/>
                <w:color w:val="auto"/>
              </w:rPr>
            </w:pPr>
            <w:r>
              <w:rPr>
                <w:rFonts w:ascii="Arial" w:cs="Arial" w:eastAsia="Arial" w:hAnsi="Arial"/>
                <w:sz w:val="18"/>
                <w:szCs w:val="18"/>
                <w:i w:val="1"/>
                <w:iCs w:val="1"/>
                <w:color w:val="auto"/>
                <w:w w:val="92"/>
              </w:rPr>
              <w:t>Joint Lead Arranger and Joint Bookrunner</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2"/>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7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2780" w:type="dxa"/>
            <w:vAlign w:val="bottom"/>
          </w:tcPr>
          <w:p>
            <w:pPr>
              <w:spacing w:after="0"/>
              <w:rPr>
                <w:sz w:val="24"/>
                <w:szCs w:val="24"/>
                <w:color w:val="auto"/>
              </w:rPr>
            </w:pPr>
          </w:p>
        </w:tc>
        <w:tc>
          <w:tcPr>
            <w:tcW w:w="2380" w:type="dxa"/>
            <w:vAlign w:val="bottom"/>
            <w:gridSpan w:val="2"/>
          </w:tcPr>
          <w:p>
            <w:pPr>
              <w:jc w:val="center"/>
              <w:ind w:right="71"/>
              <w:spacing w:after="0"/>
              <w:rPr>
                <w:sz w:val="20"/>
                <w:szCs w:val="20"/>
                <w:color w:val="auto"/>
              </w:rPr>
            </w:pPr>
            <w:r>
              <w:rPr>
                <w:rFonts w:ascii="Arial" w:cs="Arial" w:eastAsia="Arial" w:hAnsi="Arial"/>
                <w:sz w:val="18"/>
                <w:szCs w:val="18"/>
                <w:color w:val="auto"/>
                <w:w w:val="99"/>
              </w:rPr>
              <w:t>BANCO BILBAO</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jc w:val="center"/>
              <w:ind w:right="71"/>
              <w:spacing w:after="0"/>
              <w:rPr>
                <w:sz w:val="20"/>
                <w:szCs w:val="20"/>
                <w:color w:val="auto"/>
              </w:rPr>
            </w:pPr>
            <w:r>
              <w:rPr>
                <w:rFonts w:ascii="Arial" w:cs="Arial" w:eastAsia="Arial" w:hAnsi="Arial"/>
                <w:sz w:val="18"/>
                <w:szCs w:val="18"/>
                <w:color w:val="auto"/>
                <w:w w:val="97"/>
              </w:rPr>
              <w:t>BARCLAYS</w:t>
            </w:r>
          </w:p>
        </w:tc>
        <w:tc>
          <w:tcPr>
            <w:tcW w:w="660" w:type="dxa"/>
            <w:vAlign w:val="bottom"/>
          </w:tcPr>
          <w:p>
            <w:pPr>
              <w:spacing w:after="0"/>
              <w:rPr>
                <w:sz w:val="18"/>
                <w:szCs w:val="18"/>
                <w:color w:val="auto"/>
              </w:rPr>
            </w:pPr>
          </w:p>
        </w:tc>
        <w:tc>
          <w:tcPr>
            <w:tcW w:w="1720" w:type="dxa"/>
            <w:vAlign w:val="bottom"/>
          </w:tcPr>
          <w:p>
            <w:pPr>
              <w:jc w:val="center"/>
              <w:ind w:right="731"/>
              <w:spacing w:after="0"/>
              <w:rPr>
                <w:sz w:val="20"/>
                <w:szCs w:val="20"/>
                <w:color w:val="auto"/>
              </w:rPr>
            </w:pPr>
            <w:r>
              <w:rPr>
                <w:rFonts w:ascii="Arial" w:cs="Arial" w:eastAsia="Arial" w:hAnsi="Arial"/>
                <w:sz w:val="18"/>
                <w:szCs w:val="18"/>
                <w:color w:val="auto"/>
              </w:rPr>
              <w:t>VIZCAYA</w:t>
            </w:r>
          </w:p>
        </w:tc>
        <w:tc>
          <w:tcPr>
            <w:tcW w:w="380" w:type="dxa"/>
            <w:vAlign w:val="bottom"/>
          </w:tcPr>
          <w:p>
            <w:pPr>
              <w:spacing w:after="0"/>
              <w:rPr>
                <w:sz w:val="18"/>
                <w:szCs w:val="18"/>
                <w:color w:val="auto"/>
              </w:rPr>
            </w:pPr>
          </w:p>
        </w:tc>
        <w:tc>
          <w:tcPr>
            <w:tcW w:w="2040" w:type="dxa"/>
            <w:vAlign w:val="bottom"/>
            <w:vMerge w:val="restart"/>
          </w:tcPr>
          <w:p>
            <w:pPr>
              <w:jc w:val="center"/>
              <w:ind w:right="410"/>
              <w:spacing w:after="0"/>
              <w:rPr>
                <w:sz w:val="20"/>
                <w:szCs w:val="20"/>
                <w:color w:val="auto"/>
              </w:rPr>
            </w:pPr>
            <w:r>
              <w:rPr>
                <w:rFonts w:ascii="Arial" w:cs="Arial" w:eastAsia="Arial" w:hAnsi="Arial"/>
                <w:sz w:val="18"/>
                <w:szCs w:val="18"/>
                <w:color w:val="auto"/>
                <w:w w:val="90"/>
              </w:rPr>
              <w:t>BNP PARIBAS</w:t>
            </w:r>
            <w:r>
              <w:rPr>
                <w:rFonts w:ascii="Arial" w:cs="Arial" w:eastAsia="Arial" w:hAnsi="Arial"/>
                <w:sz w:val="26"/>
                <w:szCs w:val="26"/>
                <w:color w:val="auto"/>
                <w:w w:val="90"/>
                <w:vertAlign w:val="superscript"/>
              </w:rPr>
              <w:t>1,2</w:t>
            </w:r>
          </w:p>
        </w:tc>
        <w:tc>
          <w:tcPr>
            <w:tcW w:w="344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CREDIT AGRICOLE CORPORATE AND</w:t>
            </w:r>
          </w:p>
        </w:tc>
        <w:tc>
          <w:tcPr>
            <w:tcW w:w="0" w:type="dxa"/>
            <w:vAlign w:val="bottom"/>
          </w:tcPr>
          <w:p>
            <w:pPr>
              <w:spacing w:after="0"/>
              <w:rPr>
                <w:sz w:val="1"/>
                <w:szCs w:val="1"/>
                <w:color w:val="auto"/>
              </w:rPr>
            </w:pPr>
          </w:p>
        </w:tc>
      </w:tr>
      <w:tr>
        <w:trPr>
          <w:trHeight w:val="176"/>
        </w:trPr>
        <w:tc>
          <w:tcPr>
            <w:tcW w:w="2780" w:type="dxa"/>
            <w:vAlign w:val="bottom"/>
            <w:vMerge w:val="restart"/>
          </w:tcPr>
          <w:p>
            <w:pPr>
              <w:jc w:val="center"/>
              <w:ind w:right="71"/>
              <w:spacing w:after="0" w:line="216" w:lineRule="exact"/>
              <w:rPr>
                <w:sz w:val="20"/>
                <w:szCs w:val="20"/>
                <w:color w:val="auto"/>
              </w:rPr>
            </w:pPr>
            <w:r>
              <w:rPr>
                <w:rFonts w:ascii="Arial" w:cs="Arial" w:eastAsia="Arial" w:hAnsi="Arial"/>
                <w:sz w:val="17"/>
                <w:szCs w:val="17"/>
                <w:color w:val="auto"/>
                <w:w w:val="98"/>
              </w:rPr>
              <w:t>BANK PLC</w:t>
            </w:r>
            <w:r>
              <w:rPr>
                <w:rFonts w:ascii="Arial" w:cs="Arial" w:eastAsia="Arial" w:hAnsi="Arial"/>
                <w:sz w:val="25"/>
                <w:szCs w:val="25"/>
                <w:color w:val="auto"/>
                <w:w w:val="98"/>
                <w:vertAlign w:val="superscript"/>
              </w:rPr>
              <w:t>1,2</w:t>
            </w:r>
          </w:p>
        </w:tc>
        <w:tc>
          <w:tcPr>
            <w:tcW w:w="2380" w:type="dxa"/>
            <w:vAlign w:val="bottom"/>
            <w:gridSpan w:val="2"/>
            <w:vMerge w:val="restart"/>
          </w:tcPr>
          <w:p>
            <w:pPr>
              <w:jc w:val="center"/>
              <w:ind w:right="71"/>
              <w:spacing w:after="0"/>
              <w:rPr>
                <w:sz w:val="20"/>
                <w:szCs w:val="20"/>
                <w:color w:val="auto"/>
              </w:rPr>
            </w:pPr>
            <w:r>
              <w:rPr>
                <w:rFonts w:ascii="Arial" w:cs="Arial" w:eastAsia="Arial" w:hAnsi="Arial"/>
                <w:sz w:val="18"/>
                <w:szCs w:val="18"/>
                <w:color w:val="auto"/>
                <w:w w:val="98"/>
              </w:rPr>
              <w:t>ARGENTARIA, S.A.</w:t>
            </w:r>
          </w:p>
        </w:tc>
        <w:tc>
          <w:tcPr>
            <w:tcW w:w="38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3440" w:type="dxa"/>
            <w:vAlign w:val="bottom"/>
            <w:gridSpan w:val="3"/>
            <w:vMerge w:val="restart"/>
          </w:tcPr>
          <w:p>
            <w:pPr>
              <w:jc w:val="center"/>
              <w:ind w:left="151"/>
              <w:spacing w:after="0" w:line="216" w:lineRule="exact"/>
              <w:rPr>
                <w:sz w:val="20"/>
                <w:szCs w:val="20"/>
                <w:color w:val="auto"/>
              </w:rPr>
            </w:pPr>
            <w:r>
              <w:rPr>
                <w:rFonts w:ascii="Arial" w:cs="Arial" w:eastAsia="Arial" w:hAnsi="Arial"/>
                <w:sz w:val="17"/>
                <w:szCs w:val="17"/>
                <w:color w:val="auto"/>
              </w:rPr>
              <w:t xml:space="preserve">INVESTMENT BANK </w:t>
            </w:r>
            <w:r>
              <w:rPr>
                <w:rFonts w:ascii="Arial" w:cs="Arial" w:eastAsia="Arial" w:hAnsi="Arial"/>
                <w:sz w:val="25"/>
                <w:szCs w:val="25"/>
                <w:color w:val="auto"/>
                <w:vertAlign w:val="superscript"/>
              </w:rPr>
              <w:t>1,2</w:t>
            </w:r>
          </w:p>
        </w:tc>
        <w:tc>
          <w:tcPr>
            <w:tcW w:w="0" w:type="dxa"/>
            <w:vAlign w:val="bottom"/>
          </w:tcPr>
          <w:p>
            <w:pPr>
              <w:spacing w:after="0"/>
              <w:rPr>
                <w:sz w:val="1"/>
                <w:szCs w:val="1"/>
                <w:color w:val="auto"/>
              </w:rPr>
            </w:pPr>
          </w:p>
        </w:tc>
      </w:tr>
      <w:tr>
        <w:trPr>
          <w:trHeight w:val="40"/>
        </w:trPr>
        <w:tc>
          <w:tcPr>
            <w:tcW w:w="2780" w:type="dxa"/>
            <w:vAlign w:val="bottom"/>
            <w:vMerge w:val="continue"/>
          </w:tcPr>
          <w:p>
            <w:pPr>
              <w:spacing w:after="0"/>
              <w:rPr>
                <w:sz w:val="3"/>
                <w:szCs w:val="3"/>
                <w:color w:val="auto"/>
              </w:rPr>
            </w:pPr>
          </w:p>
        </w:tc>
        <w:tc>
          <w:tcPr>
            <w:tcW w:w="238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4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8"/>
        </w:trPr>
        <w:tc>
          <w:tcPr>
            <w:tcW w:w="2780" w:type="dxa"/>
            <w:vAlign w:val="bottom"/>
          </w:tcPr>
          <w:p>
            <w:pPr>
              <w:spacing w:after="0"/>
              <w:rPr>
                <w:sz w:val="24"/>
                <w:szCs w:val="24"/>
                <w:color w:val="auto"/>
              </w:rPr>
            </w:pPr>
          </w:p>
        </w:tc>
        <w:tc>
          <w:tcPr>
            <w:tcW w:w="2380" w:type="dxa"/>
            <w:vAlign w:val="bottom"/>
            <w:gridSpan w:val="2"/>
          </w:tcPr>
          <w:p>
            <w:pPr>
              <w:jc w:val="center"/>
              <w:ind w:right="71"/>
              <w:spacing w:after="0"/>
              <w:rPr>
                <w:sz w:val="20"/>
                <w:szCs w:val="20"/>
                <w:color w:val="auto"/>
              </w:rPr>
            </w:pPr>
            <w:r>
              <w:rPr>
                <w:rFonts w:ascii="Arial" w:cs="Arial" w:eastAsia="Arial" w:hAnsi="Arial"/>
                <w:sz w:val="18"/>
                <w:szCs w:val="18"/>
                <w:color w:val="auto"/>
                <w:w w:val="95"/>
              </w:rPr>
              <w:t>NEW YORK BRANCH</w:t>
            </w:r>
            <w:r>
              <w:rPr>
                <w:rFonts w:ascii="Arial" w:cs="Arial" w:eastAsia="Arial" w:hAnsi="Arial"/>
                <w:sz w:val="26"/>
                <w:szCs w:val="26"/>
                <w:color w:val="auto"/>
                <w:w w:val="95"/>
                <w:vertAlign w:val="superscript"/>
              </w:rPr>
              <w:t>1,2</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jc w:val="center"/>
              <w:ind w:right="71"/>
              <w:spacing w:after="0"/>
              <w:rPr>
                <w:sz w:val="20"/>
                <w:szCs w:val="20"/>
                <w:color w:val="auto"/>
              </w:rPr>
            </w:pPr>
            <w:r>
              <w:rPr>
                <w:rFonts w:ascii="Arial" w:cs="Arial" w:eastAsia="Arial" w:hAnsi="Arial"/>
                <w:sz w:val="18"/>
                <w:szCs w:val="18"/>
                <w:color w:val="auto"/>
                <w:w w:val="94"/>
              </w:rPr>
              <w:t>DEUTSCHE</w:t>
            </w:r>
          </w:p>
        </w:tc>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rPr>
              <w:t>MIZUHO</w:t>
            </w:r>
          </w:p>
        </w:tc>
        <w:tc>
          <w:tcPr>
            <w:tcW w:w="1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8"/>
              </w:rPr>
              <w:t>MORGAN STANLEY</w:t>
            </w:r>
          </w:p>
        </w:tc>
        <w:tc>
          <w:tcPr>
            <w:tcW w:w="0" w:type="dxa"/>
            <w:vAlign w:val="bottom"/>
          </w:tcPr>
          <w:p>
            <w:pPr>
              <w:spacing w:after="0"/>
              <w:rPr>
                <w:sz w:val="1"/>
                <w:szCs w:val="1"/>
                <w:color w:val="auto"/>
              </w:rPr>
            </w:pPr>
          </w:p>
        </w:tc>
      </w:tr>
      <w:tr>
        <w:trPr>
          <w:trHeight w:val="108"/>
        </w:trPr>
        <w:tc>
          <w:tcPr>
            <w:tcW w:w="2780" w:type="dxa"/>
            <w:vAlign w:val="bottom"/>
            <w:vMerge w:val="restart"/>
          </w:tcPr>
          <w:p>
            <w:pPr>
              <w:jc w:val="center"/>
              <w:ind w:right="71"/>
              <w:spacing w:after="0"/>
              <w:rPr>
                <w:sz w:val="20"/>
                <w:szCs w:val="20"/>
                <w:color w:val="auto"/>
              </w:rPr>
            </w:pPr>
            <w:r>
              <w:rPr>
                <w:rFonts w:ascii="Arial" w:cs="Arial" w:eastAsia="Arial" w:hAnsi="Arial"/>
                <w:sz w:val="18"/>
                <w:szCs w:val="18"/>
                <w:color w:val="auto"/>
              </w:rPr>
              <w:t>BANK</w:t>
            </w:r>
          </w:p>
        </w:tc>
        <w:tc>
          <w:tcPr>
            <w:tcW w:w="2380" w:type="dxa"/>
            <w:vAlign w:val="bottom"/>
            <w:gridSpan w:val="2"/>
            <w:vMerge w:val="restart"/>
          </w:tcPr>
          <w:p>
            <w:pPr>
              <w:jc w:val="center"/>
              <w:ind w:right="71"/>
              <w:spacing w:after="0"/>
              <w:rPr>
                <w:sz w:val="20"/>
                <w:szCs w:val="20"/>
                <w:color w:val="auto"/>
              </w:rPr>
            </w:pPr>
            <w:r>
              <w:rPr>
                <w:rFonts w:ascii="Arial" w:cs="Arial" w:eastAsia="Arial" w:hAnsi="Arial"/>
                <w:sz w:val="18"/>
                <w:szCs w:val="18"/>
                <w:color w:val="auto"/>
                <w:w w:val="99"/>
              </w:rPr>
              <w:t>GOLDMAN SACHS BANK</w:t>
            </w:r>
          </w:p>
        </w:tc>
        <w:tc>
          <w:tcPr>
            <w:tcW w:w="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2420" w:type="dxa"/>
            <w:vAlign w:val="bottom"/>
            <w:gridSpan w:val="2"/>
            <w:vMerge w:val="restart"/>
          </w:tcPr>
          <w:p>
            <w:pPr>
              <w:jc w:val="center"/>
              <w:ind w:right="30"/>
              <w:spacing w:after="0" w:line="216" w:lineRule="exact"/>
              <w:rPr>
                <w:sz w:val="20"/>
                <w:szCs w:val="20"/>
                <w:color w:val="auto"/>
              </w:rPr>
            </w:pPr>
            <w:r>
              <w:rPr>
                <w:rFonts w:ascii="Arial" w:cs="Arial" w:eastAsia="Arial" w:hAnsi="Arial"/>
                <w:sz w:val="17"/>
                <w:szCs w:val="17"/>
                <w:color w:val="auto"/>
              </w:rPr>
              <w:t>BANK OF AMERICA, N.A.</w:t>
            </w:r>
            <w:r>
              <w:rPr>
                <w:rFonts w:ascii="Arial" w:cs="Arial" w:eastAsia="Arial" w:hAnsi="Arial"/>
                <w:sz w:val="25"/>
                <w:szCs w:val="25"/>
                <w:color w:val="auto"/>
                <w:vertAlign w:val="superscript"/>
              </w:rPr>
              <w:t>1,2</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rPr>
              <w:t>BANK,</w:t>
            </w:r>
          </w:p>
        </w:tc>
        <w:tc>
          <w:tcPr>
            <w:tcW w:w="1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5"/>
              </w:rPr>
              <w:t>SENIOR FUNDING,</w:t>
            </w:r>
          </w:p>
        </w:tc>
        <w:tc>
          <w:tcPr>
            <w:tcW w:w="0" w:type="dxa"/>
            <w:vAlign w:val="bottom"/>
          </w:tcPr>
          <w:p>
            <w:pPr>
              <w:spacing w:after="0"/>
              <w:rPr>
                <w:sz w:val="1"/>
                <w:szCs w:val="1"/>
                <w:color w:val="auto"/>
              </w:rPr>
            </w:pPr>
          </w:p>
        </w:tc>
      </w:tr>
      <w:tr>
        <w:trPr>
          <w:trHeight w:val="108"/>
        </w:trPr>
        <w:tc>
          <w:tcPr>
            <w:tcW w:w="2780" w:type="dxa"/>
            <w:vAlign w:val="bottom"/>
            <w:vMerge w:val="restart"/>
          </w:tcPr>
          <w:p>
            <w:pPr>
              <w:jc w:val="center"/>
              <w:ind w:right="71"/>
              <w:spacing w:after="0"/>
              <w:rPr>
                <w:sz w:val="20"/>
                <w:szCs w:val="20"/>
                <w:color w:val="auto"/>
              </w:rPr>
            </w:pPr>
            <w:r>
              <w:rPr>
                <w:rFonts w:ascii="Arial" w:cs="Arial" w:eastAsia="Arial" w:hAnsi="Arial"/>
                <w:sz w:val="18"/>
                <w:szCs w:val="18"/>
                <w:color w:val="auto"/>
                <w:w w:val="94"/>
              </w:rPr>
              <w:t>SECURITIES</w:t>
            </w:r>
          </w:p>
        </w:tc>
        <w:tc>
          <w:tcPr>
            <w:tcW w:w="660" w:type="dxa"/>
            <w:vAlign w:val="bottom"/>
          </w:tcPr>
          <w:p>
            <w:pPr>
              <w:spacing w:after="0"/>
              <w:rPr>
                <w:sz w:val="9"/>
                <w:szCs w:val="9"/>
                <w:color w:val="auto"/>
              </w:rPr>
            </w:pPr>
          </w:p>
        </w:tc>
        <w:tc>
          <w:tcPr>
            <w:tcW w:w="1720" w:type="dxa"/>
            <w:vAlign w:val="bottom"/>
            <w:vMerge w:val="restart"/>
          </w:tcPr>
          <w:p>
            <w:pPr>
              <w:jc w:val="center"/>
              <w:ind w:right="731"/>
              <w:spacing w:after="0" w:line="216" w:lineRule="exact"/>
              <w:rPr>
                <w:sz w:val="20"/>
                <w:szCs w:val="20"/>
                <w:color w:val="auto"/>
              </w:rPr>
            </w:pPr>
            <w:r>
              <w:rPr>
                <w:rFonts w:ascii="Arial" w:cs="Arial" w:eastAsia="Arial" w:hAnsi="Arial"/>
                <w:sz w:val="17"/>
                <w:szCs w:val="17"/>
                <w:color w:val="auto"/>
                <w:w w:val="92"/>
              </w:rPr>
              <w:t>USA</w:t>
            </w:r>
            <w:r>
              <w:rPr>
                <w:rFonts w:ascii="Arial" w:cs="Arial" w:eastAsia="Arial" w:hAnsi="Arial"/>
                <w:sz w:val="25"/>
                <w:szCs w:val="25"/>
                <w:color w:val="auto"/>
                <w:w w:val="92"/>
                <w:vertAlign w:val="superscript"/>
              </w:rPr>
              <w:t>1,2</w:t>
            </w:r>
          </w:p>
        </w:tc>
        <w:tc>
          <w:tcPr>
            <w:tcW w:w="242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520" w:type="dxa"/>
            <w:vAlign w:val="bottom"/>
            <w:vMerge w:val="restart"/>
          </w:tcPr>
          <w:p>
            <w:pPr>
              <w:jc w:val="center"/>
              <w:spacing w:after="0" w:line="285" w:lineRule="exact"/>
              <w:rPr>
                <w:sz w:val="20"/>
                <w:szCs w:val="20"/>
                <w:color w:val="auto"/>
              </w:rPr>
            </w:pPr>
            <w:r>
              <w:rPr>
                <w:rFonts w:ascii="Arial" w:cs="Arial" w:eastAsia="Arial" w:hAnsi="Arial"/>
                <w:sz w:val="18"/>
                <w:szCs w:val="18"/>
                <w:color w:val="auto"/>
                <w:w w:val="88"/>
              </w:rPr>
              <w:t>LTD.</w:t>
            </w:r>
            <w:r>
              <w:rPr>
                <w:rFonts w:ascii="Arial" w:cs="Arial" w:eastAsia="Arial" w:hAnsi="Arial"/>
                <w:sz w:val="26"/>
                <w:szCs w:val="26"/>
                <w:color w:val="auto"/>
                <w:w w:val="88"/>
                <w:vertAlign w:val="superscript"/>
              </w:rPr>
              <w:t>1,2</w:t>
            </w:r>
          </w:p>
        </w:tc>
        <w:tc>
          <w:tcPr>
            <w:tcW w:w="320" w:type="dxa"/>
            <w:vAlign w:val="bottom"/>
          </w:tcPr>
          <w:p>
            <w:pPr>
              <w:spacing w:after="0"/>
              <w:rPr>
                <w:sz w:val="9"/>
                <w:szCs w:val="9"/>
                <w:color w:val="auto"/>
              </w:rPr>
            </w:pPr>
          </w:p>
        </w:tc>
        <w:tc>
          <w:tcPr>
            <w:tcW w:w="1600" w:type="dxa"/>
            <w:vAlign w:val="bottom"/>
            <w:vMerge w:val="restart"/>
          </w:tcPr>
          <w:p>
            <w:pPr>
              <w:jc w:val="center"/>
              <w:ind w:right="430"/>
              <w:spacing w:after="0" w:line="285" w:lineRule="exact"/>
              <w:rPr>
                <w:sz w:val="20"/>
                <w:szCs w:val="20"/>
                <w:color w:val="auto"/>
              </w:rPr>
            </w:pPr>
            <w:r>
              <w:rPr>
                <w:rFonts w:ascii="Arial" w:cs="Arial" w:eastAsia="Arial" w:hAnsi="Arial"/>
                <w:sz w:val="18"/>
                <w:szCs w:val="18"/>
                <w:color w:val="auto"/>
                <w:w w:val="86"/>
              </w:rPr>
              <w:t>INC.</w:t>
            </w:r>
            <w:r>
              <w:rPr>
                <w:rFonts w:ascii="Arial" w:cs="Arial" w:eastAsia="Arial" w:hAnsi="Arial"/>
                <w:sz w:val="26"/>
                <w:szCs w:val="26"/>
                <w:color w:val="auto"/>
                <w:w w:val="86"/>
                <w:vertAlign w:val="superscript"/>
              </w:rPr>
              <w:t>1,2</w:t>
            </w:r>
          </w:p>
        </w:tc>
        <w:tc>
          <w:tcPr>
            <w:tcW w:w="0" w:type="dxa"/>
            <w:vAlign w:val="bottom"/>
          </w:tcPr>
          <w:p>
            <w:pPr>
              <w:spacing w:after="0"/>
              <w:rPr>
                <w:sz w:val="1"/>
                <w:szCs w:val="1"/>
                <w:color w:val="auto"/>
              </w:rPr>
            </w:pPr>
          </w:p>
        </w:tc>
      </w:tr>
      <w:tr>
        <w:trPr>
          <w:trHeight w:val="176"/>
        </w:trPr>
        <w:tc>
          <w:tcPr>
            <w:tcW w:w="2780" w:type="dxa"/>
            <w:vAlign w:val="bottom"/>
            <w:vMerge w:val="restart"/>
          </w:tcPr>
          <w:p>
            <w:pPr>
              <w:jc w:val="center"/>
              <w:ind w:right="51"/>
              <w:spacing w:after="0"/>
              <w:rPr>
                <w:sz w:val="20"/>
                <w:szCs w:val="20"/>
                <w:color w:val="auto"/>
              </w:rPr>
            </w:pPr>
            <w:r>
              <w:rPr>
                <w:rFonts w:ascii="Arial" w:cs="Arial" w:eastAsia="Arial" w:hAnsi="Arial"/>
                <w:sz w:val="18"/>
                <w:szCs w:val="18"/>
                <w:color w:val="auto"/>
                <w:w w:val="86"/>
              </w:rPr>
              <w:t>INC.</w:t>
            </w:r>
            <w:r>
              <w:rPr>
                <w:rFonts w:ascii="Arial" w:cs="Arial" w:eastAsia="Arial" w:hAnsi="Arial"/>
                <w:sz w:val="26"/>
                <w:szCs w:val="26"/>
                <w:color w:val="auto"/>
                <w:w w:val="86"/>
                <w:vertAlign w:val="superscript"/>
              </w:rPr>
              <w:t>1,2</w:t>
            </w: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3440" w:type="dxa"/>
            <w:vAlign w:val="bottom"/>
            <w:gridSpan w:val="2"/>
          </w:tcPr>
          <w:p>
            <w:pPr>
              <w:jc w:val="center"/>
              <w:ind w:left="1071"/>
              <w:spacing w:after="0"/>
              <w:rPr>
                <w:sz w:val="20"/>
                <w:szCs w:val="20"/>
                <w:color w:val="auto"/>
              </w:rPr>
            </w:pPr>
            <w:r>
              <w:rPr>
                <w:rFonts w:ascii="Arial" w:cs="Arial" w:eastAsia="Arial" w:hAnsi="Arial"/>
                <w:sz w:val="18"/>
                <w:szCs w:val="18"/>
                <w:color w:val="auto"/>
                <w:w w:val="98"/>
              </w:rPr>
              <w:t>RBC CAPITAL</w:t>
            </w:r>
          </w:p>
        </w:tc>
        <w:tc>
          <w:tcPr>
            <w:tcW w:w="1720" w:type="dxa"/>
            <w:vAlign w:val="bottom"/>
            <w:vMerge w:val="restart"/>
          </w:tcPr>
          <w:p>
            <w:pPr>
              <w:jc w:val="center"/>
              <w:ind w:left="631"/>
              <w:spacing w:after="0"/>
              <w:rPr>
                <w:sz w:val="20"/>
                <w:szCs w:val="20"/>
                <w:color w:val="auto"/>
              </w:rPr>
            </w:pPr>
            <w:r>
              <w:rPr>
                <w:rFonts w:ascii="Arial" w:cs="Arial" w:eastAsia="Arial" w:hAnsi="Arial"/>
                <w:sz w:val="18"/>
                <w:szCs w:val="18"/>
                <w:color w:val="auto"/>
                <w:w w:val="96"/>
              </w:rPr>
              <w:t>SUMITOMO</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gridSpan w:val="2"/>
            <w:vMerge w:val="restart"/>
          </w:tcPr>
          <w:p>
            <w:pPr>
              <w:jc w:val="center"/>
              <w:ind w:left="451"/>
              <w:spacing w:after="0"/>
              <w:rPr>
                <w:sz w:val="20"/>
                <w:szCs w:val="20"/>
                <w:color w:val="auto"/>
              </w:rPr>
            </w:pPr>
            <w:r>
              <w:rPr>
                <w:rFonts w:ascii="Arial" w:cs="Arial" w:eastAsia="Arial" w:hAnsi="Arial"/>
                <w:sz w:val="18"/>
                <w:szCs w:val="18"/>
                <w:color w:val="auto"/>
                <w:w w:val="98"/>
              </w:rPr>
              <w:t>THE BANK OF</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BANCO</w:t>
            </w:r>
          </w:p>
        </w:tc>
        <w:tc>
          <w:tcPr>
            <w:tcW w:w="0" w:type="dxa"/>
            <w:vAlign w:val="bottom"/>
          </w:tcPr>
          <w:p>
            <w:pPr>
              <w:spacing w:after="0"/>
              <w:rPr>
                <w:sz w:val="1"/>
                <w:szCs w:val="1"/>
                <w:color w:val="auto"/>
              </w:rPr>
            </w:pPr>
          </w:p>
        </w:tc>
      </w:tr>
      <w:tr>
        <w:trPr>
          <w:trHeight w:val="176"/>
        </w:trPr>
        <w:tc>
          <w:tcPr>
            <w:tcW w:w="2780" w:type="dxa"/>
            <w:vAlign w:val="bottom"/>
          </w:tcPr>
          <w:p>
            <w:pPr>
              <w:jc w:val="center"/>
              <w:ind w:left="1731"/>
              <w:spacing w:after="0" w:line="177" w:lineRule="exact"/>
              <w:rPr>
                <w:sz w:val="20"/>
                <w:szCs w:val="20"/>
                <w:color w:val="auto"/>
              </w:rPr>
            </w:pPr>
            <w:r>
              <w:rPr>
                <w:rFonts w:ascii="Arial" w:cs="Arial" w:eastAsia="Arial" w:hAnsi="Arial"/>
                <w:sz w:val="14"/>
                <w:szCs w:val="14"/>
                <w:color w:val="auto"/>
              </w:rPr>
              <w:t>MARKETS</w:t>
            </w:r>
            <w:r>
              <w:rPr>
                <w:rFonts w:ascii="Arial" w:cs="Arial" w:eastAsia="Arial" w:hAnsi="Arial"/>
                <w:sz w:val="20"/>
                <w:szCs w:val="20"/>
                <w:color w:val="auto"/>
                <w:vertAlign w:val="superscript"/>
              </w:rPr>
              <w:t>1</w:t>
            </w:r>
          </w:p>
        </w:tc>
        <w:tc>
          <w:tcPr>
            <w:tcW w:w="6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jc w:val="center"/>
              <w:ind w:left="410"/>
              <w:spacing w:after="0" w:line="176" w:lineRule="exact"/>
              <w:rPr>
                <w:sz w:val="20"/>
                <w:szCs w:val="20"/>
                <w:color w:val="auto"/>
              </w:rPr>
            </w:pPr>
            <w:r>
              <w:rPr>
                <w:rFonts w:ascii="Arial" w:cs="Arial" w:eastAsia="Arial" w:hAnsi="Arial"/>
                <w:sz w:val="18"/>
                <w:szCs w:val="18"/>
                <w:color w:val="auto"/>
                <w:w w:val="93"/>
              </w:rPr>
              <w:t>SOCIÉTÉ</w:t>
            </w:r>
          </w:p>
        </w:tc>
        <w:tc>
          <w:tcPr>
            <w:tcW w:w="1840" w:type="dxa"/>
            <w:vAlign w:val="bottom"/>
            <w:gridSpan w:val="2"/>
            <w:vMerge w:val="continue"/>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4"/>
              </w:rPr>
              <w:t>SANTANDER, S.A.,</w:t>
            </w: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jc w:val="center"/>
              <w:ind w:left="1071"/>
              <w:spacing w:after="0"/>
              <w:rPr>
                <w:sz w:val="20"/>
                <w:szCs w:val="20"/>
                <w:color w:val="auto"/>
              </w:rPr>
            </w:pPr>
            <w:r>
              <w:rPr>
                <w:rFonts w:ascii="Arial" w:cs="Arial" w:eastAsia="Arial" w:hAnsi="Arial"/>
                <w:sz w:val="18"/>
                <w:szCs w:val="18"/>
                <w:color w:val="auto"/>
                <w:w w:val="99"/>
              </w:rPr>
              <w:t>ROYAL BANK OF</w:t>
            </w:r>
          </w:p>
        </w:tc>
        <w:tc>
          <w:tcPr>
            <w:tcW w:w="2100" w:type="dxa"/>
            <w:vAlign w:val="bottom"/>
            <w:gridSpan w:val="2"/>
          </w:tcPr>
          <w:p>
            <w:pPr>
              <w:jc w:val="center"/>
              <w:ind w:left="251"/>
              <w:spacing w:after="0" w:line="148" w:lineRule="exact"/>
              <w:rPr>
                <w:sz w:val="20"/>
                <w:szCs w:val="20"/>
                <w:color w:val="auto"/>
              </w:rPr>
            </w:pPr>
            <w:r>
              <w:rPr>
                <w:rFonts w:ascii="Arial" w:cs="Arial" w:eastAsia="Arial" w:hAnsi="Arial"/>
                <w:sz w:val="17"/>
                <w:szCs w:val="17"/>
                <w:color w:val="auto"/>
              </w:rPr>
              <w:t>MITSUI BANKING</w:t>
            </w:r>
          </w:p>
        </w:tc>
        <w:tc>
          <w:tcPr>
            <w:tcW w:w="2040" w:type="dxa"/>
            <w:vAlign w:val="bottom"/>
            <w:vMerge w:val="restart"/>
          </w:tcPr>
          <w:p>
            <w:pPr>
              <w:jc w:val="center"/>
              <w:ind w:left="390"/>
              <w:spacing w:after="0" w:line="256" w:lineRule="exact"/>
              <w:rPr>
                <w:sz w:val="20"/>
                <w:szCs w:val="20"/>
                <w:color w:val="auto"/>
              </w:rPr>
            </w:pPr>
            <w:r>
              <w:rPr>
                <w:rFonts w:ascii="Arial" w:cs="Arial" w:eastAsia="Arial" w:hAnsi="Arial"/>
                <w:sz w:val="18"/>
                <w:szCs w:val="18"/>
                <w:color w:val="auto"/>
                <w:w w:val="91"/>
              </w:rPr>
              <w:t>GÉNÉRALE</w:t>
            </w:r>
            <w:r>
              <w:rPr>
                <w:rFonts w:ascii="Arial" w:cs="Arial" w:eastAsia="Arial" w:hAnsi="Arial"/>
                <w:sz w:val="26"/>
                <w:szCs w:val="26"/>
                <w:color w:val="auto"/>
                <w:w w:val="91"/>
                <w:vertAlign w:val="superscript"/>
              </w:rPr>
              <w:t>1,2</w:t>
            </w:r>
          </w:p>
        </w:tc>
        <w:tc>
          <w:tcPr>
            <w:tcW w:w="1520" w:type="dxa"/>
            <w:vAlign w:val="bottom"/>
          </w:tcPr>
          <w:p>
            <w:pPr>
              <w:jc w:val="center"/>
              <w:ind w:left="771"/>
              <w:spacing w:after="0" w:line="148" w:lineRule="exact"/>
              <w:rPr>
                <w:sz w:val="20"/>
                <w:szCs w:val="20"/>
                <w:color w:val="auto"/>
              </w:rPr>
            </w:pPr>
            <w:r>
              <w:rPr>
                <w:rFonts w:ascii="Arial" w:cs="Arial" w:eastAsia="Arial" w:hAnsi="Arial"/>
                <w:sz w:val="17"/>
                <w:szCs w:val="17"/>
                <w:color w:val="auto"/>
              </w:rPr>
              <w:t>NOVA</w:t>
            </w:r>
          </w:p>
        </w:tc>
        <w:tc>
          <w:tcPr>
            <w:tcW w:w="3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7"/>
              </w:rPr>
              <w:t>NEW YORK</w:t>
            </w:r>
          </w:p>
        </w:tc>
        <w:tc>
          <w:tcPr>
            <w:tcW w:w="0" w:type="dxa"/>
            <w:vAlign w:val="bottom"/>
          </w:tcPr>
          <w:p>
            <w:pPr>
              <w:spacing w:after="0"/>
              <w:rPr>
                <w:sz w:val="1"/>
                <w:szCs w:val="1"/>
                <w:color w:val="auto"/>
              </w:rPr>
            </w:pPr>
          </w:p>
        </w:tc>
      </w:tr>
      <w:tr>
        <w:trPr>
          <w:trHeight w:val="108"/>
        </w:trPr>
        <w:tc>
          <w:tcPr>
            <w:tcW w:w="3440" w:type="dxa"/>
            <w:vAlign w:val="bottom"/>
            <w:gridSpan w:val="2"/>
            <w:vMerge w:val="continue"/>
          </w:tcPr>
          <w:p>
            <w:pPr>
              <w:spacing w:after="0"/>
              <w:rPr>
                <w:sz w:val="9"/>
                <w:szCs w:val="9"/>
                <w:color w:val="auto"/>
              </w:rPr>
            </w:pPr>
          </w:p>
        </w:tc>
        <w:tc>
          <w:tcPr>
            <w:tcW w:w="2100" w:type="dxa"/>
            <w:vAlign w:val="bottom"/>
            <w:gridSpan w:val="2"/>
            <w:vMerge w:val="restart"/>
          </w:tcPr>
          <w:p>
            <w:pPr>
              <w:jc w:val="center"/>
              <w:ind w:left="251"/>
              <w:spacing w:after="0" w:line="285" w:lineRule="exact"/>
              <w:rPr>
                <w:sz w:val="20"/>
                <w:szCs w:val="20"/>
                <w:color w:val="auto"/>
              </w:rPr>
            </w:pPr>
            <w:r>
              <w:rPr>
                <w:rFonts w:ascii="Arial" w:cs="Arial" w:eastAsia="Arial" w:hAnsi="Arial"/>
                <w:sz w:val="18"/>
                <w:szCs w:val="18"/>
                <w:color w:val="auto"/>
                <w:w w:val="91"/>
              </w:rPr>
              <w:t>CORPORATION</w:t>
            </w:r>
            <w:r>
              <w:rPr>
                <w:rFonts w:ascii="Arial" w:cs="Arial" w:eastAsia="Arial" w:hAnsi="Arial"/>
                <w:sz w:val="26"/>
                <w:szCs w:val="26"/>
                <w:color w:val="auto"/>
                <w:w w:val="91"/>
                <w:vertAlign w:val="superscript"/>
              </w:rPr>
              <w:t>1,2</w:t>
            </w:r>
          </w:p>
        </w:tc>
        <w:tc>
          <w:tcPr>
            <w:tcW w:w="2040" w:type="dxa"/>
            <w:vAlign w:val="bottom"/>
            <w:vMerge w:val="continue"/>
          </w:tcPr>
          <w:p>
            <w:pPr>
              <w:spacing w:after="0"/>
              <w:rPr>
                <w:sz w:val="9"/>
                <w:szCs w:val="9"/>
                <w:color w:val="auto"/>
              </w:rPr>
            </w:pPr>
          </w:p>
        </w:tc>
        <w:tc>
          <w:tcPr>
            <w:tcW w:w="1840" w:type="dxa"/>
            <w:vAlign w:val="bottom"/>
            <w:gridSpan w:val="2"/>
            <w:vMerge w:val="restart"/>
          </w:tcPr>
          <w:p>
            <w:pPr>
              <w:jc w:val="center"/>
              <w:ind w:left="451"/>
              <w:spacing w:after="0" w:line="285" w:lineRule="exact"/>
              <w:rPr>
                <w:sz w:val="20"/>
                <w:szCs w:val="20"/>
                <w:color w:val="auto"/>
              </w:rPr>
            </w:pPr>
            <w:r>
              <w:rPr>
                <w:rFonts w:ascii="Arial" w:cs="Arial" w:eastAsia="Arial" w:hAnsi="Arial"/>
                <w:sz w:val="18"/>
                <w:szCs w:val="18"/>
                <w:color w:val="auto"/>
                <w:w w:val="89"/>
              </w:rPr>
              <w:t>SCOTIA</w:t>
            </w:r>
            <w:r>
              <w:rPr>
                <w:rFonts w:ascii="Arial" w:cs="Arial" w:eastAsia="Arial" w:hAnsi="Arial"/>
                <w:sz w:val="26"/>
                <w:szCs w:val="26"/>
                <w:color w:val="auto"/>
                <w:w w:val="89"/>
                <w:vertAlign w:val="superscript"/>
              </w:rPr>
              <w:t>1,2</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780" w:type="dxa"/>
            <w:vAlign w:val="bottom"/>
            <w:vMerge w:val="restart"/>
          </w:tcPr>
          <w:p>
            <w:pPr>
              <w:jc w:val="center"/>
              <w:ind w:left="1731"/>
              <w:spacing w:after="0"/>
              <w:rPr>
                <w:sz w:val="20"/>
                <w:szCs w:val="20"/>
                <w:color w:val="auto"/>
              </w:rPr>
            </w:pPr>
            <w:r>
              <w:rPr>
                <w:rFonts w:ascii="Arial" w:cs="Arial" w:eastAsia="Arial" w:hAnsi="Arial"/>
                <w:sz w:val="18"/>
                <w:szCs w:val="18"/>
                <w:color w:val="auto"/>
                <w:w w:val="99"/>
              </w:rPr>
              <w:t>CANADA</w:t>
            </w:r>
            <w:r>
              <w:rPr>
                <w:rFonts w:ascii="Arial" w:cs="Arial" w:eastAsia="Arial" w:hAnsi="Arial"/>
                <w:sz w:val="26"/>
                <w:szCs w:val="26"/>
                <w:color w:val="auto"/>
                <w:w w:val="99"/>
                <w:vertAlign w:val="superscript"/>
              </w:rPr>
              <w:t>2</w:t>
            </w:r>
          </w:p>
        </w:tc>
        <w:tc>
          <w:tcPr>
            <w:tcW w:w="6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1"/>
              </w:rPr>
              <w:t>BRANCH</w:t>
            </w:r>
            <w:r>
              <w:rPr>
                <w:rFonts w:ascii="Arial" w:cs="Arial" w:eastAsia="Arial" w:hAnsi="Arial"/>
                <w:sz w:val="26"/>
                <w:szCs w:val="26"/>
                <w:color w:val="auto"/>
                <w:w w:val="91"/>
                <w:vertAlign w:val="superscript"/>
              </w:rPr>
              <w:t>1,2</w:t>
            </w:r>
          </w:p>
        </w:tc>
        <w:tc>
          <w:tcPr>
            <w:tcW w:w="0" w:type="dxa"/>
            <w:vAlign w:val="bottom"/>
          </w:tcPr>
          <w:p>
            <w:pPr>
              <w:spacing w:after="0"/>
              <w:rPr>
                <w:sz w:val="1"/>
                <w:szCs w:val="1"/>
                <w:color w:val="auto"/>
              </w:rPr>
            </w:pPr>
          </w:p>
        </w:tc>
      </w:tr>
      <w:tr>
        <w:trPr>
          <w:trHeight w:val="180"/>
        </w:trPr>
        <w:tc>
          <w:tcPr>
            <w:tcW w:w="27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40" w:type="dxa"/>
            <w:vAlign w:val="bottom"/>
            <w:vMerge w:val="restart"/>
          </w:tcPr>
          <w:p>
            <w:pPr>
              <w:jc w:val="center"/>
              <w:ind w:left="390"/>
              <w:spacing w:after="0"/>
              <w:rPr>
                <w:sz w:val="20"/>
                <w:szCs w:val="20"/>
                <w:color w:val="auto"/>
              </w:rPr>
            </w:pPr>
            <w:r>
              <w:rPr>
                <w:rFonts w:ascii="Arial" w:cs="Arial" w:eastAsia="Arial" w:hAnsi="Arial"/>
                <w:sz w:val="18"/>
                <w:szCs w:val="18"/>
                <w:color w:val="auto"/>
                <w:w w:val="94"/>
              </w:rPr>
              <w:t>THE TORONTO</w:t>
            </w:r>
          </w:p>
        </w:tc>
        <w:tc>
          <w:tcPr>
            <w:tcW w:w="1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INDUSTRIAL AND</w:t>
            </w: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COMMERCIAL</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100" w:type="dxa"/>
            <w:vAlign w:val="bottom"/>
            <w:gridSpan w:val="2"/>
            <w:vMerge w:val="restart"/>
          </w:tcPr>
          <w:p>
            <w:pPr>
              <w:jc w:val="center"/>
              <w:ind w:left="251"/>
              <w:spacing w:after="0"/>
              <w:rPr>
                <w:sz w:val="20"/>
                <w:szCs w:val="20"/>
                <w:color w:val="auto"/>
              </w:rPr>
            </w:pPr>
            <w:r>
              <w:rPr>
                <w:rFonts w:ascii="Arial" w:cs="Arial" w:eastAsia="Arial" w:hAnsi="Arial"/>
                <w:sz w:val="18"/>
                <w:szCs w:val="18"/>
                <w:color w:val="auto"/>
              </w:rPr>
              <w:t>LLOYDS BANK</w:t>
            </w:r>
          </w:p>
        </w:tc>
        <w:tc>
          <w:tcPr>
            <w:tcW w:w="2040" w:type="dxa"/>
            <w:vAlign w:val="bottom"/>
            <w:vMerge w:val="restart"/>
          </w:tcPr>
          <w:p>
            <w:pPr>
              <w:jc w:val="center"/>
              <w:ind w:left="390"/>
              <w:spacing w:after="0"/>
              <w:rPr>
                <w:sz w:val="20"/>
                <w:szCs w:val="20"/>
                <w:color w:val="auto"/>
              </w:rPr>
            </w:pPr>
            <w:r>
              <w:rPr>
                <w:rFonts w:ascii="Arial" w:cs="Arial" w:eastAsia="Arial" w:hAnsi="Arial"/>
                <w:sz w:val="18"/>
                <w:szCs w:val="18"/>
                <w:color w:val="auto"/>
                <w:w w:val="99"/>
              </w:rPr>
              <w:t>DOMINION</w:t>
            </w:r>
          </w:p>
        </w:tc>
        <w:tc>
          <w:tcPr>
            <w:tcW w:w="1520" w:type="dxa"/>
            <w:vAlign w:val="bottom"/>
            <w:vMerge w:val="restart"/>
          </w:tcPr>
          <w:p>
            <w:pPr>
              <w:jc w:val="center"/>
              <w:ind w:left="751"/>
              <w:spacing w:after="0"/>
              <w:rPr>
                <w:sz w:val="20"/>
                <w:szCs w:val="20"/>
                <w:color w:val="auto"/>
              </w:rPr>
            </w:pPr>
            <w:r>
              <w:rPr>
                <w:rFonts w:ascii="Arial" w:cs="Arial" w:eastAsia="Arial" w:hAnsi="Arial"/>
                <w:sz w:val="18"/>
                <w:szCs w:val="18"/>
                <w:color w:val="auto"/>
                <w:w w:val="98"/>
              </w:rPr>
              <w:t>WELLS</w:t>
            </w:r>
          </w:p>
        </w:tc>
        <w:tc>
          <w:tcPr>
            <w:tcW w:w="3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440" w:type="dxa"/>
            <w:vAlign w:val="bottom"/>
            <w:gridSpan w:val="2"/>
            <w:vMerge w:val="restart"/>
          </w:tcPr>
          <w:p>
            <w:pPr>
              <w:jc w:val="center"/>
              <w:ind w:left="1071"/>
              <w:spacing w:after="0" w:line="202" w:lineRule="exact"/>
              <w:rPr>
                <w:sz w:val="20"/>
                <w:szCs w:val="20"/>
                <w:color w:val="auto"/>
              </w:rPr>
            </w:pPr>
            <w:r>
              <w:rPr>
                <w:rFonts w:ascii="Arial" w:cs="Arial" w:eastAsia="Arial" w:hAnsi="Arial"/>
                <w:sz w:val="18"/>
                <w:szCs w:val="18"/>
                <w:color w:val="auto"/>
                <w:w w:val="93"/>
              </w:rPr>
              <w:t>INTESA SANPAOLO S.P.A.,</w:t>
            </w:r>
          </w:p>
        </w:tc>
        <w:tc>
          <w:tcPr>
            <w:tcW w:w="2100" w:type="dxa"/>
            <w:vAlign w:val="bottom"/>
            <w:gridSpan w:val="2"/>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BANK OF</w:t>
            </w:r>
          </w:p>
        </w:tc>
        <w:tc>
          <w:tcPr>
            <w:tcW w:w="0" w:type="dxa"/>
            <w:vAlign w:val="bottom"/>
          </w:tcPr>
          <w:p>
            <w:pPr>
              <w:spacing w:after="0"/>
              <w:rPr>
                <w:sz w:val="1"/>
                <w:szCs w:val="1"/>
                <w:color w:val="auto"/>
              </w:rPr>
            </w:pPr>
          </w:p>
        </w:tc>
      </w:tr>
      <w:tr>
        <w:trPr>
          <w:trHeight w:val="108"/>
        </w:trPr>
        <w:tc>
          <w:tcPr>
            <w:tcW w:w="3440" w:type="dxa"/>
            <w:vAlign w:val="bottom"/>
            <w:gridSpan w:val="2"/>
            <w:vMerge w:val="continue"/>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2040" w:type="dxa"/>
            <w:vAlign w:val="bottom"/>
            <w:vMerge w:val="restart"/>
          </w:tcPr>
          <w:p>
            <w:pPr>
              <w:jc w:val="center"/>
              <w:ind w:left="390"/>
              <w:spacing w:after="0"/>
              <w:rPr>
                <w:sz w:val="20"/>
                <w:szCs w:val="20"/>
                <w:color w:val="auto"/>
              </w:rPr>
            </w:pPr>
            <w:r>
              <w:rPr>
                <w:rFonts w:ascii="Arial" w:cs="Arial" w:eastAsia="Arial" w:hAnsi="Arial"/>
                <w:sz w:val="18"/>
                <w:szCs w:val="18"/>
                <w:color w:val="auto"/>
              </w:rPr>
              <w:t>BANK,</w:t>
            </w:r>
          </w:p>
        </w:tc>
        <w:tc>
          <w:tcPr>
            <w:tcW w:w="1520" w:type="dxa"/>
            <w:vAlign w:val="bottom"/>
            <w:vMerge w:val="restart"/>
          </w:tcPr>
          <w:p>
            <w:pPr>
              <w:jc w:val="center"/>
              <w:ind w:left="751"/>
              <w:spacing w:after="0"/>
              <w:rPr>
                <w:sz w:val="20"/>
                <w:szCs w:val="20"/>
                <w:color w:val="auto"/>
              </w:rPr>
            </w:pPr>
            <w:r>
              <w:rPr>
                <w:rFonts w:ascii="Arial" w:cs="Arial" w:eastAsia="Arial" w:hAnsi="Arial"/>
                <w:sz w:val="18"/>
                <w:szCs w:val="18"/>
                <w:color w:val="auto"/>
                <w:w w:val="93"/>
              </w:rPr>
              <w:t>FARGO</w:t>
            </w:r>
          </w:p>
        </w:tc>
        <w:tc>
          <w:tcPr>
            <w:tcW w:w="3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gridSpan w:val="2"/>
            <w:vMerge w:val="restart"/>
          </w:tcPr>
          <w:p>
            <w:pPr>
              <w:jc w:val="center"/>
              <w:ind w:left="1071"/>
              <w:spacing w:after="0" w:line="230" w:lineRule="exact"/>
              <w:rPr>
                <w:sz w:val="20"/>
                <w:szCs w:val="20"/>
                <w:color w:val="auto"/>
              </w:rPr>
            </w:pPr>
            <w:r>
              <w:rPr>
                <w:rFonts w:ascii="Arial" w:cs="Arial" w:eastAsia="Arial" w:hAnsi="Arial"/>
                <w:sz w:val="18"/>
                <w:szCs w:val="18"/>
                <w:color w:val="auto"/>
                <w:w w:val="94"/>
              </w:rPr>
              <w:t>NEW YORK BRANCH</w:t>
            </w:r>
            <w:r>
              <w:rPr>
                <w:rFonts w:ascii="Arial" w:cs="Arial" w:eastAsia="Arial" w:hAnsi="Arial"/>
                <w:sz w:val="26"/>
                <w:szCs w:val="26"/>
                <w:color w:val="auto"/>
                <w:w w:val="94"/>
                <w:vertAlign w:val="superscript"/>
              </w:rPr>
              <w:t>1,2</w:t>
            </w:r>
          </w:p>
        </w:tc>
        <w:tc>
          <w:tcPr>
            <w:tcW w:w="1720" w:type="dxa"/>
            <w:vAlign w:val="bottom"/>
            <w:vMerge w:val="restart"/>
          </w:tcPr>
          <w:p>
            <w:pPr>
              <w:jc w:val="center"/>
              <w:ind w:left="631"/>
              <w:spacing w:after="0" w:line="230" w:lineRule="exact"/>
              <w:rPr>
                <w:sz w:val="20"/>
                <w:szCs w:val="20"/>
                <w:color w:val="auto"/>
              </w:rPr>
            </w:pPr>
            <w:r>
              <w:rPr>
                <w:rFonts w:ascii="Arial" w:cs="Arial" w:eastAsia="Arial" w:hAnsi="Arial"/>
                <w:sz w:val="18"/>
                <w:szCs w:val="18"/>
                <w:color w:val="auto"/>
                <w:w w:val="81"/>
              </w:rPr>
              <w:t>PLC</w:t>
            </w:r>
            <w:r>
              <w:rPr>
                <w:rFonts w:ascii="Arial" w:cs="Arial" w:eastAsia="Arial" w:hAnsi="Arial"/>
                <w:sz w:val="26"/>
                <w:szCs w:val="26"/>
                <w:color w:val="auto"/>
                <w:w w:val="81"/>
                <w:vertAlign w:val="superscript"/>
              </w:rPr>
              <w:t>1,2</w:t>
            </w:r>
          </w:p>
        </w:tc>
        <w:tc>
          <w:tcPr>
            <w:tcW w:w="38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CHINA LIMITED,</w:t>
            </w:r>
          </w:p>
        </w:tc>
        <w:tc>
          <w:tcPr>
            <w:tcW w:w="0" w:type="dxa"/>
            <w:vAlign w:val="bottom"/>
          </w:tcPr>
          <w:p>
            <w:pPr>
              <w:spacing w:after="0"/>
              <w:rPr>
                <w:sz w:val="1"/>
                <w:szCs w:val="1"/>
                <w:color w:val="auto"/>
              </w:rPr>
            </w:pPr>
          </w:p>
        </w:tc>
      </w:tr>
      <w:tr>
        <w:trPr>
          <w:trHeight w:val="121"/>
        </w:trPr>
        <w:tc>
          <w:tcPr>
            <w:tcW w:w="3440" w:type="dxa"/>
            <w:vAlign w:val="bottom"/>
            <w:gridSpan w:val="2"/>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040" w:type="dxa"/>
            <w:vAlign w:val="bottom"/>
            <w:vMerge w:val="restart"/>
          </w:tcPr>
          <w:p>
            <w:pPr>
              <w:jc w:val="center"/>
              <w:ind w:left="390"/>
              <w:spacing w:after="0"/>
              <w:rPr>
                <w:sz w:val="20"/>
                <w:szCs w:val="20"/>
                <w:color w:val="auto"/>
              </w:rPr>
            </w:pPr>
            <w:r>
              <w:rPr>
                <w:rFonts w:ascii="Arial" w:cs="Arial" w:eastAsia="Arial" w:hAnsi="Arial"/>
                <w:sz w:val="18"/>
                <w:szCs w:val="18"/>
                <w:color w:val="auto"/>
                <w:w w:val="97"/>
              </w:rPr>
              <w:t>NEW YORK</w:t>
            </w:r>
          </w:p>
        </w:tc>
        <w:tc>
          <w:tcPr>
            <w:tcW w:w="1840" w:type="dxa"/>
            <w:vAlign w:val="bottom"/>
            <w:gridSpan w:val="2"/>
            <w:vMerge w:val="restart"/>
          </w:tcPr>
          <w:p>
            <w:pPr>
              <w:jc w:val="center"/>
              <w:ind w:left="431"/>
              <w:spacing w:after="0" w:line="216" w:lineRule="exact"/>
              <w:rPr>
                <w:sz w:val="20"/>
                <w:szCs w:val="20"/>
                <w:color w:val="auto"/>
              </w:rPr>
            </w:pPr>
            <w:r>
              <w:rPr>
                <w:rFonts w:ascii="Arial" w:cs="Arial" w:eastAsia="Arial" w:hAnsi="Arial"/>
                <w:sz w:val="17"/>
                <w:szCs w:val="17"/>
                <w:color w:val="auto"/>
                <w:w w:val="99"/>
              </w:rPr>
              <w:t>BANK, N.A.</w:t>
            </w:r>
            <w:r>
              <w:rPr>
                <w:rFonts w:ascii="Arial" w:cs="Arial" w:eastAsia="Arial" w:hAnsi="Arial"/>
                <w:sz w:val="25"/>
                <w:szCs w:val="25"/>
                <w:color w:val="auto"/>
                <w:w w:val="99"/>
                <w:vertAlign w:val="superscript"/>
              </w:rPr>
              <w:t>1,2</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7"/>
              </w:rPr>
              <w:t>NEW YORK</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40" w:type="dxa"/>
            <w:vAlign w:val="bottom"/>
            <w:vMerge w:val="restart"/>
          </w:tcPr>
          <w:p>
            <w:pPr>
              <w:jc w:val="center"/>
              <w:ind w:left="390"/>
              <w:spacing w:after="0" w:line="298" w:lineRule="exact"/>
              <w:rPr>
                <w:sz w:val="20"/>
                <w:szCs w:val="20"/>
                <w:color w:val="auto"/>
              </w:rPr>
            </w:pPr>
            <w:r>
              <w:rPr>
                <w:rFonts w:ascii="Arial" w:cs="Arial" w:eastAsia="Arial" w:hAnsi="Arial"/>
                <w:sz w:val="18"/>
                <w:szCs w:val="18"/>
                <w:color w:val="auto"/>
                <w:w w:val="91"/>
              </w:rPr>
              <w:t>BRANCH</w:t>
            </w:r>
            <w:r>
              <w:rPr>
                <w:rFonts w:ascii="Arial" w:cs="Arial" w:eastAsia="Arial" w:hAnsi="Arial"/>
                <w:sz w:val="26"/>
                <w:szCs w:val="26"/>
                <w:color w:val="auto"/>
                <w:w w:val="91"/>
                <w:vertAlign w:val="superscript"/>
              </w:rPr>
              <w:t>1,2</w:t>
            </w:r>
          </w:p>
        </w:tc>
        <w:tc>
          <w:tcPr>
            <w:tcW w:w="1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5"/>
              </w:rPr>
              <w:t>BRANCH</w:t>
            </w:r>
            <w:r>
              <w:rPr>
                <w:rFonts w:ascii="Arial" w:cs="Arial" w:eastAsia="Arial" w:hAnsi="Arial"/>
                <w:sz w:val="26"/>
                <w:szCs w:val="26"/>
                <w:color w:val="auto"/>
                <w:w w:val="95"/>
                <w:vertAlign w:val="superscript"/>
              </w:rPr>
              <w:t>2</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26"/>
          <w:szCs w:val="26"/>
          <w:i w:val="1"/>
          <w:iCs w:val="1"/>
          <w:color w:val="auto"/>
          <w:vertAlign w:val="superscript"/>
        </w:rPr>
        <w:t>1</w:t>
      </w:r>
      <w:r>
        <w:rPr>
          <w:rFonts w:ascii="Arial" w:cs="Arial" w:eastAsia="Arial" w:hAnsi="Arial"/>
          <w:sz w:val="18"/>
          <w:szCs w:val="18"/>
          <w:i w:val="1"/>
          <w:iCs w:val="1"/>
          <w:color w:val="auto"/>
        </w:rPr>
        <w:t xml:space="preserve"> ) and as Documentation Agents when noted ( </w:t>
      </w:r>
      <w:r>
        <w:rPr>
          <w:rFonts w:ascii="Arial" w:cs="Arial" w:eastAsia="Arial" w:hAnsi="Arial"/>
          <w:sz w:val="26"/>
          <w:szCs w:val="26"/>
          <w:i w:val="1"/>
          <w:iCs w:val="1"/>
          <w:color w:val="auto"/>
          <w:vertAlign w:val="superscript"/>
        </w:rPr>
        <w:t>2</w:t>
      </w:r>
      <w:r>
        <w:rPr>
          <w:rFonts w:ascii="Arial" w:cs="Arial" w:eastAsia="Arial" w:hAnsi="Arial"/>
          <w:sz w:val="18"/>
          <w:szCs w:val="18"/>
          <w:i w:val="1"/>
          <w:iCs w:val="1"/>
          <w:color w:val="auto"/>
        </w:rPr>
        <w:t xml:space="preserve"> )</w:t>
      </w:r>
    </w:p>
    <w:p>
      <w:pPr>
        <w:sectPr>
          <w:pgSz w:w="11900" w:h="16838" w:orient="portrait"/>
          <w:cols w:equalWidth="0" w:num="1">
            <w:col w:w="11020"/>
          </w:cols>
          <w:pgMar w:left="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740" w:type="dxa"/>
            <w:vAlign w:val="bottom"/>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r>
      <w:tr>
        <w:trPr>
          <w:trHeight w:val="377"/>
        </w:trPr>
        <w:tc>
          <w:tcPr>
            <w:tcW w:w="10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1.</w:t>
            </w:r>
          </w:p>
        </w:tc>
        <w:tc>
          <w:tcPr>
            <w:tcW w:w="77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1.1</w:t>
            </w:r>
          </w:p>
        </w:tc>
        <w:tc>
          <w:tcPr>
            <w:tcW w:w="774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1.2</w:t>
            </w:r>
          </w:p>
        </w:tc>
        <w:tc>
          <w:tcPr>
            <w:tcW w:w="774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1.3</w:t>
            </w:r>
          </w:p>
        </w:tc>
        <w:tc>
          <w:tcPr>
            <w:tcW w:w="7740" w:type="dxa"/>
            <w:vAlign w:val="bottom"/>
          </w:tcPr>
          <w:p>
            <w:pPr>
              <w:ind w:left="120"/>
              <w:spacing w:after="0"/>
              <w:rPr>
                <w:sz w:val="20"/>
                <w:szCs w:val="20"/>
                <w:color w:val="auto"/>
              </w:rPr>
            </w:pPr>
            <w:r>
              <w:rPr>
                <w:rFonts w:ascii="Arial" w:cs="Arial" w:eastAsia="Arial" w:hAnsi="Arial"/>
                <w:sz w:val="18"/>
                <w:szCs w:val="18"/>
                <w:color w:val="auto"/>
              </w:rPr>
              <w:t>Conversion of Foreign Currencies</w:t>
            </w:r>
          </w:p>
        </w:tc>
        <w:tc>
          <w:tcPr>
            <w:tcW w:w="2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1.4</w:t>
            </w:r>
          </w:p>
        </w:tc>
        <w:tc>
          <w:tcPr>
            <w:tcW w:w="7740" w:type="dxa"/>
            <w:vAlign w:val="bottom"/>
          </w:tcPr>
          <w:p>
            <w:pPr>
              <w:ind w:left="120"/>
              <w:spacing w:after="0"/>
              <w:rPr>
                <w:sz w:val="20"/>
                <w:szCs w:val="20"/>
                <w:color w:val="auto"/>
              </w:rPr>
            </w:pPr>
            <w:r>
              <w:rPr>
                <w:rFonts w:ascii="Arial" w:cs="Arial" w:eastAsia="Arial" w:hAnsi="Arial"/>
                <w:sz w:val="18"/>
                <w:szCs w:val="18"/>
                <w:color w:val="auto"/>
              </w:rPr>
              <w:t>Other Interpretive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1.5</w:t>
            </w:r>
          </w:p>
        </w:tc>
        <w:tc>
          <w:tcPr>
            <w:tcW w:w="7740" w:type="dxa"/>
            <w:vAlign w:val="bottom"/>
          </w:tcPr>
          <w:p>
            <w:pPr>
              <w:ind w:left="120"/>
              <w:spacing w:after="0"/>
              <w:rPr>
                <w:sz w:val="20"/>
                <w:szCs w:val="20"/>
                <w:color w:val="auto"/>
              </w:rPr>
            </w:pPr>
            <w:r>
              <w:rPr>
                <w:rFonts w:ascii="Arial" w:cs="Arial" w:eastAsia="Arial" w:hAnsi="Arial"/>
                <w:sz w:val="18"/>
                <w:szCs w:val="18"/>
                <w:color w:val="auto"/>
              </w:rPr>
              <w:t>Interest Rates; Benchmark Notification</w:t>
            </w:r>
          </w:p>
        </w:tc>
        <w:tc>
          <w:tcPr>
            <w:tcW w:w="2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1.6</w:t>
            </w:r>
          </w:p>
        </w:tc>
        <w:tc>
          <w:tcPr>
            <w:tcW w:w="7740" w:type="dxa"/>
            <w:vAlign w:val="bottom"/>
          </w:tcPr>
          <w:p>
            <w:pPr>
              <w:ind w:left="120"/>
              <w:spacing w:after="0"/>
              <w:rPr>
                <w:sz w:val="20"/>
                <w:szCs w:val="20"/>
                <w:color w:val="auto"/>
              </w:rPr>
            </w:pPr>
            <w:r>
              <w:rPr>
                <w:rFonts w:ascii="Arial" w:cs="Arial" w:eastAsia="Arial" w:hAnsi="Arial"/>
                <w:sz w:val="18"/>
                <w:szCs w:val="18"/>
                <w:color w:val="auto"/>
              </w:rPr>
              <w:t>Divisions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2.1</w:t>
            </w:r>
          </w:p>
        </w:tc>
        <w:tc>
          <w:tcPr>
            <w:tcW w:w="7740" w:type="dxa"/>
            <w:vAlign w:val="bottom"/>
          </w:tcPr>
          <w:p>
            <w:pPr>
              <w:ind w:left="120"/>
              <w:spacing w:after="0"/>
              <w:rPr>
                <w:sz w:val="20"/>
                <w:szCs w:val="20"/>
                <w:color w:val="auto"/>
              </w:rPr>
            </w:pPr>
            <w:r>
              <w:rPr>
                <w:rFonts w:ascii="Arial" w:cs="Arial" w:eastAsia="Arial" w:hAnsi="Arial"/>
                <w:sz w:val="18"/>
                <w:szCs w:val="18"/>
                <w:color w:val="auto"/>
              </w:rPr>
              <w:t>Commitments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w:t>
            </w:r>
          </w:p>
        </w:tc>
        <w:tc>
          <w:tcPr>
            <w:tcW w:w="7740" w:type="dxa"/>
            <w:vAlign w:val="bottom"/>
          </w:tcPr>
          <w:p>
            <w:pPr>
              <w:ind w:left="120"/>
              <w:spacing w:after="0"/>
              <w:rPr>
                <w:sz w:val="20"/>
                <w:szCs w:val="20"/>
                <w:color w:val="auto"/>
              </w:rPr>
            </w:pPr>
            <w:r>
              <w:rPr>
                <w:rFonts w:ascii="Arial" w:cs="Arial" w:eastAsia="Arial" w:hAnsi="Arial"/>
                <w:sz w:val="18"/>
                <w:szCs w:val="18"/>
                <w:color w:val="auto"/>
              </w:rPr>
              <w:t>Procedure for Borrowing</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2.3</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2.4</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2.5</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2.6</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2.7</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2.8</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2.9</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2.10</w:t>
            </w:r>
          </w:p>
        </w:tc>
        <w:tc>
          <w:tcPr>
            <w:tcW w:w="7740" w:type="dxa"/>
            <w:vAlign w:val="bottom"/>
          </w:tcPr>
          <w:p>
            <w:pPr>
              <w:ind w:left="120"/>
              <w:spacing w:after="0"/>
              <w:rPr>
                <w:sz w:val="20"/>
                <w:szCs w:val="20"/>
                <w:color w:val="auto"/>
              </w:rPr>
            </w:pPr>
            <w:r>
              <w:rPr>
                <w:rFonts w:ascii="Arial" w:cs="Arial" w:eastAsia="Arial" w:hAnsi="Arial"/>
                <w:sz w:val="18"/>
                <w:szCs w:val="18"/>
                <w:color w:val="auto"/>
              </w:rPr>
              <w:t>Facility Fees, etc.</w:t>
            </w:r>
          </w:p>
        </w:tc>
        <w:tc>
          <w:tcPr>
            <w:tcW w:w="2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2.11</w:t>
            </w:r>
          </w:p>
        </w:tc>
        <w:tc>
          <w:tcPr>
            <w:tcW w:w="7740" w:type="dxa"/>
            <w:vAlign w:val="bottom"/>
          </w:tcPr>
          <w:p>
            <w:pPr>
              <w:ind w:left="120"/>
              <w:spacing w:after="0"/>
              <w:rPr>
                <w:sz w:val="20"/>
                <w:szCs w:val="20"/>
                <w:color w:val="auto"/>
              </w:rPr>
            </w:pPr>
            <w:r>
              <w:rPr>
                <w:rFonts w:ascii="Arial" w:cs="Arial" w:eastAsia="Arial" w:hAnsi="Arial"/>
                <w:sz w:val="18"/>
                <w:szCs w:val="18"/>
                <w:color w:val="auto"/>
              </w:rPr>
              <w:t>Termination and Reduction of Commitments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2.12</w:t>
            </w:r>
          </w:p>
        </w:tc>
        <w:tc>
          <w:tcPr>
            <w:tcW w:w="7740" w:type="dxa"/>
            <w:vAlign w:val="bottom"/>
          </w:tcPr>
          <w:p>
            <w:pPr>
              <w:ind w:left="120"/>
              <w:spacing w:after="0"/>
              <w:rPr>
                <w:sz w:val="20"/>
                <w:szCs w:val="20"/>
                <w:color w:val="auto"/>
              </w:rPr>
            </w:pPr>
            <w:r>
              <w:rPr>
                <w:rFonts w:ascii="Arial" w:cs="Arial" w:eastAsia="Arial" w:hAnsi="Arial"/>
                <w:sz w:val="18"/>
                <w:szCs w:val="18"/>
                <w:color w:val="auto"/>
              </w:rPr>
              <w:t>Optional Prepayments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2.13</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2.14</w:t>
            </w:r>
          </w:p>
        </w:tc>
        <w:tc>
          <w:tcPr>
            <w:tcW w:w="7740" w:type="dxa"/>
            <w:vAlign w:val="bottom"/>
          </w:tcPr>
          <w:p>
            <w:pPr>
              <w:ind w:left="120"/>
              <w:spacing w:after="0"/>
              <w:rPr>
                <w:sz w:val="20"/>
                <w:szCs w:val="20"/>
                <w:color w:val="auto"/>
              </w:rPr>
            </w:pPr>
            <w:r>
              <w:rPr>
                <w:rFonts w:ascii="Arial" w:cs="Arial" w:eastAsia="Arial" w:hAnsi="Arial"/>
                <w:sz w:val="18"/>
                <w:szCs w:val="18"/>
                <w:color w:val="auto"/>
              </w:rPr>
              <w:t>Conversion and Continuation Options</w:t>
            </w:r>
          </w:p>
        </w:tc>
        <w:tc>
          <w:tcPr>
            <w:tcW w:w="2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2.15</w:t>
            </w:r>
          </w:p>
        </w:tc>
        <w:tc>
          <w:tcPr>
            <w:tcW w:w="7740" w:type="dxa"/>
            <w:vAlign w:val="bottom"/>
          </w:tcPr>
          <w:p>
            <w:pPr>
              <w:ind w:left="120"/>
              <w:spacing w:after="0"/>
              <w:rPr>
                <w:sz w:val="20"/>
                <w:szCs w:val="20"/>
                <w:color w:val="auto"/>
              </w:rPr>
            </w:pPr>
            <w:r>
              <w:rPr>
                <w:rFonts w:ascii="Arial" w:cs="Arial" w:eastAsia="Arial" w:hAnsi="Arial"/>
                <w:sz w:val="18"/>
                <w:szCs w:val="18"/>
                <w:color w:val="auto"/>
              </w:rPr>
              <w:t>Limitations on Term Benchmark Tranches and Daily Simple SOFR Borrowings</w:t>
            </w:r>
          </w:p>
        </w:tc>
        <w:tc>
          <w:tcPr>
            <w:tcW w:w="2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2.16</w:t>
            </w:r>
          </w:p>
        </w:tc>
        <w:tc>
          <w:tcPr>
            <w:tcW w:w="7740" w:type="dxa"/>
            <w:vAlign w:val="bottom"/>
          </w:tcPr>
          <w:p>
            <w:pPr>
              <w:ind w:left="120"/>
              <w:spacing w:after="0"/>
              <w:rPr>
                <w:sz w:val="20"/>
                <w:szCs w:val="20"/>
                <w:color w:val="auto"/>
              </w:rPr>
            </w:pPr>
            <w:r>
              <w:rPr>
                <w:rFonts w:ascii="Arial" w:cs="Arial" w:eastAsia="Arial" w:hAnsi="Arial"/>
                <w:sz w:val="18"/>
                <w:szCs w:val="18"/>
                <w:color w:val="auto"/>
              </w:rPr>
              <w:t>Interest Rates and Payment Dates</w:t>
            </w:r>
          </w:p>
        </w:tc>
        <w:tc>
          <w:tcPr>
            <w:tcW w:w="2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2.17</w:t>
            </w:r>
          </w:p>
        </w:tc>
        <w:tc>
          <w:tcPr>
            <w:tcW w:w="7740" w:type="dxa"/>
            <w:vAlign w:val="bottom"/>
          </w:tcPr>
          <w:p>
            <w:pPr>
              <w:ind w:left="120"/>
              <w:spacing w:after="0"/>
              <w:rPr>
                <w:sz w:val="20"/>
                <w:szCs w:val="20"/>
                <w:color w:val="auto"/>
              </w:rPr>
            </w:pPr>
            <w:r>
              <w:rPr>
                <w:rFonts w:ascii="Arial" w:cs="Arial" w:eastAsia="Arial" w:hAnsi="Arial"/>
                <w:sz w:val="18"/>
                <w:szCs w:val="18"/>
                <w:color w:val="auto"/>
              </w:rPr>
              <w:t>Computation of Interest and Fees</w:t>
            </w: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2.18</w:t>
            </w:r>
          </w:p>
        </w:tc>
        <w:tc>
          <w:tcPr>
            <w:tcW w:w="7740" w:type="dxa"/>
            <w:vAlign w:val="bottom"/>
          </w:tcPr>
          <w:p>
            <w:pPr>
              <w:ind w:left="120"/>
              <w:spacing w:after="0"/>
              <w:rPr>
                <w:sz w:val="20"/>
                <w:szCs w:val="20"/>
                <w:color w:val="auto"/>
              </w:rPr>
            </w:pPr>
            <w:r>
              <w:rPr>
                <w:rFonts w:ascii="Arial" w:cs="Arial" w:eastAsia="Arial" w:hAnsi="Arial"/>
                <w:sz w:val="18"/>
                <w:szCs w:val="18"/>
                <w:color w:val="auto"/>
              </w:rPr>
              <w:t>Alternate Rate of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2.19</w:t>
            </w:r>
          </w:p>
        </w:tc>
        <w:tc>
          <w:tcPr>
            <w:tcW w:w="7740" w:type="dxa"/>
            <w:vAlign w:val="bottom"/>
          </w:tcPr>
          <w:p>
            <w:pPr>
              <w:ind w:left="120"/>
              <w:spacing w:after="0"/>
              <w:rPr>
                <w:sz w:val="20"/>
                <w:szCs w:val="20"/>
                <w:color w:val="auto"/>
              </w:rPr>
            </w:pPr>
            <w:r>
              <w:rPr>
                <w:rFonts w:ascii="Arial" w:cs="Arial" w:eastAsia="Arial" w:hAnsi="Arial"/>
                <w:sz w:val="18"/>
                <w:szCs w:val="18"/>
                <w:color w:val="auto"/>
              </w:rPr>
              <w:t>Pro Rata Treatment and Payments; Evidence of Debt</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2.20</w:t>
            </w:r>
          </w:p>
        </w:tc>
        <w:tc>
          <w:tcPr>
            <w:tcW w:w="7740" w:type="dxa"/>
            <w:vAlign w:val="bottom"/>
          </w:tcPr>
          <w:p>
            <w:pPr>
              <w:ind w:left="120"/>
              <w:spacing w:after="0"/>
              <w:rPr>
                <w:sz w:val="20"/>
                <w:szCs w:val="20"/>
                <w:color w:val="auto"/>
              </w:rPr>
            </w:pPr>
            <w:r>
              <w:rPr>
                <w:rFonts w:ascii="Arial" w:cs="Arial" w:eastAsia="Arial" w:hAnsi="Arial"/>
                <w:sz w:val="18"/>
                <w:szCs w:val="18"/>
                <w:color w:val="auto"/>
              </w:rPr>
              <w:t>Requirements of Law</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2.21</w:t>
            </w:r>
          </w:p>
        </w:tc>
        <w:tc>
          <w:tcPr>
            <w:tcW w:w="7740" w:type="dxa"/>
            <w:vAlign w:val="bottom"/>
          </w:tcPr>
          <w:p>
            <w:pPr>
              <w:ind w:left="120"/>
              <w:spacing w:after="0"/>
              <w:rPr>
                <w:sz w:val="20"/>
                <w:szCs w:val="20"/>
                <w:color w:val="auto"/>
              </w:rPr>
            </w:pPr>
            <w:r>
              <w:rPr>
                <w:rFonts w:ascii="Arial" w:cs="Arial" w:eastAsia="Arial" w:hAnsi="Arial"/>
                <w:sz w:val="18"/>
                <w:szCs w:val="18"/>
                <w:color w:val="auto"/>
              </w:rPr>
              <w:t>Taxes</w:t>
            </w:r>
          </w:p>
        </w:tc>
        <w:tc>
          <w:tcPr>
            <w:tcW w:w="2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2.22</w:t>
            </w:r>
          </w:p>
        </w:tc>
        <w:tc>
          <w:tcPr>
            <w:tcW w:w="774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2.23</w:t>
            </w:r>
          </w:p>
        </w:tc>
        <w:tc>
          <w:tcPr>
            <w:tcW w:w="7740" w:type="dxa"/>
            <w:vAlign w:val="bottom"/>
          </w:tcPr>
          <w:p>
            <w:pPr>
              <w:ind w:left="120"/>
              <w:spacing w:after="0"/>
              <w:rPr>
                <w:sz w:val="20"/>
                <w:szCs w:val="20"/>
                <w:color w:val="auto"/>
              </w:rPr>
            </w:pPr>
            <w:r>
              <w:rPr>
                <w:rFonts w:ascii="Arial" w:cs="Arial" w:eastAsia="Arial" w:hAnsi="Arial"/>
                <w:sz w:val="18"/>
                <w:szCs w:val="18"/>
                <w:color w:val="auto"/>
              </w:rPr>
              <w:t>Change of Applicable Lending Office</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2.24</w:t>
            </w:r>
          </w:p>
        </w:tc>
        <w:tc>
          <w:tcPr>
            <w:tcW w:w="7740" w:type="dxa"/>
            <w:vAlign w:val="bottom"/>
          </w:tcPr>
          <w:p>
            <w:pPr>
              <w:ind w:left="120"/>
              <w:spacing w:after="0"/>
              <w:rPr>
                <w:sz w:val="20"/>
                <w:szCs w:val="20"/>
                <w:color w:val="auto"/>
              </w:rPr>
            </w:pPr>
            <w:r>
              <w:rPr>
                <w:rFonts w:ascii="Arial" w:cs="Arial" w:eastAsia="Arial" w:hAnsi="Arial"/>
                <w:sz w:val="18"/>
                <w:szCs w:val="18"/>
                <w:color w:val="auto"/>
              </w:rPr>
              <w:t>Replacement/Termination of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2.25</w:t>
            </w:r>
          </w:p>
        </w:tc>
        <w:tc>
          <w:tcPr>
            <w:tcW w:w="7740" w:type="dxa"/>
            <w:vAlign w:val="bottom"/>
          </w:tcPr>
          <w:p>
            <w:pPr>
              <w:ind w:left="120"/>
              <w:spacing w:after="0"/>
              <w:rPr>
                <w:sz w:val="20"/>
                <w:szCs w:val="20"/>
                <w:color w:val="auto"/>
              </w:rPr>
            </w:pPr>
            <w:r>
              <w:rPr>
                <w:rFonts w:ascii="Arial" w:cs="Arial" w:eastAsia="Arial" w:hAnsi="Arial"/>
                <w:sz w:val="18"/>
                <w:szCs w:val="18"/>
                <w:color w:val="auto"/>
              </w:rPr>
              <w:t>Defaulting Lender</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2.26</w:t>
            </w:r>
          </w:p>
        </w:tc>
        <w:tc>
          <w:tcPr>
            <w:tcW w:w="7740" w:type="dxa"/>
            <w:vAlign w:val="bottom"/>
          </w:tcPr>
          <w:p>
            <w:pPr>
              <w:ind w:left="120"/>
              <w:spacing w:after="0"/>
              <w:rPr>
                <w:sz w:val="20"/>
                <w:szCs w:val="20"/>
                <w:color w:val="auto"/>
              </w:rPr>
            </w:pPr>
            <w:r>
              <w:rPr>
                <w:rFonts w:ascii="Arial" w:cs="Arial" w:eastAsia="Arial" w:hAnsi="Arial"/>
                <w:sz w:val="18"/>
                <w:szCs w:val="18"/>
                <w:color w:val="auto"/>
              </w:rPr>
              <w:t>Reallocation of Payments for the Account of Defaulting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3.</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5"/>
        </w:trPr>
        <w:tc>
          <w:tcPr>
            <w:tcW w:w="1060" w:type="dxa"/>
            <w:vAlign w:val="bottom"/>
          </w:tcPr>
          <w:p>
            <w:pPr>
              <w:spacing w:after="0"/>
              <w:rPr>
                <w:sz w:val="24"/>
                <w:szCs w:val="24"/>
                <w:color w:val="auto"/>
              </w:rPr>
            </w:pPr>
          </w:p>
        </w:tc>
        <w:tc>
          <w:tcPr>
            <w:tcW w:w="7740" w:type="dxa"/>
            <w:vAlign w:val="bottom"/>
          </w:tcPr>
          <w:p>
            <w:pPr>
              <w:ind w:left="4420"/>
              <w:spacing w:after="0"/>
              <w:rPr>
                <w:sz w:val="20"/>
                <w:szCs w:val="20"/>
                <w:color w:val="auto"/>
              </w:rPr>
            </w:pPr>
            <w:r>
              <w:rPr>
                <w:rFonts w:ascii="Arial" w:cs="Arial" w:eastAsia="Arial" w:hAnsi="Arial"/>
                <w:sz w:val="18"/>
                <w:szCs w:val="18"/>
                <w:color w:val="auto"/>
              </w:rPr>
              <w:t>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4.1</w:t>
            </w:r>
          </w:p>
        </w:tc>
        <w:tc>
          <w:tcPr>
            <w:tcW w:w="6620" w:type="dxa"/>
            <w:vAlign w:val="bottom"/>
          </w:tcPr>
          <w:p>
            <w:pPr>
              <w:ind w:left="120"/>
              <w:spacing w:after="0"/>
              <w:rPr>
                <w:sz w:val="20"/>
                <w:szCs w:val="20"/>
                <w:color w:val="auto"/>
              </w:rPr>
            </w:pPr>
            <w:r>
              <w:rPr>
                <w:rFonts w:ascii="Arial" w:cs="Arial" w:eastAsia="Arial" w:hAnsi="Arial"/>
                <w:sz w:val="18"/>
                <w:szCs w:val="18"/>
                <w:color w:val="auto"/>
              </w:rPr>
              <w:t>Financial Condition</w:t>
            </w:r>
          </w:p>
        </w:tc>
        <w:tc>
          <w:tcPr>
            <w:tcW w:w="3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4.2</w:t>
            </w:r>
          </w:p>
        </w:tc>
        <w:tc>
          <w:tcPr>
            <w:tcW w:w="6620" w:type="dxa"/>
            <w:vAlign w:val="bottom"/>
          </w:tcPr>
          <w:p>
            <w:pPr>
              <w:ind w:left="120"/>
              <w:spacing w:after="0"/>
              <w:rPr>
                <w:sz w:val="20"/>
                <w:szCs w:val="20"/>
                <w:color w:val="auto"/>
              </w:rPr>
            </w:pPr>
            <w:r>
              <w:rPr>
                <w:rFonts w:ascii="Arial" w:cs="Arial" w:eastAsia="Arial" w:hAnsi="Arial"/>
                <w:sz w:val="18"/>
                <w:szCs w:val="18"/>
                <w:color w:val="auto"/>
              </w:rPr>
              <w:t>No Change</w:t>
            </w:r>
          </w:p>
        </w:tc>
        <w:tc>
          <w:tcPr>
            <w:tcW w:w="3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4.3</w:t>
            </w:r>
          </w:p>
        </w:tc>
        <w:tc>
          <w:tcPr>
            <w:tcW w:w="662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3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4.4</w:t>
            </w:r>
          </w:p>
        </w:tc>
        <w:tc>
          <w:tcPr>
            <w:tcW w:w="6620" w:type="dxa"/>
            <w:vAlign w:val="bottom"/>
          </w:tcPr>
          <w:p>
            <w:pPr>
              <w:ind w:left="120"/>
              <w:spacing w:after="0"/>
              <w:rPr>
                <w:sz w:val="20"/>
                <w:szCs w:val="20"/>
                <w:color w:val="auto"/>
              </w:rPr>
            </w:pPr>
            <w:r>
              <w:rPr>
                <w:rFonts w:ascii="Arial" w:cs="Arial" w:eastAsia="Arial" w:hAnsi="Arial"/>
                <w:sz w:val="18"/>
                <w:szCs w:val="18"/>
                <w:color w:val="auto"/>
              </w:rPr>
              <w:t>Power; Authorization; Enforceable Obligations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4.5</w:t>
            </w:r>
          </w:p>
        </w:tc>
        <w:tc>
          <w:tcPr>
            <w:tcW w:w="6620" w:type="dxa"/>
            <w:vAlign w:val="bottom"/>
          </w:tcPr>
          <w:p>
            <w:pPr>
              <w:ind w:left="120"/>
              <w:spacing w:after="0"/>
              <w:rPr>
                <w:sz w:val="20"/>
                <w:szCs w:val="20"/>
                <w:color w:val="auto"/>
              </w:rPr>
            </w:pPr>
            <w:r>
              <w:rPr>
                <w:rFonts w:ascii="Arial" w:cs="Arial" w:eastAsia="Arial" w:hAnsi="Arial"/>
                <w:sz w:val="18"/>
                <w:szCs w:val="18"/>
                <w:color w:val="auto"/>
              </w:rPr>
              <w:t>No Legal Bar</w:t>
            </w:r>
          </w:p>
        </w:tc>
        <w:tc>
          <w:tcPr>
            <w:tcW w:w="3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4.6</w:t>
            </w:r>
          </w:p>
        </w:tc>
        <w:tc>
          <w:tcPr>
            <w:tcW w:w="662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4.7</w:t>
            </w:r>
          </w:p>
        </w:tc>
        <w:tc>
          <w:tcPr>
            <w:tcW w:w="6620" w:type="dxa"/>
            <w:vAlign w:val="bottom"/>
          </w:tcPr>
          <w:p>
            <w:pPr>
              <w:ind w:left="120"/>
              <w:spacing w:after="0"/>
              <w:rPr>
                <w:sz w:val="20"/>
                <w:szCs w:val="20"/>
                <w:color w:val="auto"/>
              </w:rPr>
            </w:pPr>
            <w:r>
              <w:rPr>
                <w:rFonts w:ascii="Arial" w:cs="Arial" w:eastAsia="Arial" w:hAnsi="Arial"/>
                <w:sz w:val="18"/>
                <w:szCs w:val="18"/>
                <w:color w:val="auto"/>
              </w:rPr>
              <w:t>No Default</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4.8</w:t>
            </w:r>
          </w:p>
        </w:tc>
        <w:tc>
          <w:tcPr>
            <w:tcW w:w="6620" w:type="dxa"/>
            <w:vAlign w:val="bottom"/>
          </w:tcPr>
          <w:p>
            <w:pPr>
              <w:ind w:left="120"/>
              <w:spacing w:after="0"/>
              <w:rPr>
                <w:sz w:val="20"/>
                <w:szCs w:val="20"/>
                <w:color w:val="auto"/>
              </w:rPr>
            </w:pPr>
            <w:r>
              <w:rPr>
                <w:rFonts w:ascii="Arial" w:cs="Arial" w:eastAsia="Arial" w:hAnsi="Arial"/>
                <w:sz w:val="18"/>
                <w:szCs w:val="18"/>
                <w:color w:val="auto"/>
              </w:rPr>
              <w:t>Ownership of Property</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4.9</w:t>
            </w:r>
          </w:p>
        </w:tc>
        <w:tc>
          <w:tcPr>
            <w:tcW w:w="662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4.10</w:t>
            </w:r>
          </w:p>
        </w:tc>
        <w:tc>
          <w:tcPr>
            <w:tcW w:w="6620" w:type="dxa"/>
            <w:vAlign w:val="bottom"/>
          </w:tcPr>
          <w:p>
            <w:pPr>
              <w:ind w:left="120"/>
              <w:spacing w:after="0"/>
              <w:rPr>
                <w:sz w:val="20"/>
                <w:szCs w:val="20"/>
                <w:color w:val="auto"/>
              </w:rPr>
            </w:pPr>
            <w:r>
              <w:rPr>
                <w:rFonts w:ascii="Arial" w:cs="Arial" w:eastAsia="Arial" w:hAnsi="Arial"/>
                <w:sz w:val="18"/>
                <w:szCs w:val="18"/>
                <w:color w:val="auto"/>
              </w:rPr>
              <w:t>Federal Regulations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4.11</w:t>
            </w:r>
          </w:p>
        </w:tc>
        <w:tc>
          <w:tcPr>
            <w:tcW w:w="6620" w:type="dxa"/>
            <w:vAlign w:val="bottom"/>
          </w:tcPr>
          <w:p>
            <w:pPr>
              <w:ind w:left="120"/>
              <w:spacing w:after="0"/>
              <w:rPr>
                <w:sz w:val="20"/>
                <w:szCs w:val="20"/>
                <w:color w:val="auto"/>
              </w:rPr>
            </w:pPr>
            <w:r>
              <w:rPr>
                <w:rFonts w:ascii="Arial" w:cs="Arial" w:eastAsia="Arial" w:hAnsi="Arial"/>
                <w:sz w:val="18"/>
                <w:szCs w:val="18"/>
                <w:color w:val="auto"/>
              </w:rPr>
              <w:t>ERISA</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4.12</w:t>
            </w:r>
          </w:p>
        </w:tc>
        <w:tc>
          <w:tcPr>
            <w:tcW w:w="6620" w:type="dxa"/>
            <w:vAlign w:val="bottom"/>
          </w:tcPr>
          <w:p>
            <w:pPr>
              <w:ind w:left="120"/>
              <w:spacing w:after="0"/>
              <w:rPr>
                <w:sz w:val="20"/>
                <w:szCs w:val="20"/>
                <w:color w:val="auto"/>
              </w:rPr>
            </w:pPr>
            <w:r>
              <w:rPr>
                <w:rFonts w:ascii="Arial" w:cs="Arial" w:eastAsia="Arial" w:hAnsi="Arial"/>
                <w:sz w:val="18"/>
                <w:szCs w:val="18"/>
                <w:color w:val="auto"/>
              </w:rPr>
              <w:t>Investment Company Act</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4.13</w:t>
            </w:r>
          </w:p>
        </w:tc>
        <w:tc>
          <w:tcPr>
            <w:tcW w:w="6620" w:type="dxa"/>
            <w:vAlign w:val="bottom"/>
          </w:tcPr>
          <w:p>
            <w:pPr>
              <w:ind w:left="120"/>
              <w:spacing w:after="0"/>
              <w:rPr>
                <w:sz w:val="20"/>
                <w:szCs w:val="20"/>
                <w:color w:val="auto"/>
              </w:rPr>
            </w:pPr>
            <w:r>
              <w:rPr>
                <w:rFonts w:ascii="Arial" w:cs="Arial" w:eastAsia="Arial" w:hAnsi="Arial"/>
                <w:sz w:val="18"/>
                <w:szCs w:val="18"/>
                <w:color w:val="auto"/>
              </w:rPr>
              <w:t>[Reserved]</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4.14</w:t>
            </w:r>
          </w:p>
        </w:tc>
        <w:tc>
          <w:tcPr>
            <w:tcW w:w="662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4.15</w:t>
            </w:r>
          </w:p>
        </w:tc>
        <w:tc>
          <w:tcPr>
            <w:tcW w:w="6620" w:type="dxa"/>
            <w:vAlign w:val="bottom"/>
          </w:tcPr>
          <w:p>
            <w:pPr>
              <w:ind w:left="120"/>
              <w:spacing w:after="0"/>
              <w:rPr>
                <w:sz w:val="20"/>
                <w:szCs w:val="20"/>
                <w:color w:val="auto"/>
              </w:rPr>
            </w:pPr>
            <w:r>
              <w:rPr>
                <w:rFonts w:ascii="Arial" w:cs="Arial" w:eastAsia="Arial" w:hAnsi="Arial"/>
                <w:sz w:val="18"/>
                <w:szCs w:val="18"/>
                <w:color w:val="auto"/>
              </w:rPr>
              <w:t>Anti-Corruption Laws and Sanctions</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5.</w:t>
            </w:r>
          </w:p>
        </w:tc>
        <w:tc>
          <w:tcPr>
            <w:tcW w:w="6620" w:type="dxa"/>
            <w:vAlign w:val="bottom"/>
          </w:tcPr>
          <w:p>
            <w:pPr>
              <w:ind w:left="120"/>
              <w:spacing w:after="0"/>
              <w:rPr>
                <w:sz w:val="20"/>
                <w:szCs w:val="20"/>
                <w:color w:val="auto"/>
              </w:rPr>
            </w:pPr>
            <w:r>
              <w:rPr>
                <w:rFonts w:ascii="Arial" w:cs="Arial" w:eastAsia="Arial" w:hAnsi="Arial"/>
                <w:sz w:val="18"/>
                <w:szCs w:val="18"/>
                <w:color w:val="auto"/>
              </w:rPr>
              <w:t>CONDITIONS PRECEDENT</w:t>
            </w:r>
          </w:p>
        </w:tc>
        <w:tc>
          <w:tcPr>
            <w:tcW w:w="3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5.1</w:t>
            </w:r>
          </w:p>
        </w:tc>
        <w:tc>
          <w:tcPr>
            <w:tcW w:w="6620" w:type="dxa"/>
            <w:vAlign w:val="bottom"/>
          </w:tcPr>
          <w:p>
            <w:pPr>
              <w:ind w:left="120"/>
              <w:spacing w:after="0"/>
              <w:rPr>
                <w:sz w:val="20"/>
                <w:szCs w:val="20"/>
                <w:color w:val="auto"/>
              </w:rPr>
            </w:pPr>
            <w:r>
              <w:rPr>
                <w:rFonts w:ascii="Arial" w:cs="Arial" w:eastAsia="Arial" w:hAnsi="Arial"/>
                <w:sz w:val="18"/>
                <w:szCs w:val="18"/>
                <w:color w:val="auto"/>
              </w:rPr>
              <w:t>Conditions to Closing Date</w:t>
            </w:r>
          </w:p>
        </w:tc>
        <w:tc>
          <w:tcPr>
            <w:tcW w:w="3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5.2</w:t>
            </w:r>
          </w:p>
        </w:tc>
        <w:tc>
          <w:tcPr>
            <w:tcW w:w="6620" w:type="dxa"/>
            <w:vAlign w:val="bottom"/>
          </w:tcPr>
          <w:p>
            <w:pPr>
              <w:ind w:left="120"/>
              <w:spacing w:after="0"/>
              <w:rPr>
                <w:sz w:val="20"/>
                <w:szCs w:val="20"/>
                <w:color w:val="auto"/>
              </w:rPr>
            </w:pPr>
            <w:r>
              <w:rPr>
                <w:rFonts w:ascii="Arial" w:cs="Arial" w:eastAsia="Arial" w:hAnsi="Arial"/>
                <w:sz w:val="18"/>
                <w:szCs w:val="18"/>
                <w:color w:val="auto"/>
              </w:rPr>
              <w:t>Conditions to Each Extension of Credit</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6.</w:t>
            </w:r>
          </w:p>
        </w:tc>
        <w:tc>
          <w:tcPr>
            <w:tcW w:w="6620" w:type="dxa"/>
            <w:vAlign w:val="bottom"/>
          </w:tcPr>
          <w:p>
            <w:pPr>
              <w:ind w:left="120"/>
              <w:spacing w:after="0"/>
              <w:rPr>
                <w:sz w:val="20"/>
                <w:szCs w:val="20"/>
                <w:color w:val="auto"/>
              </w:rPr>
            </w:pPr>
            <w:r>
              <w:rPr>
                <w:rFonts w:ascii="Arial" w:cs="Arial" w:eastAsia="Arial" w:hAnsi="Arial"/>
                <w:sz w:val="18"/>
                <w:szCs w:val="18"/>
                <w:color w:val="auto"/>
              </w:rPr>
              <w:t>AFFIRMATIVE COVENANTS</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6.1</w:t>
            </w:r>
          </w:p>
        </w:tc>
        <w:tc>
          <w:tcPr>
            <w:tcW w:w="662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6.2</w:t>
            </w:r>
          </w:p>
        </w:tc>
        <w:tc>
          <w:tcPr>
            <w:tcW w:w="6620" w:type="dxa"/>
            <w:vAlign w:val="bottom"/>
          </w:tcPr>
          <w:p>
            <w:pPr>
              <w:ind w:left="120"/>
              <w:spacing w:after="0"/>
              <w:rPr>
                <w:sz w:val="20"/>
                <w:szCs w:val="20"/>
                <w:color w:val="auto"/>
              </w:rPr>
            </w:pPr>
            <w:r>
              <w:rPr>
                <w:rFonts w:ascii="Arial" w:cs="Arial" w:eastAsia="Arial" w:hAnsi="Arial"/>
                <w:sz w:val="18"/>
                <w:szCs w:val="18"/>
                <w:color w:val="auto"/>
              </w:rPr>
              <w:t>Compliance Certificates</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6.3</w:t>
            </w:r>
          </w:p>
        </w:tc>
        <w:tc>
          <w:tcPr>
            <w:tcW w:w="6620" w:type="dxa"/>
            <w:vAlign w:val="bottom"/>
          </w:tcPr>
          <w:p>
            <w:pPr>
              <w:ind w:left="120"/>
              <w:spacing w:after="0"/>
              <w:rPr>
                <w:sz w:val="20"/>
                <w:szCs w:val="20"/>
                <w:color w:val="auto"/>
              </w:rPr>
            </w:pPr>
            <w:r>
              <w:rPr>
                <w:rFonts w:ascii="Arial" w:cs="Arial" w:eastAsia="Arial" w:hAnsi="Arial"/>
                <w:sz w:val="18"/>
                <w:szCs w:val="18"/>
                <w:color w:val="auto"/>
              </w:rPr>
              <w:t>Maintenance of Business; Existence</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6.4</w:t>
            </w:r>
          </w:p>
        </w:tc>
        <w:tc>
          <w:tcPr>
            <w:tcW w:w="6620" w:type="dxa"/>
            <w:vAlign w:val="bottom"/>
          </w:tcPr>
          <w:p>
            <w:pPr>
              <w:ind w:left="120"/>
              <w:spacing w:after="0"/>
              <w:rPr>
                <w:sz w:val="20"/>
                <w:szCs w:val="20"/>
                <w:color w:val="auto"/>
              </w:rPr>
            </w:pPr>
            <w:r>
              <w:rPr>
                <w:rFonts w:ascii="Arial" w:cs="Arial" w:eastAsia="Arial" w:hAnsi="Arial"/>
                <w:sz w:val="18"/>
                <w:szCs w:val="18"/>
                <w:color w:val="auto"/>
              </w:rPr>
              <w:t>Maintenance of Insurance</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6.5</w:t>
            </w:r>
          </w:p>
        </w:tc>
        <w:tc>
          <w:tcPr>
            <w:tcW w:w="6620" w:type="dxa"/>
            <w:vAlign w:val="bottom"/>
          </w:tcPr>
          <w:p>
            <w:pPr>
              <w:ind w:left="120"/>
              <w:spacing w:after="0"/>
              <w:rPr>
                <w:sz w:val="20"/>
                <w:szCs w:val="20"/>
                <w:color w:val="auto"/>
              </w:rPr>
            </w:pPr>
            <w:r>
              <w:rPr>
                <w:rFonts w:ascii="Arial" w:cs="Arial" w:eastAsia="Arial" w:hAnsi="Arial"/>
                <w:sz w:val="18"/>
                <w:szCs w:val="18"/>
                <w:color w:val="auto"/>
              </w:rPr>
              <w:t>Notices</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6.6</w:t>
            </w:r>
          </w:p>
        </w:tc>
        <w:tc>
          <w:tcPr>
            <w:tcW w:w="6620" w:type="dxa"/>
            <w:vAlign w:val="bottom"/>
          </w:tcPr>
          <w:p>
            <w:pPr>
              <w:ind w:left="120"/>
              <w:spacing w:after="0"/>
              <w:rPr>
                <w:sz w:val="20"/>
                <w:szCs w:val="20"/>
                <w:color w:val="auto"/>
              </w:rPr>
            </w:pPr>
            <w:r>
              <w:rPr>
                <w:rFonts w:ascii="Arial" w:cs="Arial" w:eastAsia="Arial" w:hAnsi="Arial"/>
                <w:sz w:val="18"/>
                <w:szCs w:val="18"/>
                <w:color w:val="auto"/>
              </w:rPr>
              <w:t>Guarantors, etc.</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6.7</w:t>
            </w:r>
          </w:p>
        </w:tc>
        <w:tc>
          <w:tcPr>
            <w:tcW w:w="6620" w:type="dxa"/>
            <w:vAlign w:val="bottom"/>
          </w:tcPr>
          <w:p>
            <w:pPr>
              <w:ind w:left="120"/>
              <w:spacing w:after="0"/>
              <w:rPr>
                <w:sz w:val="20"/>
                <w:szCs w:val="20"/>
                <w:color w:val="auto"/>
              </w:rPr>
            </w:pPr>
            <w:r>
              <w:rPr>
                <w:rFonts w:ascii="Arial" w:cs="Arial" w:eastAsia="Arial" w:hAnsi="Arial"/>
                <w:sz w:val="18"/>
                <w:szCs w:val="18"/>
                <w:color w:val="auto"/>
              </w:rPr>
              <w:t>Books and Records</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6.8</w:t>
            </w:r>
          </w:p>
        </w:tc>
        <w:tc>
          <w:tcPr>
            <w:tcW w:w="6620" w:type="dxa"/>
            <w:vAlign w:val="bottom"/>
          </w:tcPr>
          <w:p>
            <w:pPr>
              <w:ind w:left="120"/>
              <w:spacing w:after="0"/>
              <w:rPr>
                <w:sz w:val="20"/>
                <w:szCs w:val="20"/>
                <w:color w:val="auto"/>
              </w:rPr>
            </w:pPr>
            <w:r>
              <w:rPr>
                <w:rFonts w:ascii="Arial" w:cs="Arial" w:eastAsia="Arial" w:hAnsi="Arial"/>
                <w:sz w:val="18"/>
                <w:szCs w:val="18"/>
                <w:color w:val="auto"/>
              </w:rPr>
              <w:t>Ratings</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7.</w:t>
            </w:r>
          </w:p>
        </w:tc>
        <w:tc>
          <w:tcPr>
            <w:tcW w:w="6620" w:type="dxa"/>
            <w:vAlign w:val="bottom"/>
          </w:tcPr>
          <w:p>
            <w:pPr>
              <w:ind w:left="120"/>
              <w:spacing w:after="0"/>
              <w:rPr>
                <w:sz w:val="20"/>
                <w:szCs w:val="20"/>
                <w:color w:val="auto"/>
              </w:rPr>
            </w:pPr>
            <w:r>
              <w:rPr>
                <w:rFonts w:ascii="Arial" w:cs="Arial" w:eastAsia="Arial" w:hAnsi="Arial"/>
                <w:sz w:val="18"/>
                <w:szCs w:val="18"/>
                <w:color w:val="auto"/>
              </w:rPr>
              <w:t>NEGATIVE COVENANTS</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7.1</w:t>
            </w:r>
          </w:p>
        </w:tc>
        <w:tc>
          <w:tcPr>
            <w:tcW w:w="6620" w:type="dxa"/>
            <w:vAlign w:val="bottom"/>
          </w:tcPr>
          <w:p>
            <w:pPr>
              <w:ind w:left="120"/>
              <w:spacing w:after="0"/>
              <w:rPr>
                <w:sz w:val="20"/>
                <w:szCs w:val="20"/>
                <w:color w:val="auto"/>
              </w:rPr>
            </w:pPr>
            <w:r>
              <w:rPr>
                <w:rFonts w:ascii="Arial" w:cs="Arial" w:eastAsia="Arial" w:hAnsi="Arial"/>
                <w:sz w:val="18"/>
                <w:szCs w:val="18"/>
                <w:color w:val="auto"/>
              </w:rPr>
              <w:t>Minimum Liquidity</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7.2</w:t>
            </w:r>
          </w:p>
        </w:tc>
        <w:tc>
          <w:tcPr>
            <w:tcW w:w="662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3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7.3</w:t>
            </w:r>
          </w:p>
        </w:tc>
        <w:tc>
          <w:tcPr>
            <w:tcW w:w="6620" w:type="dxa"/>
            <w:vAlign w:val="bottom"/>
          </w:tcPr>
          <w:p>
            <w:pPr>
              <w:ind w:left="120"/>
              <w:spacing w:after="0"/>
              <w:rPr>
                <w:sz w:val="20"/>
                <w:szCs w:val="20"/>
                <w:color w:val="auto"/>
              </w:rPr>
            </w:pPr>
            <w:r>
              <w:rPr>
                <w:rFonts w:ascii="Arial" w:cs="Arial" w:eastAsia="Arial" w:hAnsi="Arial"/>
                <w:sz w:val="18"/>
                <w:szCs w:val="18"/>
                <w:color w:val="auto"/>
              </w:rPr>
              <w:t>Asset Sale Restrictions</w:t>
            </w:r>
          </w:p>
        </w:tc>
        <w:tc>
          <w:tcPr>
            <w:tcW w:w="3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7.4</w:t>
            </w:r>
          </w:p>
        </w:tc>
        <w:tc>
          <w:tcPr>
            <w:tcW w:w="662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3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7.5</w:t>
            </w:r>
          </w:p>
        </w:tc>
        <w:tc>
          <w:tcPr>
            <w:tcW w:w="6620" w:type="dxa"/>
            <w:vAlign w:val="bottom"/>
          </w:tcPr>
          <w:p>
            <w:pPr>
              <w:ind w:left="120"/>
              <w:spacing w:after="0"/>
              <w:rPr>
                <w:sz w:val="20"/>
                <w:szCs w:val="20"/>
                <w:color w:val="auto"/>
              </w:rPr>
            </w:pPr>
            <w:r>
              <w:rPr>
                <w:rFonts w:ascii="Arial" w:cs="Arial" w:eastAsia="Arial" w:hAnsi="Arial"/>
                <w:sz w:val="18"/>
                <w:szCs w:val="18"/>
                <w:color w:val="auto"/>
              </w:rPr>
              <w:t>Anti-Corruption Laws and Sanctions</w:t>
            </w:r>
          </w:p>
        </w:tc>
        <w:tc>
          <w:tcPr>
            <w:tcW w:w="3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768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3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9.</w:t>
            </w:r>
          </w:p>
        </w:tc>
        <w:tc>
          <w:tcPr>
            <w:tcW w:w="6620" w:type="dxa"/>
            <w:vAlign w:val="bottom"/>
          </w:tcPr>
          <w:p>
            <w:pPr>
              <w:ind w:left="120"/>
              <w:spacing w:after="0"/>
              <w:rPr>
                <w:sz w:val="20"/>
                <w:szCs w:val="20"/>
                <w:color w:val="auto"/>
              </w:rPr>
            </w:pPr>
            <w:r>
              <w:rPr>
                <w:rFonts w:ascii="Arial" w:cs="Arial" w:eastAsia="Arial" w:hAnsi="Arial"/>
                <w:sz w:val="18"/>
                <w:szCs w:val="18"/>
                <w:color w:val="auto"/>
              </w:rPr>
              <w:t>THE AGENTS</w:t>
            </w:r>
          </w:p>
        </w:tc>
        <w:tc>
          <w:tcPr>
            <w:tcW w:w="3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9.1</w:t>
            </w:r>
          </w:p>
        </w:tc>
        <w:tc>
          <w:tcPr>
            <w:tcW w:w="6620" w:type="dxa"/>
            <w:vAlign w:val="bottom"/>
          </w:tcPr>
          <w:p>
            <w:pPr>
              <w:ind w:left="120"/>
              <w:spacing w:after="0"/>
              <w:rPr>
                <w:sz w:val="20"/>
                <w:szCs w:val="20"/>
                <w:color w:val="auto"/>
              </w:rPr>
            </w:pPr>
            <w:r>
              <w:rPr>
                <w:rFonts w:ascii="Arial" w:cs="Arial" w:eastAsia="Arial" w:hAnsi="Arial"/>
                <w:sz w:val="18"/>
                <w:szCs w:val="18"/>
                <w:color w:val="auto"/>
              </w:rPr>
              <w:t>Appointment</w:t>
            </w:r>
          </w:p>
        </w:tc>
        <w:tc>
          <w:tcPr>
            <w:tcW w:w="3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9.2</w:t>
            </w:r>
          </w:p>
        </w:tc>
        <w:tc>
          <w:tcPr>
            <w:tcW w:w="662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3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9.3</w:t>
            </w:r>
          </w:p>
        </w:tc>
        <w:tc>
          <w:tcPr>
            <w:tcW w:w="662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3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9.4</w:t>
            </w:r>
          </w:p>
        </w:tc>
        <w:tc>
          <w:tcPr>
            <w:tcW w:w="6620" w:type="dxa"/>
            <w:vAlign w:val="bottom"/>
          </w:tcPr>
          <w:p>
            <w:pPr>
              <w:ind w:left="120"/>
              <w:spacing w:after="0"/>
              <w:rPr>
                <w:sz w:val="20"/>
                <w:szCs w:val="20"/>
                <w:color w:val="auto"/>
              </w:rPr>
            </w:pPr>
            <w:r>
              <w:rPr>
                <w:rFonts w:ascii="Arial" w:cs="Arial" w:eastAsia="Arial" w:hAnsi="Arial"/>
                <w:sz w:val="18"/>
                <w:szCs w:val="18"/>
                <w:color w:val="auto"/>
              </w:rPr>
              <w:t>Reliance by Administrative Agent</w:t>
            </w:r>
          </w:p>
        </w:tc>
        <w:tc>
          <w:tcPr>
            <w:tcW w:w="32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9.5</w:t>
            </w:r>
          </w:p>
        </w:tc>
        <w:tc>
          <w:tcPr>
            <w:tcW w:w="8320" w:type="dxa"/>
            <w:vAlign w:val="bottom"/>
          </w:tcPr>
          <w:p>
            <w:pPr>
              <w:ind w:left="140"/>
              <w:spacing w:after="0"/>
              <w:rPr>
                <w:sz w:val="20"/>
                <w:szCs w:val="20"/>
                <w:color w:val="auto"/>
              </w:rPr>
            </w:pPr>
            <w:r>
              <w:rPr>
                <w:rFonts w:ascii="Arial" w:cs="Arial" w:eastAsia="Arial" w:hAnsi="Arial"/>
                <w:sz w:val="18"/>
                <w:szCs w:val="18"/>
                <w:color w:val="auto"/>
              </w:rPr>
              <w:t>Notice of Default</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9.6</w:t>
            </w:r>
          </w:p>
        </w:tc>
        <w:tc>
          <w:tcPr>
            <w:tcW w:w="8320" w:type="dxa"/>
            <w:vAlign w:val="bottom"/>
          </w:tcPr>
          <w:p>
            <w:pPr>
              <w:ind w:left="140"/>
              <w:spacing w:after="0"/>
              <w:rPr>
                <w:sz w:val="20"/>
                <w:szCs w:val="20"/>
                <w:color w:val="auto"/>
              </w:rPr>
            </w:pPr>
            <w:r>
              <w:rPr>
                <w:rFonts w:ascii="Arial" w:cs="Arial" w:eastAsia="Arial" w:hAnsi="Arial"/>
                <w:sz w:val="18"/>
                <w:szCs w:val="18"/>
                <w:color w:val="auto"/>
              </w:rPr>
              <w:t>Non-Reliance on Agents and Other Lenders</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9.7</w:t>
            </w:r>
          </w:p>
        </w:tc>
        <w:tc>
          <w:tcPr>
            <w:tcW w:w="832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9.8</w:t>
            </w:r>
          </w:p>
        </w:tc>
        <w:tc>
          <w:tcPr>
            <w:tcW w:w="8320" w:type="dxa"/>
            <w:vAlign w:val="bottom"/>
          </w:tcPr>
          <w:p>
            <w:pPr>
              <w:ind w:left="140"/>
              <w:spacing w:after="0"/>
              <w:rPr>
                <w:sz w:val="20"/>
                <w:szCs w:val="20"/>
                <w:color w:val="auto"/>
              </w:rPr>
            </w:pPr>
            <w:r>
              <w:rPr>
                <w:rFonts w:ascii="Arial" w:cs="Arial" w:eastAsia="Arial" w:hAnsi="Arial"/>
                <w:sz w:val="18"/>
                <w:szCs w:val="18"/>
                <w:color w:val="auto"/>
              </w:rPr>
              <w:t>Administrative Agent in Its Individual Capacity</w:t>
            </w: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9.9</w:t>
            </w:r>
          </w:p>
        </w:tc>
        <w:tc>
          <w:tcPr>
            <w:tcW w:w="8320" w:type="dxa"/>
            <w:vAlign w:val="bottom"/>
          </w:tcPr>
          <w:p>
            <w:pPr>
              <w:ind w:left="140"/>
              <w:spacing w:after="0"/>
              <w:rPr>
                <w:sz w:val="20"/>
                <w:szCs w:val="20"/>
                <w:color w:val="auto"/>
              </w:rPr>
            </w:pPr>
            <w:r>
              <w:rPr>
                <w:rFonts w:ascii="Arial" w:cs="Arial" w:eastAsia="Arial" w:hAnsi="Arial"/>
                <w:sz w:val="18"/>
                <w:szCs w:val="18"/>
                <w:color w:val="auto"/>
              </w:rPr>
              <w:t>Successor Administrative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9.10</w:t>
            </w:r>
          </w:p>
        </w:tc>
        <w:tc>
          <w:tcPr>
            <w:tcW w:w="832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9.11</w:t>
            </w:r>
          </w:p>
        </w:tc>
        <w:tc>
          <w:tcPr>
            <w:tcW w:w="8320" w:type="dxa"/>
            <w:vAlign w:val="bottom"/>
          </w:tcPr>
          <w:p>
            <w:pPr>
              <w:ind w:left="140"/>
              <w:spacing w:after="0"/>
              <w:rPr>
                <w:sz w:val="20"/>
                <w:szCs w:val="20"/>
                <w:color w:val="auto"/>
              </w:rPr>
            </w:pPr>
            <w:r>
              <w:rPr>
                <w:rFonts w:ascii="Arial" w:cs="Arial" w:eastAsia="Arial" w:hAnsi="Arial"/>
                <w:sz w:val="18"/>
                <w:szCs w:val="18"/>
                <w:color w:val="auto"/>
              </w:rPr>
              <w:t>Bookrunners, Lead Arrangers, Global Coordinators, Documentation Agents, Syndication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9.12</w:t>
            </w:r>
          </w:p>
        </w:tc>
        <w:tc>
          <w:tcPr>
            <w:tcW w:w="8320" w:type="dxa"/>
            <w:vAlign w:val="bottom"/>
          </w:tcPr>
          <w:p>
            <w:pPr>
              <w:ind w:left="140"/>
              <w:spacing w:after="0"/>
              <w:rPr>
                <w:sz w:val="20"/>
                <w:szCs w:val="20"/>
                <w:color w:val="auto"/>
              </w:rPr>
            </w:pPr>
            <w:r>
              <w:rPr>
                <w:rFonts w:ascii="Arial" w:cs="Arial" w:eastAsia="Arial" w:hAnsi="Arial"/>
                <w:sz w:val="18"/>
                <w:szCs w:val="18"/>
                <w:color w:val="auto"/>
              </w:rPr>
              <w:t>Certain ERISA Matters</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160" w:type="dxa"/>
            <w:vAlign w:val="bottom"/>
          </w:tcPr>
          <w:p>
            <w:pPr>
              <w:ind w:left="360"/>
              <w:spacing w:after="0"/>
              <w:rPr>
                <w:sz w:val="20"/>
                <w:szCs w:val="20"/>
                <w:color w:val="auto"/>
              </w:rPr>
            </w:pPr>
            <w:r>
              <w:rPr>
                <w:rFonts w:ascii="Arial" w:cs="Arial" w:eastAsia="Arial" w:hAnsi="Arial"/>
                <w:sz w:val="18"/>
                <w:szCs w:val="18"/>
                <w:color w:val="auto"/>
              </w:rPr>
              <w:t>9.13</w:t>
            </w:r>
          </w:p>
        </w:tc>
        <w:tc>
          <w:tcPr>
            <w:tcW w:w="8320" w:type="dxa"/>
            <w:vAlign w:val="bottom"/>
          </w:tcPr>
          <w:p>
            <w:pPr>
              <w:ind w:left="140"/>
              <w:spacing w:after="0"/>
              <w:rPr>
                <w:sz w:val="20"/>
                <w:szCs w:val="20"/>
                <w:color w:val="auto"/>
              </w:rPr>
            </w:pPr>
            <w:r>
              <w:rPr>
                <w:rFonts w:ascii="Arial" w:cs="Arial" w:eastAsia="Arial" w:hAnsi="Arial"/>
                <w:sz w:val="18"/>
                <w:szCs w:val="18"/>
                <w:color w:val="auto"/>
              </w:rPr>
              <w:t>Acknowledgements of Lenders</w:t>
            </w: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w:t>
            </w:r>
          </w:p>
        </w:tc>
        <w:tc>
          <w:tcPr>
            <w:tcW w:w="832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8320" w:type="dxa"/>
            <w:vAlign w:val="bottom"/>
          </w:tcPr>
          <w:p>
            <w:pPr>
              <w:ind w:left="140"/>
              <w:spacing w:after="0"/>
              <w:rPr>
                <w:sz w:val="20"/>
                <w:szCs w:val="20"/>
                <w:color w:val="auto"/>
              </w:rPr>
            </w:pPr>
            <w:r>
              <w:rPr>
                <w:rFonts w:ascii="Arial" w:cs="Arial" w:eastAsia="Arial" w:hAnsi="Arial"/>
                <w:sz w:val="18"/>
                <w:szCs w:val="18"/>
                <w:color w:val="auto"/>
              </w:rPr>
              <w:t>Amendments and Waivers</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10.2</w:t>
            </w:r>
          </w:p>
        </w:tc>
        <w:tc>
          <w:tcPr>
            <w:tcW w:w="8320" w:type="dxa"/>
            <w:vAlign w:val="bottom"/>
          </w:tcPr>
          <w:p>
            <w:pPr>
              <w:ind w:left="140"/>
              <w:spacing w:after="0"/>
              <w:rPr>
                <w:sz w:val="20"/>
                <w:szCs w:val="20"/>
                <w:color w:val="auto"/>
              </w:rPr>
            </w:pPr>
            <w:r>
              <w:rPr>
                <w:rFonts w:ascii="Arial" w:cs="Arial" w:eastAsia="Arial" w:hAnsi="Arial"/>
                <w:sz w:val="18"/>
                <w:szCs w:val="18"/>
                <w:color w:val="auto"/>
              </w:rPr>
              <w:t>Notices</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10.3</w:t>
            </w:r>
          </w:p>
        </w:tc>
        <w:tc>
          <w:tcPr>
            <w:tcW w:w="8320" w:type="dxa"/>
            <w:vAlign w:val="bottom"/>
          </w:tcPr>
          <w:p>
            <w:pPr>
              <w:ind w:left="140"/>
              <w:spacing w:after="0"/>
              <w:rPr>
                <w:sz w:val="20"/>
                <w:szCs w:val="20"/>
                <w:color w:val="auto"/>
              </w:rPr>
            </w:pPr>
            <w:r>
              <w:rPr>
                <w:rFonts w:ascii="Arial" w:cs="Arial" w:eastAsia="Arial" w:hAnsi="Arial"/>
                <w:sz w:val="18"/>
                <w:szCs w:val="18"/>
                <w:color w:val="auto"/>
              </w:rPr>
              <w:t>No Waiver; Cumulative Remedies</w:t>
            </w: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10.4</w:t>
            </w:r>
          </w:p>
        </w:tc>
        <w:tc>
          <w:tcPr>
            <w:tcW w:w="8320" w:type="dxa"/>
            <w:vAlign w:val="bottom"/>
          </w:tcPr>
          <w:p>
            <w:pPr>
              <w:ind w:left="140"/>
              <w:spacing w:after="0"/>
              <w:rPr>
                <w:sz w:val="20"/>
                <w:szCs w:val="20"/>
                <w:color w:val="auto"/>
              </w:rPr>
            </w:pPr>
            <w:r>
              <w:rPr>
                <w:rFonts w:ascii="Arial" w:cs="Arial" w:eastAsia="Arial" w:hAnsi="Arial"/>
                <w:sz w:val="18"/>
                <w:szCs w:val="18"/>
                <w:color w:val="auto"/>
              </w:rPr>
              <w:t>Survival of Representations and Warranties</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10.5</w:t>
            </w:r>
          </w:p>
        </w:tc>
        <w:tc>
          <w:tcPr>
            <w:tcW w:w="8320" w:type="dxa"/>
            <w:vAlign w:val="bottom"/>
          </w:tcPr>
          <w:p>
            <w:pPr>
              <w:ind w:left="140"/>
              <w:spacing w:after="0"/>
              <w:rPr>
                <w:sz w:val="20"/>
                <w:szCs w:val="20"/>
                <w:color w:val="auto"/>
              </w:rPr>
            </w:pPr>
            <w:r>
              <w:rPr>
                <w:rFonts w:ascii="Arial" w:cs="Arial" w:eastAsia="Arial" w:hAnsi="Arial"/>
                <w:sz w:val="18"/>
                <w:szCs w:val="18"/>
                <w:color w:val="auto"/>
              </w:rPr>
              <w:t>Payment of Expenses; Limitation of Liability; Indemnity</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10.6</w:t>
            </w:r>
          </w:p>
        </w:tc>
        <w:tc>
          <w:tcPr>
            <w:tcW w:w="8320" w:type="dxa"/>
            <w:vAlign w:val="bottom"/>
          </w:tcPr>
          <w:p>
            <w:pPr>
              <w:ind w:left="140"/>
              <w:spacing w:after="0"/>
              <w:rPr>
                <w:sz w:val="20"/>
                <w:szCs w:val="20"/>
                <w:color w:val="auto"/>
              </w:rPr>
            </w:pPr>
            <w:r>
              <w:rPr>
                <w:rFonts w:ascii="Arial" w:cs="Arial" w:eastAsia="Arial" w:hAnsi="Arial"/>
                <w:sz w:val="18"/>
                <w:szCs w:val="18"/>
                <w:color w:val="auto"/>
              </w:rPr>
              <w:t>Successors and Assigns; Participations and Assignments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10.7</w:t>
            </w:r>
          </w:p>
        </w:tc>
        <w:tc>
          <w:tcPr>
            <w:tcW w:w="832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10.8</w:t>
            </w:r>
          </w:p>
        </w:tc>
        <w:tc>
          <w:tcPr>
            <w:tcW w:w="8320" w:type="dxa"/>
            <w:vAlign w:val="bottom"/>
          </w:tcPr>
          <w:p>
            <w:pPr>
              <w:ind w:left="140"/>
              <w:spacing w:after="0"/>
              <w:rPr>
                <w:sz w:val="20"/>
                <w:szCs w:val="20"/>
                <w:color w:val="auto"/>
              </w:rPr>
            </w:pPr>
            <w:r>
              <w:rPr>
                <w:rFonts w:ascii="Arial" w:cs="Arial" w:eastAsia="Arial" w:hAnsi="Arial"/>
                <w:sz w:val="18"/>
                <w:szCs w:val="18"/>
                <w:color w:val="auto"/>
              </w:rPr>
              <w:t>Counterparts; Electronic Execution</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10.9</w:t>
            </w:r>
          </w:p>
        </w:tc>
        <w:tc>
          <w:tcPr>
            <w:tcW w:w="83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10.10</w:t>
            </w:r>
          </w:p>
        </w:tc>
        <w:tc>
          <w:tcPr>
            <w:tcW w:w="8320" w:type="dxa"/>
            <w:vAlign w:val="bottom"/>
          </w:tcPr>
          <w:p>
            <w:pPr>
              <w:ind w:left="140"/>
              <w:spacing w:after="0"/>
              <w:rPr>
                <w:sz w:val="20"/>
                <w:szCs w:val="20"/>
                <w:color w:val="auto"/>
              </w:rPr>
            </w:pPr>
            <w:r>
              <w:rPr>
                <w:rFonts w:ascii="Arial" w:cs="Arial" w:eastAsia="Arial" w:hAnsi="Arial"/>
                <w:sz w:val="18"/>
                <w:szCs w:val="18"/>
                <w:color w:val="auto"/>
              </w:rPr>
              <w:t>Integration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10.11</w:t>
            </w:r>
          </w:p>
        </w:tc>
        <w:tc>
          <w:tcPr>
            <w:tcW w:w="83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10.12</w:t>
            </w:r>
          </w:p>
        </w:tc>
        <w:tc>
          <w:tcPr>
            <w:tcW w:w="8320" w:type="dxa"/>
            <w:vAlign w:val="bottom"/>
          </w:tcPr>
          <w:p>
            <w:pPr>
              <w:ind w:left="140"/>
              <w:spacing w:after="0"/>
              <w:rPr>
                <w:sz w:val="20"/>
                <w:szCs w:val="20"/>
                <w:color w:val="auto"/>
              </w:rPr>
            </w:pPr>
            <w:r>
              <w:rPr>
                <w:rFonts w:ascii="Arial" w:cs="Arial" w:eastAsia="Arial" w:hAnsi="Arial"/>
                <w:sz w:val="18"/>
                <w:szCs w:val="18"/>
                <w:color w:val="auto"/>
              </w:rPr>
              <w:t>Submission to Jurisdiction; Waivers</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10.13</w:t>
            </w:r>
          </w:p>
        </w:tc>
        <w:tc>
          <w:tcPr>
            <w:tcW w:w="8320" w:type="dxa"/>
            <w:vAlign w:val="bottom"/>
          </w:tcPr>
          <w:p>
            <w:pPr>
              <w:ind w:left="140"/>
              <w:spacing w:after="0"/>
              <w:rPr>
                <w:sz w:val="20"/>
                <w:szCs w:val="20"/>
                <w:color w:val="auto"/>
              </w:rPr>
            </w:pPr>
            <w:r>
              <w:rPr>
                <w:rFonts w:ascii="Arial" w:cs="Arial" w:eastAsia="Arial" w:hAnsi="Arial"/>
                <w:sz w:val="18"/>
                <w:szCs w:val="18"/>
                <w:color w:val="auto"/>
              </w:rPr>
              <w:t>Judgment</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10.14</w:t>
            </w:r>
          </w:p>
        </w:tc>
        <w:tc>
          <w:tcPr>
            <w:tcW w:w="8320" w:type="dxa"/>
            <w:vAlign w:val="bottom"/>
          </w:tcPr>
          <w:p>
            <w:pPr>
              <w:ind w:left="140"/>
              <w:spacing w:after="0"/>
              <w:rPr>
                <w:sz w:val="20"/>
                <w:szCs w:val="20"/>
                <w:color w:val="auto"/>
              </w:rPr>
            </w:pPr>
            <w:r>
              <w:rPr>
                <w:rFonts w:ascii="Arial" w:cs="Arial" w:eastAsia="Arial" w:hAnsi="Arial"/>
                <w:sz w:val="18"/>
                <w:szCs w:val="18"/>
                <w:color w:val="auto"/>
              </w:rPr>
              <w:t>Acknowledgments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10.15</w:t>
            </w:r>
          </w:p>
        </w:tc>
        <w:tc>
          <w:tcPr>
            <w:tcW w:w="8320" w:type="dxa"/>
            <w:vAlign w:val="bottom"/>
          </w:tcPr>
          <w:p>
            <w:pPr>
              <w:ind w:left="140"/>
              <w:spacing w:after="0"/>
              <w:rPr>
                <w:sz w:val="20"/>
                <w:szCs w:val="20"/>
                <w:color w:val="auto"/>
              </w:rPr>
            </w:pPr>
            <w:r>
              <w:rPr>
                <w:rFonts w:ascii="Arial" w:cs="Arial" w:eastAsia="Arial" w:hAnsi="Arial"/>
                <w:sz w:val="18"/>
                <w:szCs w:val="18"/>
                <w:color w:val="auto"/>
              </w:rPr>
              <w:t>Releases of Guarantees</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10.16</w:t>
            </w:r>
          </w:p>
        </w:tc>
        <w:tc>
          <w:tcPr>
            <w:tcW w:w="832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10.17</w:t>
            </w:r>
          </w:p>
        </w:tc>
        <w:tc>
          <w:tcPr>
            <w:tcW w:w="8320" w:type="dxa"/>
            <w:vAlign w:val="bottom"/>
          </w:tcPr>
          <w:p>
            <w:pPr>
              <w:ind w:left="140"/>
              <w:spacing w:after="0"/>
              <w:rPr>
                <w:sz w:val="20"/>
                <w:szCs w:val="20"/>
                <w:color w:val="auto"/>
              </w:rPr>
            </w:pPr>
            <w:r>
              <w:rPr>
                <w:rFonts w:ascii="Arial" w:cs="Arial" w:eastAsia="Arial" w:hAnsi="Arial"/>
                <w:sz w:val="18"/>
                <w:szCs w:val="18"/>
                <w:color w:val="auto"/>
              </w:rPr>
              <w:t>WAIVERS OF JURY TRIAL</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10.18</w:t>
            </w:r>
          </w:p>
        </w:tc>
        <w:tc>
          <w:tcPr>
            <w:tcW w:w="8320" w:type="dxa"/>
            <w:vAlign w:val="bottom"/>
          </w:tcPr>
          <w:p>
            <w:pPr>
              <w:ind w:left="140"/>
              <w:spacing w:after="0"/>
              <w:rPr>
                <w:sz w:val="20"/>
                <w:szCs w:val="20"/>
                <w:color w:val="auto"/>
              </w:rPr>
            </w:pPr>
            <w:r>
              <w:rPr>
                <w:rFonts w:ascii="Arial" w:cs="Arial" w:eastAsia="Arial" w:hAnsi="Arial"/>
                <w:sz w:val="18"/>
                <w:szCs w:val="18"/>
                <w:color w:val="auto"/>
              </w:rPr>
              <w:t>USA Patriot Act</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10.19</w:t>
            </w:r>
          </w:p>
        </w:tc>
        <w:tc>
          <w:tcPr>
            <w:tcW w:w="832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10.20</w:t>
            </w:r>
          </w:p>
        </w:tc>
        <w:tc>
          <w:tcPr>
            <w:tcW w:w="8320" w:type="dxa"/>
            <w:vAlign w:val="bottom"/>
          </w:tcPr>
          <w:p>
            <w:pPr>
              <w:ind w:left="14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tcPr>
          <w:p>
            <w:pPr>
              <w:ind w:left="360"/>
              <w:spacing w:after="0"/>
              <w:rPr>
                <w:sz w:val="20"/>
                <w:szCs w:val="20"/>
                <w:color w:val="auto"/>
              </w:rPr>
            </w:pPr>
            <w:r>
              <w:rPr>
                <w:rFonts w:ascii="Arial" w:cs="Arial" w:eastAsia="Arial" w:hAnsi="Arial"/>
                <w:sz w:val="18"/>
                <w:szCs w:val="18"/>
                <w:color w:val="auto"/>
              </w:rPr>
              <w:t>10.21</w:t>
            </w:r>
          </w:p>
        </w:tc>
        <w:tc>
          <w:tcPr>
            <w:tcW w:w="8320" w:type="dxa"/>
            <w:vAlign w:val="bottom"/>
          </w:tcPr>
          <w:p>
            <w:pPr>
              <w:ind w:left="140"/>
              <w:spacing w:after="0"/>
              <w:rPr>
                <w:sz w:val="20"/>
                <w:szCs w:val="20"/>
                <w:color w:val="auto"/>
              </w:rPr>
            </w:pPr>
            <w:r>
              <w:rPr>
                <w:rFonts w:ascii="Arial" w:cs="Arial" w:eastAsia="Arial" w:hAnsi="Arial"/>
                <w:sz w:val="18"/>
                <w:szCs w:val="18"/>
                <w:color w:val="auto"/>
              </w:rPr>
              <w:t>Acknowledgement Regarding Any Supported QFCs</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160" w:type="dxa"/>
            <w:vAlign w:val="bottom"/>
          </w:tcPr>
          <w:p>
            <w:pPr>
              <w:ind w:left="360"/>
              <w:spacing w:after="0"/>
              <w:rPr>
                <w:sz w:val="20"/>
                <w:szCs w:val="20"/>
                <w:color w:val="auto"/>
              </w:rPr>
            </w:pPr>
            <w:r>
              <w:rPr>
                <w:rFonts w:ascii="Arial" w:cs="Arial" w:eastAsia="Arial" w:hAnsi="Arial"/>
                <w:sz w:val="18"/>
                <w:szCs w:val="18"/>
                <w:color w:val="auto"/>
              </w:rPr>
              <w:t>10.22</w:t>
            </w:r>
          </w:p>
        </w:tc>
        <w:tc>
          <w:tcPr>
            <w:tcW w:w="8320" w:type="dxa"/>
            <w:vAlign w:val="bottom"/>
          </w:tcPr>
          <w:p>
            <w:pPr>
              <w:ind w:left="140"/>
              <w:spacing w:after="0"/>
              <w:rPr>
                <w:sz w:val="20"/>
                <w:szCs w:val="20"/>
                <w:color w:val="auto"/>
              </w:rPr>
            </w:pPr>
            <w:r>
              <w:rPr>
                <w:rFonts w:ascii="Arial" w:cs="Arial" w:eastAsia="Arial" w:hAnsi="Arial"/>
                <w:sz w:val="18"/>
                <w:szCs w:val="18"/>
                <w:color w:val="auto"/>
              </w:rPr>
              <w:t>Interest Rate Limitations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SCHEDULES: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-507365</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Initial Excluded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Pricing Grid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Subsidiary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ind w:right="3839"/>
        <w:spacing w:after="0" w:line="281" w:lineRule="auto"/>
        <w:rPr>
          <w:sz w:val="20"/>
          <w:szCs w:val="20"/>
          <w:color w:val="auto"/>
        </w:rPr>
      </w:pPr>
      <w:r>
        <w:rPr>
          <w:rFonts w:ascii="Arial" w:cs="Arial" w:eastAsia="Arial" w:hAnsi="Arial"/>
          <w:sz w:val="16"/>
          <w:szCs w:val="16"/>
          <w:color w:val="auto"/>
        </w:rPr>
        <w:t>Form of Exemption Certificate for Non-Partnership Non-U.S. Lenders Form of Exemption Certificate for Partnership Non-U.S. Lenders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Form of Exemption Certificate for Non-Partnership Non-U.S.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of Exemption Certificate for Partnership Non-U.S. Participants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Borrowing Request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2">
            <w:col w:w="1080" w:space="20"/>
            <w:col w:w="8919"/>
          </w:cols>
          <w:pgMar w:left="440" w:top="274" w:right="1440" w:bottom="1440" w:gutter="0" w:footer="0" w:header="0"/>
        </w:sectPr>
      </w:pPr>
    </w:p>
    <w:bookmarkStart w:id="8" w:name="page9"/>
    <w:bookmarkEnd w:id="8"/>
    <w:p>
      <w:pPr>
        <w:ind w:left="4"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364-DAY REVOLVING CREDIT AGREEMENT, dated as of October 3, 2023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and other financial institutions or entities from time to time parties 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(and any of its branches and affiliates acting on its behalf in such capacity),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CITIBANK, 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w:t>
      </w:r>
    </w:p>
    <w:p>
      <w:pPr>
        <w:spacing w:after="0" w:line="188"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that on the Closing Date (as defined below), this Agreement shall be effective as follows:</w:t>
      </w: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terms listed in this Section 1.1 shall have the respective meanings set forth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1.1.</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2022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2023 364-Day Revolving Credit Agreement</w:t>
      </w:r>
      <w:r>
        <w:rPr>
          <w:rFonts w:ascii="Arial" w:cs="Arial" w:eastAsia="Arial" w:hAnsi="Arial"/>
          <w:sz w:val="16"/>
          <w:szCs w:val="16"/>
          <w:color w:val="auto"/>
        </w:rPr>
        <w:t>” means (i) that certain Fifth Amended and Restated 364-Day Revolving Credit Agreement, dated as of March 31, 2023, among General Motors Company, a Delaware corporation, GMF, certain other subsidiaries of the Company from time to time party thereto as borrowers, the several banks and other financial institutions or entities from time to time parties thereto, as lenders, JPMorgan Chase Bank, N.A., as administrative agent for the Lenders, Citibank, N.A., as syndication agent and Bank of America, N.A., as co-syndication agent and</w:t>
      </w:r>
    </w:p>
    <w:p>
      <w:pPr>
        <w:spacing w:after="0" w:line="1" w:lineRule="exact"/>
        <w:rPr>
          <w:sz w:val="20"/>
          <w:szCs w:val="20"/>
          <w:color w:val="auto"/>
        </w:rPr>
      </w:pPr>
    </w:p>
    <w:p>
      <w:pPr>
        <w:ind w:left="4" w:right="100" w:hanging="4"/>
        <w:spacing w:after="0" w:line="252"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2023 364-Day Revolving Credit Agreement referred to in clause (i) above or any other agreement or instrument referred to in this clause (ii) unless the Company notifies the Administrative Agent that it is not intended to be a “2023 364-Day Revolving Credit Agreement” hereunder. All references to the “2023 364-Day Revolving Credit Agreement” in this Agreement shall refer to any 2023 364-Day Revolving Credit Agreement then extant.</w:t>
      </w:r>
    </w:p>
    <w:p>
      <w:pPr>
        <w:spacing w:after="0" w:line="192"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2023 364-Day Total Available Commitments</w:t>
      </w:r>
      <w:r>
        <w:rPr>
          <w:rFonts w:ascii="Arial" w:cs="Arial" w:eastAsia="Arial" w:hAnsi="Arial"/>
          <w:sz w:val="18"/>
          <w:szCs w:val="18"/>
          <w:color w:val="auto"/>
        </w:rPr>
        <w:t>” means the “Total Available Commitments” (or equivalent term) under, and as defined in, the 2023 364-Day Revolving Credit Agreement (it being understood that if there is more than one 2023 364-Day Revolving Credit Agreement in effect at any time, references hereunder to “2023 364-Day Total Available Commitments” shall be deemed to mean the sum of the “2023 364-Day Total Available Commitments” (as defined above) under each such agreement).</w:t>
      </w:r>
    </w:p>
    <w:p>
      <w:pPr>
        <w:spacing w:after="0" w:line="187" w:lineRule="exact"/>
        <w:rPr>
          <w:sz w:val="20"/>
          <w:szCs w:val="20"/>
          <w:color w:val="auto"/>
        </w:rPr>
      </w:pPr>
    </w:p>
    <w:p>
      <w:pPr>
        <w:ind w:left="4" w:right="10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Revolving Credit Agreement</w:t>
      </w:r>
      <w:r>
        <w:rPr>
          <w:rFonts w:ascii="Arial" w:cs="Arial" w:eastAsia="Arial" w:hAnsi="Arial"/>
          <w:sz w:val="18"/>
          <w:szCs w:val="18"/>
          <w:color w:val="auto"/>
        </w:rPr>
        <w:t>” means (i) that certain Fifth Amended and Restated Three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w:t>
      </w:r>
    </w:p>
    <w:p>
      <w:pPr>
        <w:sectPr>
          <w:pgSz w:w="11900" w:h="16838" w:orient="portrait"/>
          <w:cols w:equalWidth="0" w:num="1">
            <w:col w:w="11004"/>
          </w:cols>
          <w:pgMar w:left="436" w:top="274" w:right="459" w:bottom="1440" w:gutter="0" w:footer="0" w:header="0"/>
        </w:sectPr>
      </w:pPr>
    </w:p>
    <w:bookmarkStart w:id="9" w:name="page10"/>
    <w:bookmarkEnd w:id="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and other obligations outstanding under the Fifth Amended and Restated Three Year Revolving Credit Agreement referred to in clause</w:t>
      </w:r>
    </w:p>
    <w:p>
      <w:pPr>
        <w:spacing w:after="0" w:line="46" w:lineRule="exact"/>
        <w:rPr>
          <w:sz w:val="20"/>
          <w:szCs w:val="20"/>
          <w:color w:val="auto"/>
        </w:rPr>
      </w:pPr>
    </w:p>
    <w:p>
      <w:pPr>
        <w:ind w:left="4" w:right="20" w:hanging="4"/>
        <w:spacing w:after="0" w:line="255"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90" w:lineRule="exact"/>
        <w:rPr>
          <w:sz w:val="20"/>
          <w:szCs w:val="20"/>
          <w:color w:val="auto"/>
        </w:rPr>
      </w:pPr>
    </w:p>
    <w:p>
      <w:pPr>
        <w:ind w:left="4" w:right="3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ind w:left="4" w:right="40"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Revolving Credit Agreement</w:t>
      </w:r>
      <w:r>
        <w:rPr>
          <w:rFonts w:ascii="Arial" w:cs="Arial" w:eastAsia="Arial" w:hAnsi="Arial"/>
          <w:sz w:val="16"/>
          <w:szCs w:val="16"/>
          <w:color w:val="auto"/>
        </w:rPr>
        <w:t>” means (i) that certain Fourth Amended and Restated Five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Fourth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68" w:lineRule="exact"/>
        <w:rPr>
          <w:sz w:val="20"/>
          <w:szCs w:val="20"/>
          <w:color w:val="auto"/>
        </w:rPr>
      </w:pPr>
    </w:p>
    <w:p>
      <w:pPr>
        <w:ind w:left="4"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7" w:lineRule="exact"/>
        <w:rPr>
          <w:sz w:val="20"/>
          <w:szCs w:val="20"/>
          <w:color w:val="auto"/>
        </w:rPr>
      </w:pPr>
    </w:p>
    <w:p>
      <w:pPr>
        <w:ind w:left="4" w:firstLine="991"/>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xml:space="preserve">” means for any day, a rate per annum equal to the greatest of (a) the Prime Rate in effect on such day, (b) the NYFRB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8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10" w:name="page11"/>
    <w:bookmarkEnd w:id="10"/>
    <w:p>
      <w:pPr>
        <w:jc w:val="both"/>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Adjusted Daily Simple SOFR</w:t>
      </w:r>
      <w:r>
        <w:rPr>
          <w:rFonts w:ascii="Arial" w:cs="Arial" w:eastAsia="Arial" w:hAnsi="Arial"/>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 Rate</w:t>
      </w:r>
      <w:r>
        <w:rPr>
          <w:rFonts w:ascii="Arial" w:cs="Arial" w:eastAsia="Arial" w:hAnsi="Arial"/>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it in Section 10.8.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Term Benchmark Loans, Daily Simple SOFR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Facility Rating</w:t>
      </w:r>
      <w:r>
        <w:rPr>
          <w:rFonts w:ascii="Arial" w:cs="Arial" w:eastAsia="Arial" w:hAnsi="Arial"/>
          <w:sz w:val="18"/>
          <w:szCs w:val="18"/>
          <w:color w:val="auto"/>
        </w:rPr>
        <w:t>” has the meaning set forth in the Applicable Pricing Grid.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as to any Person, all applicable Laws binding upon such Person or to which such a Person is subject.</w:t>
      </w:r>
    </w:p>
    <w:p>
      <w:pPr>
        <w:spacing w:after="0" w:line="23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for any day, with respect to any ABR Loan, Daily Simple SOFR Loan or Term Benchmark Loan, as the case may be, the applicable rate per annum set forth under the relevant column heading in the Applicable Pricing Grid, based upon the Applicable Rating in effect on such day.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225"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Rating</w:t>
      </w:r>
      <w:r>
        <w:rPr>
          <w:rFonts w:ascii="Arial" w:cs="Arial" w:eastAsia="Arial" w:hAnsi="Arial"/>
          <w:sz w:val="18"/>
          <w:szCs w:val="18"/>
          <w:color w:val="auto"/>
        </w:rPr>
        <w:t xml:space="preserve">” means the Index Debt Rating;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the Company has obtained or maintained an Applicable Facility Rating from at least two of Moody’s, S&amp;P or Fitch, the “Applicable Rating” shall be the Applicable Facility Rating in effect at any time of determination.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1" w:name="page12"/>
    <w:bookmarkEnd w:id="11"/>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3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76"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7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means, initially, with respect to any (i) Daily Simple SOFR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2" w:name="page13"/>
    <w:bookmarkEnd w:id="12"/>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6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6"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62" w:lineRule="exact"/>
        <w:rPr>
          <w:sz w:val="20"/>
          <w:szCs w:val="20"/>
          <w:color w:val="auto"/>
        </w:rPr>
      </w:pPr>
    </w:p>
    <w:p>
      <w:pPr>
        <w:ind w:right="220" w:firstLine="987"/>
        <w:spacing w:after="0" w:line="311" w:lineRule="auto"/>
        <w:tabs>
          <w:tab w:leader="none" w:pos="1246"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3" w:name="page14"/>
    <w:bookmarkEnd w:id="13"/>
    <w:p>
      <w:pPr>
        <w:ind w:right="60" w:firstLine="987"/>
        <w:spacing w:after="0" w:line="257"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8"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62" w:lineRule="exact"/>
        <w:rPr>
          <w:sz w:val="20"/>
          <w:szCs w:val="20"/>
          <w:color w:val="auto"/>
        </w:rPr>
      </w:pPr>
    </w:p>
    <w:p>
      <w:pPr>
        <w:jc w:val="both"/>
        <w:ind w:right="80" w:firstLine="987"/>
        <w:spacing w:after="0" w:line="259"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ind w:firstLine="987"/>
        <w:spacing w:after="0" w:line="291"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66" w:lineRule="exact"/>
        <w:rPr>
          <w:rFonts w:ascii="Arial" w:cs="Arial" w:eastAsia="Arial" w:hAnsi="Arial"/>
          <w:sz w:val="16"/>
          <w:szCs w:val="16"/>
          <w:color w:val="auto"/>
        </w:rPr>
      </w:pPr>
    </w:p>
    <w:p>
      <w:pPr>
        <w:ind w:firstLine="987"/>
        <w:spacing w:after="0" w:line="263"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 w:name="page15"/>
    <w:bookmarkEnd w:id="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§1010.230.</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made, converted or continued on the same date and, in the case of Term Benchmark Loans, as to which a single Interest Period is in effect.</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as a date on which the Company requests the relevant Lenders to make Loans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Company for a Loan in substantially the form of Exhibit L.</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on which banks are open for business in New York City; provided that, in addition to the foregoing, a Business Day shall be (a) in relation to Daily Simple SOFR Loans and any interest rate setting, fundings, disbursements, settlements or payments of any such Daily Simple SOFR Loan, or any other dealings of such Daily Simple SOFR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92"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 w:name="page16"/>
    <w:bookmarkEnd w:id="15"/>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85"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57"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conditions precedent set forth in Section 5.1 shall have been satisfied, which date is October 3, 2023.</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2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w:t>
      </w:r>
    </w:p>
    <w:p>
      <w:pPr>
        <w:spacing w:after="0" w:line="14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84"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6" w:name="page17"/>
    <w:bookmarkEnd w:id="1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Domestic Liquidity</w:t>
      </w:r>
      <w:r>
        <w:rPr>
          <w:rFonts w:ascii="Arial" w:cs="Arial" w:eastAsia="Arial" w:hAnsi="Arial"/>
          <w:sz w:val="17"/>
          <w:szCs w:val="17"/>
          <w:color w:val="auto"/>
        </w:rPr>
        <w:t xml:space="preserve">” means, as of any date of determination, the sum of (a) the 3-Year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5-Year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2023 364-Day Total Available Commitments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the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the total available commitments (after giving effect to any applicable borrowing base limitations) under other then-effective committed credit facilities of the Company or any Domestic Subsidiary, but excluding any warehouse facility of GMF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78"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Global Liquidity</w:t>
      </w:r>
      <w:r>
        <w:rPr>
          <w:rFonts w:ascii="Arial" w:cs="Arial" w:eastAsia="Arial" w:hAnsi="Arial"/>
          <w:sz w:val="18"/>
          <w:szCs w:val="18"/>
          <w:color w:val="auto"/>
        </w:rPr>
        <w:t xml:space="preserve">” means as of any date of determination, the sum of (a) the 3-Year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5-Year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2023 364-Day Total Available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the total available commitments (after giving effect to any applicable borrowing base limitations) under other then-effective committed credit facilities of the Company or any of its Subsidiaries, but excluding any warehouse facility of GMF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95" w:lineRule="exact"/>
        <w:rPr>
          <w:sz w:val="20"/>
          <w:szCs w:val="20"/>
          <w:color w:val="auto"/>
        </w:rPr>
      </w:pPr>
    </w:p>
    <w:p>
      <w:pPr>
        <w:jc w:val="both"/>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49" w:lineRule="exact"/>
        <w:rPr>
          <w:sz w:val="20"/>
          <w:szCs w:val="20"/>
          <w:color w:val="auto"/>
        </w:rPr>
      </w:pPr>
    </w:p>
    <w:p>
      <w:pPr>
        <w:jc w:val="both"/>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 w:name="page18"/>
    <w:bookmarkEnd w:id="17"/>
    <w:p>
      <w:pPr>
        <w:ind w:right="58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1200" w:hanging="213"/>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 (a “</w:t>
      </w:r>
      <w:r>
        <w:rPr>
          <w:rFonts w:ascii="Arial" w:cs="Arial" w:eastAsia="Arial" w:hAnsi="Arial"/>
          <w:sz w:val="18"/>
          <w:szCs w:val="18"/>
          <w:u w:val="single" w:color="auto"/>
          <w:color w:val="auto"/>
        </w:rPr>
        <w:t>SOFR Rate Day</w:t>
      </w:r>
      <w:r>
        <w:rPr>
          <w:rFonts w:ascii="Arial" w:cs="Arial" w:eastAsia="Arial" w:hAnsi="Arial"/>
          <w:sz w:val="18"/>
          <w:szCs w:val="18"/>
          <w:color w:val="auto"/>
        </w:rPr>
        <w:t>”), a rate per annum equal to SOFR for the day (such day “</w:t>
      </w:r>
      <w:r>
        <w:rPr>
          <w:rFonts w:ascii="Arial" w:cs="Arial" w:eastAsia="Arial" w:hAnsi="Arial"/>
          <w:sz w:val="18"/>
          <w:szCs w:val="18"/>
          <w:u w:val="single" w:color="auto"/>
          <w:color w:val="auto"/>
        </w:rPr>
        <w:t>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92"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7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 w:name="page19"/>
    <w:bookmarkEnd w:id="18"/>
    <w:p>
      <w:pPr>
        <w:jc w:val="both"/>
        <w:ind w:left="4" w:right="16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w:t>
      </w:r>
    </w:p>
    <w:p>
      <w:pPr>
        <w:spacing w:after="0" w:line="35" w:lineRule="exact"/>
        <w:rPr>
          <w:sz w:val="20"/>
          <w:szCs w:val="20"/>
          <w:color w:val="auto"/>
        </w:rPr>
      </w:pPr>
    </w:p>
    <w:p>
      <w:pPr>
        <w:ind w:left="4" w:right="120" w:hanging="4"/>
        <w:spacing w:after="0" w:line="292"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jc w:val="both"/>
        <w:ind w:left="4" w:right="40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65"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9" w:name="page20"/>
    <w:bookmarkEnd w:id="19"/>
    <w:p>
      <w:pPr>
        <w:ind w:left="4"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5" w:lineRule="exact"/>
        <w:rPr>
          <w:sz w:val="20"/>
          <w:szCs w:val="20"/>
          <w:color w:val="auto"/>
        </w:rPr>
      </w:pPr>
    </w:p>
    <w:p>
      <w:pPr>
        <w:ind w:left="4" w:right="300" w:hanging="4"/>
        <w:spacing w:after="0" w:line="255" w:lineRule="auto"/>
        <w:tabs>
          <w:tab w:leader="none" w:pos="3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90" w:lineRule="exact"/>
        <w:rPr>
          <w:sz w:val="20"/>
          <w:szCs w:val="20"/>
          <w:color w:val="auto"/>
        </w:rPr>
      </w:pPr>
    </w:p>
    <w:p>
      <w:pPr>
        <w:ind w:left="4"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on such day.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 GM Holdings, (b) each of the Initial Excluded Subsidiaries, (c) each Subsidiary of the Company that</w:t>
      </w:r>
    </w:p>
    <w:p>
      <w:pPr>
        <w:spacing w:after="0" w:line="35" w:lineRule="exact"/>
        <w:rPr>
          <w:sz w:val="20"/>
          <w:szCs w:val="20"/>
          <w:color w:val="auto"/>
        </w:rPr>
      </w:pPr>
    </w:p>
    <w:p>
      <w:pPr>
        <w:ind w:left="4" w:right="480" w:hanging="4"/>
        <w:spacing w:after="0" w:line="295" w:lineRule="auto"/>
        <w:tabs>
          <w:tab w:leader="none" w:pos="2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0" w:name="page21"/>
    <w:bookmarkEnd w:id="20"/>
    <w:p>
      <w:pPr>
        <w:ind w:left="4"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contract, agreement, instrument, indenture or other Contractual Obligation shall not have been entered into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5"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4" w:lineRule="exact"/>
        <w:rPr>
          <w:sz w:val="20"/>
          <w:szCs w:val="20"/>
          <w:color w:val="auto"/>
        </w:rPr>
      </w:pPr>
    </w:p>
    <w:p>
      <w:pPr>
        <w:ind w:left="4" w:right="80" w:hanging="4"/>
        <w:spacing w:after="0" w:line="290"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w:t>
      </w:r>
    </w:p>
    <w:p>
      <w:pPr>
        <w:spacing w:after="0" w:line="164"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an amount equal to the aggregate principal amount of all Loans held by such Lender then outstanding.</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Commitments and the extensions of credit made thereunder.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225" w:lineRule="exact"/>
        <w:rPr>
          <w:sz w:val="20"/>
          <w:szCs w:val="20"/>
          <w:color w:val="auto"/>
        </w:rPr>
      </w:pPr>
    </w:p>
    <w:p>
      <w:pPr>
        <w:jc w:val="both"/>
        <w:ind w:left="4" w:right="1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Fee Rate</w:t>
      </w:r>
      <w:r>
        <w:rPr>
          <w:rFonts w:ascii="Arial" w:cs="Arial" w:eastAsia="Arial" w:hAnsi="Arial"/>
          <w:sz w:val="16"/>
          <w:szCs w:val="16"/>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Facility provided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hereunder.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1" w:name="page22"/>
    <w:bookmarkEnd w:id="21"/>
    <w:p>
      <w:pPr>
        <w:ind w:right="1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1"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shall be less than zero, such rate shall be deemed to be zero for purposes of this Agreement.</w:t>
      </w:r>
    </w:p>
    <w:p>
      <w:pPr>
        <w:spacing w:after="0" w:line="18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first day of each January, April, July and October (or, if any such day is not a Business Day, the next succeeding Business Day) and (b) the last day of the final Fee Payment Period.</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 End Date</w:t>
      </w:r>
      <w:r>
        <w:rPr>
          <w:rFonts w:ascii="Arial" w:cs="Arial" w:eastAsia="Arial" w:hAnsi="Arial"/>
          <w:sz w:val="18"/>
          <w:szCs w:val="18"/>
          <w:color w:val="auto"/>
        </w:rPr>
        <w:t>” means the fifteenth day of each March, June, September and December of each year.</w:t>
      </w:r>
    </w:p>
    <w:p>
      <w:pPr>
        <w:spacing w:after="0" w:line="225"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Subsidiary</w:t>
      </w:r>
      <w:r>
        <w:rPr>
          <w:rFonts w:ascii="Arial" w:cs="Arial" w:eastAsia="Arial" w:hAnsi="Arial"/>
          <w:sz w:val="17"/>
          <w:szCs w:val="17"/>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GMGTC shall not be considered a Finance Subsidiary.</w:t>
      </w:r>
    </w:p>
    <w:p>
      <w:pPr>
        <w:spacing w:after="0" w:line="17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 2023 10-Q</w:t>
      </w:r>
      <w:r>
        <w:rPr>
          <w:rFonts w:ascii="Arial" w:cs="Arial" w:eastAsia="Arial" w:hAnsi="Arial"/>
          <w:sz w:val="18"/>
          <w:szCs w:val="18"/>
          <w:color w:val="auto"/>
        </w:rPr>
        <w:t>” means has the meaning assigned to such term in Section 4.1.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0.00%.</w:t>
      </w:r>
    </w:p>
    <w:p>
      <w:pPr>
        <w:spacing w:after="0" w:line="187"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2" w:name="page23"/>
    <w:bookmarkEnd w:id="22"/>
    <w:p>
      <w:pPr>
        <w:ind w:right="1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84"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Office</w:t>
      </w:r>
      <w:r>
        <w:rPr>
          <w:rFonts w:ascii="Arial" w:cs="Arial" w:eastAsia="Arial" w:hAnsi="Arial"/>
          <w:sz w:val="16"/>
          <w:szCs w:val="16"/>
          <w:color w:val="auto"/>
        </w:rPr>
        <w:t>” means the office of the Administrative Agent specified in Section 10.2 or such other office as may be specified from time to time by the Administrative Agent as its funding office with respect to the Facility by written notice to the Company and the applicable Lenders.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means General Motors Financial Company, Inc., a Texas corporation.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GMGTC</w:t>
      </w:r>
      <w:r>
        <w:rPr>
          <w:rFonts w:ascii="Arial" w:cs="Arial" w:eastAsia="Arial" w:hAnsi="Arial"/>
          <w:sz w:val="17"/>
          <w:szCs w:val="17"/>
          <w:color w:val="auto"/>
        </w:rPr>
        <w:t>” means GM Global Treasury Centre Limited, a private limited company incorporated under the laws of England and Wales.</w:t>
      </w:r>
    </w:p>
    <w:p>
      <w:pPr>
        <w:spacing w:after="0" w:line="23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Guarantee Agreement to be executed and delivered by each Subsidiary Guarantor pursuant to Section 6.6(a) or Section 10.1(b), as applicable, substantially in the form of Exhibit 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 w:name="page24"/>
    <w:bookmarkEnd w:id="23"/>
    <w:p>
      <w:pPr>
        <w:ind w:left="4"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any Subsidiary Guarantors (if applicable). For the avoidance of doubt, GM Holdings does not and shall not constitute a Guarantor.</w:t>
      </w:r>
    </w:p>
    <w:p>
      <w:pPr>
        <w:spacing w:after="0" w:line="170"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68"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spacing w:after="0" w:line="1" w:lineRule="exact"/>
        <w:rPr>
          <w:sz w:val="20"/>
          <w:szCs w:val="20"/>
          <w:color w:val="auto"/>
        </w:rPr>
      </w:pPr>
    </w:p>
    <w:p>
      <w:pPr>
        <w:ind w:left="4" w:right="100" w:hanging="4"/>
        <w:spacing w:after="0" w:line="253"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9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4" w:right="1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24" w:name="page25"/>
    <w:bookmarkEnd w:id="24"/>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7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Participant</w:t>
      </w:r>
      <w:r>
        <w:rPr>
          <w:rFonts w:ascii="Arial" w:cs="Arial" w:eastAsia="Arial" w:hAnsi="Arial"/>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Company to convert or continue a Borrowing in accordance with Section 2.14.</w:t>
      </w:r>
    </w:p>
    <w:p>
      <w:pPr>
        <w:spacing w:after="0" w:line="23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and (2) the Termination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Termination Date and (d) as to any Loan, the date of any repayment or prepayment made in respect thereof (to the extent of such repayment or prepayment).</w:t>
      </w:r>
    </w:p>
    <w:p>
      <w:pPr>
        <w:spacing w:after="0" w:line="18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as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5" w:name="page26"/>
    <w:bookmarkEnd w:id="25"/>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by the Company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as selected by the Company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53" w:lineRule="exact"/>
        <w:rPr>
          <w:sz w:val="20"/>
          <w:szCs w:val="20"/>
          <w:color w:val="auto"/>
        </w:rPr>
      </w:pPr>
    </w:p>
    <w:p>
      <w:pPr>
        <w:ind w:left="980" w:right="60" w:firstLine="408"/>
        <w:spacing w:after="0" w:line="263" w:lineRule="auto"/>
        <w:tabs>
          <w:tab w:leader="none" w:pos="16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75" w:lineRule="exact"/>
        <w:rPr>
          <w:rFonts w:ascii="Arial" w:cs="Arial" w:eastAsia="Arial" w:hAnsi="Arial"/>
          <w:sz w:val="18"/>
          <w:szCs w:val="18"/>
          <w:color w:val="auto"/>
        </w:rPr>
      </w:pPr>
    </w:p>
    <w:p>
      <w:pPr>
        <w:ind w:left="1680" w:hanging="292"/>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not select an Interest Period under the Facility that would extend beyond the Termination Date;</w:t>
      </w:r>
    </w:p>
    <w:p>
      <w:pPr>
        <w:spacing w:after="0" w:line="117" w:lineRule="exact"/>
        <w:rPr>
          <w:rFonts w:ascii="Arial" w:cs="Arial" w:eastAsia="Arial" w:hAnsi="Arial"/>
          <w:sz w:val="18"/>
          <w:szCs w:val="18"/>
          <w:color w:val="auto"/>
        </w:rPr>
      </w:pPr>
    </w:p>
    <w:p>
      <w:pPr>
        <w:ind w:left="980" w:right="240" w:firstLine="408"/>
        <w:spacing w:after="0" w:line="342" w:lineRule="auto"/>
        <w:tabs>
          <w:tab w:leader="none" w:pos="1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5" w:lineRule="exact"/>
        <w:rPr>
          <w:rFonts w:ascii="Arial" w:cs="Arial" w:eastAsia="Arial" w:hAnsi="Arial"/>
          <w:sz w:val="16"/>
          <w:szCs w:val="16"/>
          <w:color w:val="auto"/>
        </w:rPr>
      </w:pPr>
    </w:p>
    <w:p>
      <w:pPr>
        <w:ind w:left="980" w:right="320" w:firstLine="408"/>
        <w:spacing w:after="0" w:line="311" w:lineRule="auto"/>
        <w:tabs>
          <w:tab w:leader="none" w:pos="16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interparty claims), demands, damages or liabilities of any kind.</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Guarantee, the Notes, each Guarantee Joinder and any amendment, waiver, supplement or other modification to any of the foregoing.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6" w:name="page27"/>
    <w:bookmarkEnd w:id="26"/>
    <w:p>
      <w:pPr>
        <w:jc w:val="both"/>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the Company and each Subsidiary Guarantor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w:t>
      </w:r>
    </w:p>
    <w:p>
      <w:pPr>
        <w:spacing w:after="0" w:line="225"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77"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4" w:lineRule="exact"/>
        <w:rPr>
          <w:sz w:val="20"/>
          <w:szCs w:val="20"/>
          <w:color w:val="auto"/>
        </w:rPr>
      </w:pPr>
    </w:p>
    <w:p>
      <w:pPr>
        <w:jc w:val="both"/>
        <w:ind w:right="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Loan Party</w:t>
      </w:r>
      <w:r>
        <w:rPr>
          <w:rFonts w:ascii="Arial" w:cs="Arial" w:eastAsia="Arial" w:hAnsi="Arial"/>
          <w:sz w:val="16"/>
          <w:szCs w:val="16"/>
          <w:color w:val="auto"/>
        </w:rPr>
        <w:t>” means, (a) the Company and (b) any Subsidiary Guarantor (if any) that, at the time of determination, has Consolidated Total Assets equal to at least 10% of the Consolidated Total Assets of the Company at such time, as reflected initially in the 2022 10-K and thereafter in the most recent annual consolidated financial statements of the Company delivered or deemed delivered pursuant to Section 6.1.</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specified in Section 10.22.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4"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7" w:name="page28"/>
    <w:bookmarkEnd w:id="2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left="4" w:right="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6"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the unpaid principal of and interest on the Loans and all other obligations and liabilities of the Company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or any of the Subsidiary Guarantors pursuant to the terms of any of the Loan Documents).</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left="4"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indebtedness for borrowed money, the aggregate outstanding principal amount thereof,</w:t>
      </w:r>
    </w:p>
    <w:p>
      <w:pPr>
        <w:spacing w:after="0" w:line="46" w:lineRule="exact"/>
        <w:rPr>
          <w:sz w:val="20"/>
          <w:szCs w:val="20"/>
          <w:color w:val="auto"/>
        </w:rPr>
      </w:pPr>
    </w:p>
    <w:p>
      <w:pPr>
        <w:ind w:left="4" w:right="380"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85" w:lineRule="exact"/>
        <w:rPr>
          <w:sz w:val="20"/>
          <w:szCs w:val="20"/>
          <w:color w:val="auto"/>
        </w:rPr>
      </w:pPr>
    </w:p>
    <w:p>
      <w:pPr>
        <w:ind w:left="4" w:right="2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Overnight Bank Funding Rate shall be less than zero, such rate shall be deemed to be zero for purposes of this Agreement.</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8" w:name="page29"/>
    <w:bookmarkEnd w:id="2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of such Lender then outstanding constitutes of the aggregate Outstanding Amount of Extensions of Credit of the Lenders then outstanding.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980" w:right="20" w:firstLine="408"/>
        <w:spacing w:after="0" w:line="301" w:lineRule="auto"/>
        <w:tabs>
          <w:tab w:leader="none" w:pos="16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49" w:lineRule="exact"/>
        <w:rPr>
          <w:rFonts w:ascii="Arial" w:cs="Arial" w:eastAsia="Arial" w:hAnsi="Arial"/>
          <w:sz w:val="16"/>
          <w:szCs w:val="16"/>
          <w:color w:val="auto"/>
        </w:rPr>
      </w:pPr>
    </w:p>
    <w:p>
      <w:pPr>
        <w:ind w:left="980" w:right="100" w:firstLine="408"/>
        <w:spacing w:after="0" w:line="286" w:lineRule="auto"/>
        <w:tabs>
          <w:tab w:leader="none" w:pos="1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57" w:lineRule="exact"/>
        <w:rPr>
          <w:rFonts w:ascii="Arial" w:cs="Arial" w:eastAsia="Arial" w:hAnsi="Arial"/>
          <w:sz w:val="17"/>
          <w:szCs w:val="17"/>
          <w:color w:val="auto"/>
        </w:rPr>
      </w:pPr>
    </w:p>
    <w:p>
      <w:pPr>
        <w:ind w:left="1640" w:hanging="252"/>
        <w:spacing w:after="0"/>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7" w:lineRule="exact"/>
        <w:rPr>
          <w:rFonts w:ascii="Arial" w:cs="Arial" w:eastAsia="Arial" w:hAnsi="Arial"/>
          <w:sz w:val="18"/>
          <w:szCs w:val="18"/>
          <w:color w:val="auto"/>
        </w:rPr>
      </w:pPr>
    </w:p>
    <w:p>
      <w:pPr>
        <w:jc w:val="both"/>
        <w:ind w:left="980" w:right="160" w:firstLine="408"/>
        <w:spacing w:after="0" w:line="263" w:lineRule="auto"/>
        <w:tabs>
          <w:tab w:leader="none" w:pos="1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5" w:lineRule="exact"/>
        <w:rPr>
          <w:rFonts w:ascii="Arial" w:cs="Arial" w:eastAsia="Arial" w:hAnsi="Arial"/>
          <w:sz w:val="18"/>
          <w:szCs w:val="18"/>
          <w:color w:val="auto"/>
        </w:rPr>
      </w:pPr>
    </w:p>
    <w:p>
      <w:pPr>
        <w:ind w:left="980" w:firstLine="408"/>
        <w:spacing w:after="0" w:line="275" w:lineRule="auto"/>
        <w:tabs>
          <w:tab w:leader="none" w:pos="16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68" w:lineRule="exact"/>
        <w:rPr>
          <w:rFonts w:ascii="Arial" w:cs="Arial" w:eastAsia="Arial" w:hAnsi="Arial"/>
          <w:sz w:val="17"/>
          <w:szCs w:val="17"/>
          <w:color w:val="auto"/>
        </w:rPr>
      </w:pPr>
    </w:p>
    <w:p>
      <w:pPr>
        <w:ind w:left="980" w:right="620" w:firstLine="408"/>
        <w:spacing w:after="0" w:line="342" w:lineRule="auto"/>
        <w:tabs>
          <w:tab w:leader="none" w:pos="1606"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9" w:name="page30"/>
    <w:bookmarkEnd w:id="29"/>
    <w:p>
      <w:pPr>
        <w:ind w:left="-20" w:firstLine="408"/>
        <w:spacing w:after="0" w:line="255"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4" w:lineRule="exact"/>
        <w:rPr>
          <w:rFonts w:ascii="Arial" w:cs="Arial" w:eastAsia="Arial" w:hAnsi="Arial"/>
          <w:sz w:val="18"/>
          <w:szCs w:val="18"/>
          <w:color w:val="auto"/>
        </w:rPr>
      </w:pPr>
    </w:p>
    <w:p>
      <w:pPr>
        <w:ind w:left="-20" w:right="40" w:firstLine="408"/>
        <w:spacing w:after="0" w:line="263"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5" w:lineRule="exact"/>
        <w:rPr>
          <w:rFonts w:ascii="Arial" w:cs="Arial" w:eastAsia="Arial" w:hAnsi="Arial"/>
          <w:sz w:val="18"/>
          <w:szCs w:val="18"/>
          <w:color w:val="auto"/>
        </w:rPr>
      </w:pPr>
    </w:p>
    <w:p>
      <w:pPr>
        <w:ind w:left="-20" w:right="280" w:firstLine="408"/>
        <w:spacing w:after="0" w:line="254" w:lineRule="auto"/>
        <w:tabs>
          <w:tab w:leader="none" w:pos="5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86" w:lineRule="exact"/>
        <w:rPr>
          <w:rFonts w:ascii="Arial" w:cs="Arial" w:eastAsia="Arial" w:hAnsi="Arial"/>
          <w:sz w:val="18"/>
          <w:szCs w:val="18"/>
          <w:color w:val="auto"/>
        </w:rPr>
      </w:pPr>
    </w:p>
    <w:p>
      <w:pPr>
        <w:ind w:left="-20" w:right="160" w:firstLine="408"/>
        <w:spacing w:after="0" w:line="286"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57" w:lineRule="exact"/>
        <w:rPr>
          <w:rFonts w:ascii="Arial" w:cs="Arial" w:eastAsia="Arial" w:hAnsi="Arial"/>
          <w:sz w:val="17"/>
          <w:szCs w:val="17"/>
          <w:color w:val="auto"/>
        </w:rPr>
      </w:pPr>
    </w:p>
    <w:p>
      <w:pPr>
        <w:ind w:left="-20" w:right="60" w:firstLine="408"/>
        <w:spacing w:after="0" w:line="311" w:lineRule="auto"/>
        <w:tabs>
          <w:tab w:leader="none" w:pos="6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Liens on property or Capital Stock of a Person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Lien may not extend to any other property owned by the Company or any Principal Domestic Subsidiary;</w:t>
      </w:r>
    </w:p>
    <w:p>
      <w:pPr>
        <w:spacing w:after="0" w:line="40" w:lineRule="exact"/>
        <w:rPr>
          <w:rFonts w:ascii="Arial" w:cs="Arial" w:eastAsia="Arial" w:hAnsi="Arial"/>
          <w:sz w:val="16"/>
          <w:szCs w:val="16"/>
          <w:color w:val="auto"/>
        </w:rPr>
      </w:pPr>
    </w:p>
    <w:p>
      <w:pPr>
        <w:ind w:left="-20" w:right="100" w:firstLine="408"/>
        <w:spacing w:after="0" w:line="301" w:lineRule="auto"/>
        <w:tabs>
          <w:tab w:leader="none" w:pos="5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acquisition;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the Company or any Principal Domestic Subsidiary;</w:t>
      </w:r>
    </w:p>
    <w:p>
      <w:pPr>
        <w:spacing w:after="0" w:line="49" w:lineRule="exact"/>
        <w:rPr>
          <w:rFonts w:ascii="Arial" w:cs="Arial" w:eastAsia="Arial" w:hAnsi="Arial"/>
          <w:sz w:val="16"/>
          <w:szCs w:val="16"/>
          <w:color w:val="auto"/>
        </w:rPr>
      </w:pPr>
    </w:p>
    <w:p>
      <w:pPr>
        <w:ind w:left="-20" w:firstLine="408"/>
        <w:spacing w:after="0" w:line="263" w:lineRule="auto"/>
        <w:tabs>
          <w:tab w:leader="none" w:pos="6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00"/>
          </w:cols>
          <w:pgMar w:left="1440" w:top="274" w:right="459" w:bottom="1440" w:gutter="0" w:footer="0" w:header="0"/>
        </w:sectPr>
      </w:pPr>
    </w:p>
    <w:bookmarkStart w:id="30" w:name="page31"/>
    <w:bookmarkEnd w:id="30"/>
    <w:p>
      <w:pPr>
        <w:ind w:left="-7" w:right="140" w:firstLine="408"/>
        <w:spacing w:after="0" w:line="277" w:lineRule="auto"/>
        <w:tabs>
          <w:tab w:leader="none" w:pos="648"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53" w:hanging="252"/>
        <w:spacing w:after="0"/>
        <w:tabs>
          <w:tab w:leader="none" w:pos="6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7" w:lineRule="exact"/>
        <w:rPr>
          <w:rFonts w:ascii="Arial" w:cs="Arial" w:eastAsia="Arial" w:hAnsi="Arial"/>
          <w:sz w:val="18"/>
          <w:szCs w:val="18"/>
          <w:color w:val="auto"/>
        </w:rPr>
      </w:pPr>
    </w:p>
    <w:p>
      <w:pPr>
        <w:ind w:left="653" w:hanging="252"/>
        <w:spacing w:after="0"/>
        <w:tabs>
          <w:tab w:leader="none" w:pos="6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7" w:lineRule="exact"/>
        <w:rPr>
          <w:rFonts w:ascii="Arial" w:cs="Arial" w:eastAsia="Arial" w:hAnsi="Arial"/>
          <w:sz w:val="18"/>
          <w:szCs w:val="18"/>
          <w:color w:val="auto"/>
        </w:rPr>
      </w:pPr>
    </w:p>
    <w:p>
      <w:pPr>
        <w:ind w:left="-7" w:right="100" w:firstLine="408"/>
        <w:spacing w:after="0" w:line="284" w:lineRule="auto"/>
        <w:tabs>
          <w:tab w:leader="none" w:pos="6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w:t>
      </w:r>
    </w:p>
    <w:p>
      <w:pPr>
        <w:spacing w:after="0" w:line="4" w:lineRule="exact"/>
        <w:rPr>
          <w:rFonts w:ascii="Arial" w:cs="Arial" w:eastAsia="Arial" w:hAnsi="Arial"/>
          <w:sz w:val="16"/>
          <w:szCs w:val="16"/>
          <w:color w:val="auto"/>
        </w:rPr>
      </w:pPr>
    </w:p>
    <w:p>
      <w:pPr>
        <w:ind w:left="413" w:hanging="413"/>
        <w:spacing w:after="0"/>
        <w:tabs>
          <w:tab w:leader="none" w:pos="4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rental deposits, (ix) judicial appeals and (x) service contracts;</w:t>
      </w:r>
    </w:p>
    <w:p>
      <w:pPr>
        <w:spacing w:after="0" w:line="102" w:lineRule="exact"/>
        <w:rPr>
          <w:rFonts w:ascii="Arial" w:cs="Arial" w:eastAsia="Arial" w:hAnsi="Arial"/>
          <w:sz w:val="18"/>
          <w:szCs w:val="18"/>
          <w:color w:val="auto"/>
        </w:rPr>
      </w:pPr>
    </w:p>
    <w:p>
      <w:pPr>
        <w:ind w:left="633" w:hanging="232"/>
        <w:spacing w:after="0"/>
        <w:tabs>
          <w:tab w:leader="none" w:pos="633" w:val="left"/>
        </w:tabs>
        <w:numPr>
          <w:ilvl w:val="1"/>
          <w:numId w:val="19"/>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owing to the Company or any Principal Domestic Subsidiary;</w:t>
      </w:r>
    </w:p>
    <w:p>
      <w:pPr>
        <w:spacing w:after="0" w:line="140" w:lineRule="exact"/>
        <w:rPr>
          <w:rFonts w:ascii="Arial" w:cs="Arial" w:eastAsia="Arial" w:hAnsi="Arial"/>
          <w:sz w:val="16"/>
          <w:szCs w:val="16"/>
          <w:color w:val="auto"/>
        </w:rPr>
      </w:pPr>
    </w:p>
    <w:p>
      <w:pPr>
        <w:ind w:left="-7" w:right="20" w:firstLine="408"/>
        <w:spacing w:after="0" w:line="263" w:lineRule="auto"/>
        <w:tabs>
          <w:tab w:leader="none" w:pos="6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5" w:lineRule="exact"/>
        <w:rPr>
          <w:rFonts w:ascii="Arial" w:cs="Arial" w:eastAsia="Arial" w:hAnsi="Arial"/>
          <w:sz w:val="18"/>
          <w:szCs w:val="18"/>
          <w:color w:val="auto"/>
        </w:rPr>
      </w:pPr>
    </w:p>
    <w:p>
      <w:pPr>
        <w:ind w:left="-7" w:right="180" w:firstLine="408"/>
        <w:spacing w:after="0" w:line="301" w:lineRule="auto"/>
        <w:tabs>
          <w:tab w:leader="none" w:pos="608" w:val="left"/>
        </w:tabs>
        <w:numPr>
          <w:ilvl w:val="1"/>
          <w:numId w:val="19"/>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49" w:lineRule="exact"/>
        <w:rPr>
          <w:rFonts w:ascii="Arial" w:cs="Arial" w:eastAsia="Arial" w:hAnsi="Arial"/>
          <w:sz w:val="16"/>
          <w:szCs w:val="16"/>
          <w:color w:val="auto"/>
        </w:rPr>
      </w:pPr>
    </w:p>
    <w:p>
      <w:pPr>
        <w:ind w:left="653" w:hanging="252"/>
        <w:spacing w:after="0"/>
        <w:tabs>
          <w:tab w:leader="none" w:pos="6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7" w:lineRule="exact"/>
        <w:rPr>
          <w:rFonts w:ascii="Arial" w:cs="Arial" w:eastAsia="Arial" w:hAnsi="Arial"/>
          <w:sz w:val="18"/>
          <w:szCs w:val="18"/>
          <w:color w:val="auto"/>
        </w:rPr>
      </w:pPr>
    </w:p>
    <w:p>
      <w:pPr>
        <w:ind w:left="-7" w:right="140" w:firstLine="408"/>
        <w:spacing w:after="0" w:line="263" w:lineRule="auto"/>
        <w:tabs>
          <w:tab w:leader="none" w:pos="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5" w:lineRule="exact"/>
        <w:rPr>
          <w:rFonts w:ascii="Arial" w:cs="Arial" w:eastAsia="Arial" w:hAnsi="Arial"/>
          <w:sz w:val="18"/>
          <w:szCs w:val="18"/>
          <w:color w:val="auto"/>
        </w:rPr>
      </w:pPr>
    </w:p>
    <w:p>
      <w:pPr>
        <w:ind w:left="-7" w:firstLine="408"/>
        <w:spacing w:after="0" w:line="308" w:lineRule="auto"/>
        <w:tabs>
          <w:tab w:leader="none" w:pos="688" w:val="left"/>
        </w:tabs>
        <w:numPr>
          <w:ilvl w:val="1"/>
          <w:numId w:val="19"/>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38" w:lineRule="exact"/>
        <w:rPr>
          <w:rFonts w:ascii="Arial" w:cs="Arial" w:eastAsia="Arial" w:hAnsi="Arial"/>
          <w:sz w:val="17"/>
          <w:szCs w:val="17"/>
          <w:color w:val="auto"/>
        </w:rPr>
      </w:pPr>
    </w:p>
    <w:p>
      <w:pPr>
        <w:ind w:left="-7" w:right="100" w:firstLine="408"/>
        <w:spacing w:after="0" w:line="277" w:lineRule="auto"/>
        <w:tabs>
          <w:tab w:leader="none" w:pos="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10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93"/>
          </w:cols>
          <w:pgMar w:left="1427" w:top="274" w:right="479" w:bottom="1440" w:gutter="0" w:footer="0" w:header="0"/>
        </w:sectPr>
      </w:pPr>
    </w:p>
    <w:bookmarkStart w:id="31" w:name="page32"/>
    <w:bookmarkEnd w:id="31"/>
    <w:p>
      <w:pPr>
        <w:ind w:left="980" w:right="440" w:firstLine="408"/>
        <w:spacing w:after="0" w:line="277" w:lineRule="auto"/>
        <w:tabs>
          <w:tab w:leader="none" w:pos="1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980" w:firstLine="408"/>
        <w:spacing w:after="0" w:line="259" w:lineRule="auto"/>
        <w:tabs>
          <w:tab w:leader="none" w:pos="1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7"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1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at a particular time, an employee pension benefit plan covered by Title IV of ERISA or Section 412 of the Code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ERISA, but excluding any Multiemployer Plan, (a) which is sponsored, established, contributed to or maintained by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ERISA Affiliate, (b) for which the Company or any ERISA Affiliate could have any liability, whether actual or contingent (whether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4062 or Section 4069 of ERISA be deemed to be) an “employer” as defined in Section 3(5) of ERISA.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of 29 CFR § 2510.3-101 et seq., as modified by Section 3(42) of ERISA, as amended from time to time.</w:t>
      </w:r>
    </w:p>
    <w:p>
      <w:pPr>
        <w:spacing w:after="0" w:line="248" w:lineRule="exact"/>
        <w:rPr>
          <w:sz w:val="20"/>
          <w:szCs w:val="20"/>
          <w:color w:val="auto"/>
        </w:rPr>
      </w:pPr>
    </w:p>
    <w:p>
      <w:pPr>
        <w:ind w:right="1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Post-Petition Interest</w:t>
      </w:r>
      <w:r>
        <w:rPr>
          <w:rFonts w:ascii="Arial" w:cs="Arial" w:eastAsia="Arial" w:hAnsi="Arial"/>
          <w:sz w:val="16"/>
          <w:szCs w:val="16"/>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49"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Domestic Subsidiary</w:t>
      </w:r>
      <w:r>
        <w:rPr>
          <w:rFonts w:ascii="Arial" w:cs="Arial" w:eastAsia="Arial" w:hAnsi="Arial"/>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2022 10-K), (B) at least 80% or more of the Capital Stock or Voting Stock of such Domestic Subsidiary is owned, directly or indirectly, by the Company and (C) none of the Capital Stock of such Domestic Subsidiary is publicly held.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2" w:name="page33"/>
    <w:bookmarkEnd w:id="3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or (b) any Lender, as applicable.</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two Business Days prior to such setting or (3) if such Benchmark is none of the Term SOFR Rate or Daily Simple SOFR, the time determined by the Administrative Agent in its reasonable discretion.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NYFRB, or a committee officially endorsed or convened by the Federal Reserve Board and/or the NYFRB or, in each case, any successor thereto.</w:t>
      </w:r>
    </w:p>
    <w:p>
      <w:pPr>
        <w:spacing w:after="0" w:line="170"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means (i) with respect to any Term Benchmark Borrowing, the Adjusted Term SOFR Rate or (ii) with respect to any Daily Simple SOFR Borrowing, the Adjusted Daily Simple SOFR, as applicable.</w:t>
      </w:r>
    </w:p>
    <w:p>
      <w:pPr>
        <w:spacing w:after="0" w:line="170"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46"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3" w:name="page34"/>
    <w:bookmarkEnd w:id="3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 and its successors.</w:t>
      </w:r>
    </w:p>
    <w:p>
      <w:pPr>
        <w:spacing w:after="0" w:line="225"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Quarter 2023 10-Q</w:t>
      </w:r>
      <w:r>
        <w:rPr>
          <w:rFonts w:ascii="Arial" w:cs="Arial" w:eastAsia="Arial" w:hAnsi="Arial"/>
          <w:sz w:val="18"/>
          <w:szCs w:val="18"/>
          <w:color w:val="auto"/>
        </w:rPr>
        <w:t>” means has the meaning assigned to such term in Section 4.1.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Determination Date</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 w:name="page35"/>
    <w:bookmarkEnd w:id="34"/>
    <w:p>
      <w:pPr>
        <w:jc w:val="both"/>
        <w:ind w:left="4"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7"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each Principal Domestic Subsidiary that became a party to the Guarantee pursuant to Section 6.6(a) or Section 10.1(b).</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it in Section 10.21.</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84" w:lineRule="exact"/>
        <w:rPr>
          <w:sz w:val="20"/>
          <w:szCs w:val="20"/>
          <w:color w:val="auto"/>
        </w:rPr>
      </w:pPr>
    </w:p>
    <w:p>
      <w:pPr>
        <w:ind w:left="4"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70"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Benchmark Tranche</w:t>
      </w:r>
      <w:r>
        <w:rPr>
          <w:rFonts w:ascii="Arial" w:cs="Arial" w:eastAsia="Arial" w:hAnsi="Arial"/>
          <w:sz w:val="17"/>
          <w:szCs w:val="17"/>
          <w:color w:val="auto"/>
        </w:rPr>
        <w:t>” means the collective reference to Term Benchmark Loans under the Facility,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ind w:left="4" w:right="5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Rate</w:t>
      </w:r>
      <w:r>
        <w:rPr>
          <w:rFonts w:ascii="Arial" w:cs="Arial" w:eastAsia="Arial" w:hAnsi="Arial"/>
          <w:sz w:val="16"/>
          <w:szCs w:val="16"/>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49"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Reference Rate</w:t>
      </w:r>
      <w:r>
        <w:rPr>
          <w:rFonts w:ascii="Arial" w:cs="Arial" w:eastAsia="Arial" w:hAnsi="Arial"/>
          <w:sz w:val="16"/>
          <w:szCs w:val="16"/>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w:t>
      </w:r>
    </w:p>
    <w:p>
      <w:pPr>
        <w:spacing w:after="0" w:line="1" w:lineRule="exact"/>
        <w:rPr>
          <w:sz w:val="20"/>
          <w:szCs w:val="20"/>
          <w:color w:val="auto"/>
        </w:rPr>
      </w:pPr>
    </w:p>
    <w:p>
      <w:pPr>
        <w:ind w:left="5424" w:right="4280" w:hanging="5424"/>
        <w:spacing w:after="0" w:line="472" w:lineRule="auto"/>
        <w:tabs>
          <w:tab w:leader="none" w:pos="261"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 Government Securities Business Days prior to such Term SOFR Determination Day. 27</w:t>
      </w:r>
    </w:p>
    <w:p>
      <w:pPr>
        <w:sectPr>
          <w:pgSz w:w="11900" w:h="16838" w:orient="portrait"/>
          <w:cols w:equalWidth="0" w:num="1">
            <w:col w:w="10984"/>
          </w:cols>
          <w:pgMar w:left="436" w:top="274" w:right="479" w:bottom="1440" w:gutter="0" w:footer="0" w:header="0"/>
        </w:sectPr>
      </w:pPr>
    </w:p>
    <w:bookmarkStart w:id="35" w:name="page36"/>
    <w:bookmarkEnd w:id="3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October 1, 2024 which is the date which is 364 calendar days following the Closing Date.</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$6.0 billion.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Extensions of Credit</w:t>
      </w:r>
      <w:r>
        <w:rPr>
          <w:rFonts w:ascii="Arial" w:cs="Arial" w:eastAsia="Arial" w:hAnsi="Arial"/>
          <w:sz w:val="16"/>
          <w:szCs w:val="16"/>
          <w:color w:val="auto"/>
        </w:rPr>
        <w:t>” means, at any time, the aggregate Outstanding Amount of the Extensions of Credit of the Lenders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as to any Loan, its nature as an ABR Loan, a Term Benchmark Loan or a Daily Simple SOFR Loan.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Kingdom</w:t>
      </w:r>
      <w:r>
        <w:rPr>
          <w:rFonts w:ascii="Arial" w:cs="Arial" w:eastAsia="Arial" w:hAnsi="Arial"/>
          <w:sz w:val="18"/>
          <w:szCs w:val="18"/>
          <w:color w:val="auto"/>
        </w:rPr>
        <w:t>” means the United Kingdom of Great Britain and Northern Ireland.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it in Section 10.21.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6" w:name="page37"/>
    <w:bookmarkEnd w:id="36"/>
    <w:p>
      <w:pPr>
        <w:ind w:left="4" w:right="3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left="4"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4" w:right="620" w:firstLine="991"/>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i) Unless otherwise specified therein, all terms defined in this Agreement shall have the defined meanings when used in the other Loan Documents or any certificate or other document made or delivered pursuant hereto or thereto.</w:t>
      </w:r>
    </w:p>
    <w:p>
      <w:pPr>
        <w:spacing w:after="0" w:line="124" w:lineRule="exact"/>
        <w:rPr>
          <w:sz w:val="20"/>
          <w:szCs w:val="20"/>
          <w:color w:val="auto"/>
        </w:rPr>
      </w:pPr>
    </w:p>
    <w:p>
      <w:pPr>
        <w:ind w:left="1244" w:hanging="253"/>
        <w:spacing w:after="0"/>
        <w:tabs>
          <w:tab w:leader="none" w:pos="1244" w:val="left"/>
        </w:tabs>
        <w:numPr>
          <w:ilvl w:val="1"/>
          <w:numId w:val="22"/>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46" w:lineRule="exact"/>
        <w:rPr>
          <w:rFonts w:ascii="Arial" w:cs="Arial" w:eastAsia="Arial" w:hAnsi="Arial"/>
          <w:sz w:val="16"/>
          <w:szCs w:val="16"/>
          <w:color w:val="auto"/>
        </w:rPr>
      </w:pPr>
    </w:p>
    <w:p>
      <w:pPr>
        <w:ind w:left="4" w:right="80" w:hanging="4"/>
        <w:spacing w:after="0" w:line="267" w:lineRule="auto"/>
        <w:tabs>
          <w:tab w:leader="none" w:pos="219"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85" w:lineRule="exact"/>
        <w:rPr>
          <w:rFonts w:ascii="Arial" w:cs="Arial" w:eastAsia="Arial" w:hAnsi="Arial"/>
          <w:sz w:val="17"/>
          <w:szCs w:val="17"/>
          <w:color w:val="auto"/>
        </w:rPr>
      </w:pPr>
    </w:p>
    <w:p>
      <w:pPr>
        <w:ind w:left="4" w:firstLine="987"/>
        <w:spacing w:after="0" w:line="263" w:lineRule="auto"/>
        <w:tabs>
          <w:tab w:leader="none" w:pos="12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5" w:lineRule="exact"/>
        <w:rPr>
          <w:sz w:val="20"/>
          <w:szCs w:val="20"/>
          <w:color w:val="auto"/>
        </w:rPr>
      </w:pPr>
    </w:p>
    <w:p>
      <w:pPr>
        <w:jc w:val="both"/>
        <w:ind w:left="4" w:right="40" w:firstLine="987"/>
        <w:spacing w:after="0" w:line="259"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37" w:name="page38"/>
    <w:bookmarkEnd w:id="37"/>
    <w:p>
      <w:pPr>
        <w:ind w:right="180" w:firstLine="987"/>
        <w:spacing w:after="0" w:line="263" w:lineRule="auto"/>
        <w:tabs>
          <w:tab w:leader="none" w:pos="124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83" w:lineRule="exact"/>
        <w:rPr>
          <w:rFonts w:ascii="Arial" w:cs="Arial" w:eastAsia="Arial" w:hAnsi="Arial"/>
          <w:sz w:val="18"/>
          <w:szCs w:val="18"/>
          <w:color w:val="auto"/>
        </w:rPr>
      </w:pPr>
    </w:p>
    <w:p>
      <w:pPr>
        <w:jc w:val="both"/>
        <w:ind w:right="220" w:firstLine="987"/>
        <w:spacing w:after="0" w:line="263" w:lineRule="auto"/>
        <w:tabs>
          <w:tab w:leader="none" w:pos="12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8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Interest Rates; Benchmark Notification.</w:t>
      </w:r>
      <w:r>
        <w:rPr>
          <w:rFonts w:ascii="Arial" w:cs="Arial" w:eastAsia="Arial" w:hAnsi="Arial"/>
          <w:sz w:val="17"/>
          <w:szCs w:val="17"/>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2"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8" w:name="page39"/>
    <w:bookmarkEnd w:id="38"/>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AMOUNT AND TERMS OF COMMITMENTS</w:t>
      </w:r>
    </w:p>
    <w:p>
      <w:pPr>
        <w:spacing w:after="0" w:line="225"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Commitments</w:t>
      </w:r>
      <w:r>
        <w:rPr>
          <w:rFonts w:ascii="Arial" w:cs="Arial" w:eastAsia="Arial" w:hAnsi="Arial"/>
          <w:sz w:val="18"/>
          <w:szCs w:val="18"/>
          <w:color w:val="auto"/>
        </w:rPr>
        <w:t>. (a) Subject to the terms and conditions hereof, each Lender severally agrees to make (or cause its Applicable Lending Office to make) revolving loans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in Dollars to the Company from time to time during the Commitment Period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may use the Commitments by borrowing, prepaying the Loans in whole or in part, and reborrowing, all in accordance with the terms and conditions hereof. The Loans may from time to time be Term Benchmark Loans, Daily Simple SOFR Loans or ABR Loans or any combination of the foregoing, as determined by the Company and notified to the Administrative Agent in accordance with Section 2.2 and 2.14.</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 The Company shall repay all outstanding Loans of a Lender on the Termination Date for such Lender under the Facility.</w:t>
      </w:r>
    </w:p>
    <w:p>
      <w:pPr>
        <w:spacing w:after="0" w:line="225"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give the Administrative Agent a written Borrowing Request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 specifying (i) the amount and Type of Loans to be borrowed,</w:t>
      </w:r>
    </w:p>
    <w:p>
      <w:pPr>
        <w:spacing w:after="0" w:line="2" w:lineRule="exact"/>
        <w:rPr>
          <w:sz w:val="20"/>
          <w:szCs w:val="20"/>
          <w:color w:val="auto"/>
        </w:rPr>
      </w:pPr>
    </w:p>
    <w:p>
      <w:pPr>
        <w:ind w:left="4" w:right="20" w:hanging="4"/>
        <w:spacing w:after="0" w:line="267" w:lineRule="auto"/>
        <w:tabs>
          <w:tab w:leader="none" w:pos="2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requested Borrowing Date and (iii) in the case of Term Benchmark Loans, the respective lengths of the initial Interest Period(s) therefor. If no election as to the Type of a Loan is specified in any such notice, then the requested borrowing shall be an ABR Loan. If no Interest Period with respect to a Term Benchmark Loan is specified in any such notice, then the Company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the Administrative Agent shall promptly notify each Lender thereof. Each Lender will make (or cause its Applicable Lending Office to make) the amount of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each such borrowing available to the Administrative Agent for the account of the Company at the Funding Office prior to 1:00 P.M. (or, in the case of an ABR Loan requested on the proposed Borrowing Date, 3:00 P.M.), New York City time, on the Borrowing Date requested (or deemed requested) by the Company in funds immediately available to the Administrative Agent. Such borrowing will then be made available to the Company by the Administrative Agent crediting the account of the Company on the books of such office or such other account as the Company may specify to the Administrative Agent with the aggregate of the amounts made available to the Administrative Agent by the Lenders and in like funds as received by the Administrative Agent.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9" w:name="page40"/>
    <w:bookmarkEnd w:id="39"/>
    <w:p>
      <w:pPr>
        <w:ind w:right="6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of such Lender under the Facility during the related Fee Payment Period for which payment is made, payable in arrears on each Fee Payment Date, commencing on the first such date to occur after the Closing Date.</w:t>
      </w:r>
    </w:p>
    <w:p>
      <w:pPr>
        <w:spacing w:after="0" w:line="195" w:lineRule="exact"/>
        <w:rPr>
          <w:sz w:val="20"/>
          <w:szCs w:val="20"/>
          <w:color w:val="auto"/>
        </w:rPr>
      </w:pPr>
    </w:p>
    <w:p>
      <w:pPr>
        <w:ind w:right="420" w:firstLine="987"/>
        <w:spacing w:after="0" w:line="277"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JPMorgan Fee Letter, dated as of October 3, 2023, between the Company and the Administrative Agent.</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68"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Company may at any time and from time to time prepay the Loans, in whole or in part, without premium or penalty, upon irrevocable notice delivered to the Administrative Agent no later than 11:00 a.m., New York City time, three Business Days prior thereto, in the case of Term Benchmark Loans and Daily Simple SOFR Loans, and no later than 11:00 a.m., New York City time, on the day of such prepayment, in the case of ABR Loans, in each case which notice shall specify the date and amount of prepayment and whether the prepayment is of Term Benchmark Loans, Daily Simple SOFR Loans or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Term Benchmark Loan is prepaid on any day other than the last day of the Interest Period applicable thereto, the Company shall also pay any amounts owing pursuant to Section 2.22;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0" w:name="page41"/>
    <w:bookmarkEnd w:id="4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conversion of Term Benchmark Loans that is not made on the last day of an Interest Period with respect thereto shall be subject to Section 2.22. The Company may elect from time to time to convert</w:t>
      </w:r>
    </w:p>
    <w:p>
      <w:pPr>
        <w:spacing w:after="0" w:line="1" w:lineRule="exact"/>
        <w:rPr>
          <w:sz w:val="20"/>
          <w:szCs w:val="20"/>
          <w:color w:val="auto"/>
        </w:rPr>
      </w:pPr>
    </w:p>
    <w:p>
      <w:pPr>
        <w:ind w:left="4" w:right="80" w:hanging="4"/>
        <w:spacing w:after="0" w:line="286" w:lineRule="auto"/>
        <w:tabs>
          <w:tab w:leader="none" w:pos="2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may elect from time to time to convert ABR Loans or Daily Simple SOFR Loans to Term Benchmark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no ABR Loan may be converted into a Term Benchmark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and the Company thereof.</w:t>
      </w:r>
    </w:p>
    <w:p>
      <w:pPr>
        <w:spacing w:after="0" w:line="172" w:lineRule="exact"/>
        <w:rPr>
          <w:rFonts w:ascii="Arial" w:cs="Arial" w:eastAsia="Arial" w:hAnsi="Arial"/>
          <w:sz w:val="16"/>
          <w:szCs w:val="16"/>
          <w:color w:val="auto"/>
        </w:rPr>
      </w:pPr>
    </w:p>
    <w:p>
      <w:pPr>
        <w:ind w:left="4" w:firstLine="987"/>
        <w:spacing w:after="0" w:line="269" w:lineRule="auto"/>
        <w:tabs>
          <w:tab w:leader="none" w:pos="1250"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Any Term Benchmark Loan may be continued as such upon the expiration of the then current Interest Period with respect thereto by the Company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Term Benchmark Loan under the Facility shall be converted to an ABR Loan at the end of the Interest Period applicable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and the Company thereof.</w:t>
      </w:r>
    </w:p>
    <w:p>
      <w:pPr>
        <w:spacing w:after="0" w:line="185"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Limitations on Term Benchmark Tranches and Daily Simple SOFR Borrowings</w:t>
      </w:r>
      <w:r>
        <w:rPr>
          <w:rFonts w:ascii="Arial" w:cs="Arial" w:eastAsia="Arial" w:hAnsi="Arial"/>
          <w:sz w:val="16"/>
          <w:szCs w:val="16"/>
          <w:color w:val="auto"/>
        </w:rPr>
        <w:t>. Notwithstanding anything to the contrary in this Agreement, all borrowings, conversions and continuations of Term Benchmark Loans and all selections of Interest Periods shall be in such amounts and be made pursuant to such elections so that no more than ten (10) Term Benchmark Tranches shall be outstanding at any one time. Notwithstanding anything to the contrary in this Agreement, all borrowings, conversions and continuations of Daily Simple SOFR Loans shall be in such amounts and be made pursuant to such elections so that no more than ten (10) Daily Simple SOFR Borrowings shall be outstanding at any one time.</w:t>
      </w:r>
    </w:p>
    <w:p>
      <w:pPr>
        <w:spacing w:after="0" w:line="161" w:lineRule="exact"/>
        <w:rPr>
          <w:sz w:val="20"/>
          <w:szCs w:val="20"/>
          <w:color w:val="auto"/>
        </w:rPr>
      </w:pPr>
    </w:p>
    <w:p>
      <w:pPr>
        <w:ind w:left="4" w:right="340" w:firstLine="991"/>
        <w:spacing w:after="0" w:line="291"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Interest Rates and Payment Dates.</w:t>
      </w:r>
      <w:r>
        <w:rPr>
          <w:rFonts w:ascii="Arial" w:cs="Arial" w:eastAsia="Arial" w:hAnsi="Arial"/>
          <w:sz w:val="16"/>
          <w:szCs w:val="16"/>
          <w:color w:val="auto"/>
        </w:rPr>
        <w:t xml:space="preserve"> (a) Each (x) Term Benchmark Loan shall bear interest for each day during each Interest Period with respect thereto at a rate per annum equal to the Adjusted Term SOFR Rate determined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and</w:t>
      </w:r>
    </w:p>
    <w:p>
      <w:pPr>
        <w:ind w:left="4"/>
        <w:spacing w:after="0"/>
        <w:rPr>
          <w:sz w:val="20"/>
          <w:szCs w:val="20"/>
          <w:color w:val="auto"/>
        </w:rPr>
      </w:pPr>
      <w:r>
        <w:rPr>
          <w:rFonts w:ascii="Arial" w:cs="Arial" w:eastAsia="Arial" w:hAnsi="Arial"/>
          <w:sz w:val="16"/>
          <w:szCs w:val="16"/>
          <w:color w:val="auto"/>
        </w:rPr>
        <w:t xml:space="preserve">(y) Daily Simple SOFR Loan shall bear interest for each day at a rate per annum equal to the Adjusted Daily Simple SOFR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w:t>
      </w:r>
    </w:p>
    <w:p>
      <w:pPr>
        <w:spacing w:after="0" w:line="234" w:lineRule="exact"/>
        <w:rPr>
          <w:sz w:val="20"/>
          <w:szCs w:val="20"/>
          <w:color w:val="auto"/>
        </w:rPr>
      </w:pPr>
    </w:p>
    <w:p>
      <w:pPr>
        <w:ind w:left="5424" w:right="2480" w:hanging="4433"/>
        <w:spacing w:after="0" w:line="449" w:lineRule="auto"/>
        <w:tabs>
          <w:tab w:leader="none" w:pos="1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ABR Loan shall bear interest at a rate per annum equal to the ABR plus the Applicable Margin. 33</w:t>
      </w:r>
    </w:p>
    <w:p>
      <w:pPr>
        <w:sectPr>
          <w:pgSz w:w="11900" w:h="16838" w:orient="portrait"/>
          <w:cols w:equalWidth="0" w:num="1">
            <w:col w:w="11004"/>
          </w:cols>
          <w:pgMar w:left="436" w:top="274" w:right="459" w:bottom="1440" w:gutter="0" w:footer="0" w:header="0"/>
        </w:sectPr>
      </w:pPr>
    </w:p>
    <w:bookmarkStart w:id="41" w:name="page42"/>
    <w:bookmarkEnd w:id="41"/>
    <w:p>
      <w:pPr>
        <w:ind w:left="4" w:right="80" w:firstLine="987"/>
        <w:spacing w:after="0" w:line="273" w:lineRule="auto"/>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(after as well as before judgment).</w:t>
      </w:r>
    </w:p>
    <w:p>
      <w:pPr>
        <w:spacing w:after="0" w:line="177" w:lineRule="exact"/>
        <w:rPr>
          <w:rFonts w:ascii="Arial" w:cs="Arial" w:eastAsia="Arial" w:hAnsi="Arial"/>
          <w:sz w:val="17"/>
          <w:szCs w:val="17"/>
          <w:color w:val="auto"/>
        </w:rPr>
      </w:pPr>
    </w:p>
    <w:p>
      <w:pPr>
        <w:ind w:left="4" w:right="160" w:firstLine="987"/>
        <w:spacing w:after="0" w:line="277" w:lineRule="auto"/>
        <w:tabs>
          <w:tab w:leader="none" w:pos="12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interest accruing pursuant to Section 2.16(c) shall be payable from time to time on demand.</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interest hereunder shall be paid in Dollars.</w:t>
      </w:r>
    </w:p>
    <w:p>
      <w:pPr>
        <w:spacing w:after="0" w:line="225" w:lineRule="exact"/>
        <w:rPr>
          <w:sz w:val="20"/>
          <w:szCs w:val="20"/>
          <w:color w:val="auto"/>
        </w:rPr>
      </w:pPr>
    </w:p>
    <w:p>
      <w:pPr>
        <w:ind w:left="4" w:right="20" w:firstLine="991"/>
        <w:spacing w:after="0" w:line="269"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vi)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Daily Simple SOFR Rate or Daily Simple SOFR shall be determined by the Administrative Agent, and such determination shall be conclusive absent manifest error. The Administrative Agent shall as soon as practicable notify the Company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and the relevant Lenders of the effective date and the amount of each such change in interest rate. The Administrative Agent shall, at the request of the Company, deliver to the Company a statement showing the quotations used by the Administrative Agent in determining any interest rate pursuant to this Section 2.17.</w:t>
      </w:r>
    </w:p>
    <w:p>
      <w:pPr>
        <w:spacing w:after="0" w:line="18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xml:space="preserve"> (a) Subject to clauses (b), (c), (d), (e) and (f) of this Section 2.18, if:</w:t>
      </w:r>
    </w:p>
    <w:p>
      <w:pPr>
        <w:spacing w:after="0" w:line="225" w:lineRule="exact"/>
        <w:rPr>
          <w:sz w:val="20"/>
          <w:szCs w:val="20"/>
          <w:color w:val="auto"/>
        </w:rPr>
      </w:pPr>
    </w:p>
    <w:p>
      <w:pPr>
        <w:ind w:left="4" w:firstLine="987"/>
        <w:spacing w:after="0" w:line="287" w:lineRule="auto"/>
        <w:tabs>
          <w:tab w:leader="none" w:pos="121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any time, that adequate and reasonable means do not exist for ascertaining the applicable Adjusted Daily Simple SOFR or Daily Simple SOFR; or</w:t>
      </w:r>
    </w:p>
    <w:p>
      <w:pPr>
        <w:spacing w:after="0" w:line="233" w:lineRule="exact"/>
        <w:rPr>
          <w:rFonts w:ascii="Arial" w:cs="Arial" w:eastAsia="Arial" w:hAnsi="Arial"/>
          <w:sz w:val="16"/>
          <w:szCs w:val="16"/>
          <w:color w:val="auto"/>
        </w:rPr>
      </w:pPr>
    </w:p>
    <w:p>
      <w:pPr>
        <w:ind w:left="4" w:right="140" w:firstLine="987"/>
        <w:spacing w:after="0" w:line="257" w:lineRule="auto"/>
        <w:tabs>
          <w:tab w:leader="none" w:pos="12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(A) prior to the commencement of any Interest Period for a Term Benchmark Borrowing, the Adjusted Term SOFR Rate or the Term SOFR Rate for such Interest Period will not adequately and fairly reflect the cost to such Lenders of making or maintaining their Loans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4" w:right="439" w:bottom="1440" w:gutter="0" w:footer="0" w:header="0"/>
        </w:sectPr>
      </w:pPr>
    </w:p>
    <w:bookmarkStart w:id="42" w:name="page43"/>
    <w:bookmarkEnd w:id="42"/>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Administrative Agent shall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and (y) the Company delivers a new Interest Election Request in accordance with the terms of Section 2.14 or a new Borrowing Request in accordance with the terms of Section 2.2,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 (ii) above or (y) an ABR Borrowing if the Adjusted Daily Simple SOFR also is the subject of Section 2.18(a)(i) or (ii) above and (2) any Borrowing Request that requests a Daily Simple SOFR Borrowing shall instead be deemed to be a Borrowing Request for an ABR Borrowing; provided that if the circumstances giving rise to such notice affect only one Type of Borrowings, then all other Types of Borrowings shall be permitted. Furthermore, if any Term Benchmark Loan or Daily Simple SOFR Loan is outstanding on the date of the Company’s receipt of the notice from the Administrative Agent referred to in this Section 2.18(a) with respect to a Relevant Rate applicable to such Term Benchmark Loan or Daily Simple SOFR Loan, then until (x) the Administrative Agent notifies the Company and the Lenders that the circumstances giving rise to such notice no longer exist with respect to the relevant Benchmark and (y) the Company delivers a new Interest Election Request in accordance with the terms of Section 2.14 or a new Borrowing Request in accordance with the terms of Section 2.2,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also the subject of Section 2.18(a)(i) or (ii) above or (y) an ABR Loan if the Adjusted Daily Simple SOFR also is the subject of Section 2.18(a)(i) or (ii) above, on such day and (2) any Daily Simple SOFR Loan shall on and from such day be converted by the Administrative Agent to, and shall constitute an ABR Loan.</w:t>
      </w:r>
    </w:p>
    <w:p>
      <w:pPr>
        <w:spacing w:after="0" w:line="188" w:lineRule="exact"/>
        <w:rPr>
          <w:sz w:val="20"/>
          <w:szCs w:val="20"/>
          <w:color w:val="auto"/>
        </w:rPr>
      </w:pPr>
    </w:p>
    <w:p>
      <w:pPr>
        <w:ind w:left="4" w:right="20" w:firstLine="987"/>
        <w:spacing w:after="0" w:line="293" w:lineRule="auto"/>
        <w:tabs>
          <w:tab w:leader="none" w:pos="12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4" w:lineRule="exact"/>
        <w:rPr>
          <w:rFonts w:ascii="Arial" w:cs="Arial" w:eastAsia="Arial" w:hAnsi="Arial"/>
          <w:sz w:val="16"/>
          <w:szCs w:val="16"/>
          <w:color w:val="auto"/>
        </w:rPr>
      </w:pPr>
    </w:p>
    <w:p>
      <w:pPr>
        <w:jc w:val="both"/>
        <w:ind w:left="4" w:right="100" w:firstLine="987"/>
        <w:spacing w:after="0" w:line="259" w:lineRule="auto"/>
        <w:tabs>
          <w:tab w:leader="none" w:pos="1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Company and the Lenders of (i) any occurrence of a Benchmark Transition Event,</w:t>
      </w:r>
    </w:p>
    <w:p>
      <w:pPr>
        <w:spacing w:after="0" w:line="46" w:lineRule="exact"/>
        <w:rPr>
          <w:rFonts w:ascii="Arial" w:cs="Arial" w:eastAsia="Arial" w:hAnsi="Arial"/>
          <w:sz w:val="16"/>
          <w:szCs w:val="16"/>
          <w:color w:val="auto"/>
        </w:rPr>
      </w:pPr>
    </w:p>
    <w:p>
      <w:pPr>
        <w:ind w:left="4" w:hanging="4"/>
        <w:spacing w:after="0" w:line="252" w:lineRule="auto"/>
        <w:tabs>
          <w:tab w:leader="none" w:pos="2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3" w:name="page44"/>
    <w:bookmarkEnd w:id="43"/>
    <w:p>
      <w:pPr>
        <w:ind w:left="4" w:firstLine="987"/>
        <w:spacing w:after="0" w:line="269" w:lineRule="auto"/>
        <w:tabs>
          <w:tab w:leader="none" w:pos="1240" w:val="left"/>
        </w:tabs>
        <w:numPr>
          <w:ilvl w:val="1"/>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5" w:lineRule="exact"/>
        <w:rPr>
          <w:rFonts w:ascii="Arial" w:cs="Arial" w:eastAsia="Arial" w:hAnsi="Arial"/>
          <w:sz w:val="17"/>
          <w:szCs w:val="17"/>
          <w:color w:val="auto"/>
        </w:rPr>
      </w:pPr>
    </w:p>
    <w:p>
      <w:pPr>
        <w:ind w:left="4" w:firstLine="987"/>
        <w:spacing w:after="0" w:line="283" w:lineRule="auto"/>
        <w:tabs>
          <w:tab w:leader="none" w:pos="12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Upon the Company’s receipt of notice of the commencement of a Benchmark Unavailability Period, the Company may revoke any request for a Term Benchmark Borrowing or Daily Simple SOFR Borrowing of, or any request for the conversion to or continuation of Term Benchmark Loans to be made, converted or continued during any Benchmark Unavailability Period and, failing that, the Company will be deemed to have converted any request for (1) a Term Benchmark Borrowing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receipt of notice of the commencement of a Benchmark Unavailability Period with respect to the Relevant Rate applicable to such Term Benchmark Loan or Daily Simple SOFR Loan, then until such time as a Benchmark Replacement is implemented pursuant to this Section 2.18,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Daily Simple SOFR Loan shall on and from such day be converted by the Administrative Agent to, and shall constitute, an ABR Loan.</w:t>
      </w:r>
    </w:p>
    <w:p>
      <w:pPr>
        <w:spacing w:after="0" w:line="222"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2.19 Pro Rata Treatment and Payments; Evidence of Debt</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311" w:lineRule="auto"/>
        <w:tabs>
          <w:tab w:leader="none" w:pos="6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Each borrowing of Loans under the Facility by the Company from the Lenders under the Facility, each payment by the Company on account of any Facility Fee and any reduction of the Commitments of the Lenders under the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Percentages under the Facility, of the relevant Lenders in the Facility except to the extent required or permitted pursuant to Sections 2.11, 2.24 and 2.25.</w:t>
      </w:r>
    </w:p>
    <w:p>
      <w:pPr>
        <w:spacing w:after="0" w:line="148" w:lineRule="exact"/>
        <w:rPr>
          <w:rFonts w:ascii="Arial" w:cs="Arial" w:eastAsia="Arial" w:hAnsi="Arial"/>
          <w:sz w:val="16"/>
          <w:szCs w:val="16"/>
          <w:color w:val="auto"/>
        </w:rPr>
      </w:pPr>
    </w:p>
    <w:p>
      <w:pPr>
        <w:ind w:left="4" w:right="220" w:firstLine="987"/>
        <w:spacing w:after="0" w:line="259" w:lineRule="auto"/>
        <w:tabs>
          <w:tab w:leader="none" w:pos="12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Each payment (including each prepayment) by the Company on account of principal of and interest on the Loans under the Facility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Lenders under the Facility according to the respective outstanding principal amounts of the Loans under the Facility then held by the Lenders under the Facility except to the extent required or permitted pursuant to Sections 2.11, 2.24 and 2.25. Each such payment shall be paid in Dollars.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44" w:name="page45"/>
    <w:bookmarkEnd w:id="44"/>
    <w:p>
      <w:pPr>
        <w:ind w:left="4" w:firstLine="987"/>
        <w:spacing w:after="0" w:line="288" w:lineRule="auto"/>
        <w:tabs>
          <w:tab w:leader="none" w:pos="1240"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payments (including prepayments) to be made by the Company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8" w:lineRule="exact"/>
        <w:rPr>
          <w:rFonts w:ascii="Arial" w:cs="Arial" w:eastAsia="Arial" w:hAnsi="Arial"/>
          <w:sz w:val="16"/>
          <w:szCs w:val="16"/>
          <w:color w:val="auto"/>
        </w:rPr>
      </w:pPr>
    </w:p>
    <w:p>
      <w:pPr>
        <w:ind w:left="4" w:right="20" w:firstLine="987"/>
        <w:spacing w:after="0" w:line="285" w:lineRule="auto"/>
        <w:tabs>
          <w:tab w:leader="none" w:pos="1250" w:val="left"/>
        </w:tabs>
        <w:numPr>
          <w:ilvl w:val="1"/>
          <w:numId w:val="38"/>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a corresponding amount. If such amount is not made available to the Administrative Agent by the required time on the Borrowing Date therefor, such Lender shall pay to the Administrative Agent, on demand, such amount with interest thereon, at a rate up to the greater of</w:t>
      </w:r>
    </w:p>
    <w:p>
      <w:pPr>
        <w:spacing w:after="0" w:line="1" w:lineRule="exact"/>
        <w:rPr>
          <w:rFonts w:ascii="Arial" w:cs="Arial" w:eastAsia="Arial" w:hAnsi="Arial"/>
          <w:sz w:val="16"/>
          <w:szCs w:val="16"/>
          <w:color w:val="auto"/>
        </w:rPr>
      </w:pPr>
    </w:p>
    <w:p>
      <w:pPr>
        <w:ind w:left="4" w:right="60" w:hanging="4"/>
        <w:spacing w:after="0" w:line="252" w:lineRule="auto"/>
        <w:tabs>
          <w:tab w:leader="none" w:pos="2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w:t>
      </w:r>
    </w:p>
    <w:p>
      <w:pPr>
        <w:spacing w:after="0" w:line="193" w:lineRule="exact"/>
        <w:rPr>
          <w:rFonts w:ascii="Arial" w:cs="Arial" w:eastAsia="Arial" w:hAnsi="Arial"/>
          <w:sz w:val="18"/>
          <w:szCs w:val="18"/>
          <w:color w:val="auto"/>
        </w:rPr>
      </w:pPr>
    </w:p>
    <w:p>
      <w:pPr>
        <w:ind w:left="4" w:right="40" w:firstLine="987"/>
        <w:spacing w:after="0" w:line="254" w:lineRule="auto"/>
        <w:tabs>
          <w:tab w:leader="none" w:pos="12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been notified in writing by the Company prior to the date of any payment due to be made by the Company under the Facility that the Company will not make such payment to the Administrative Agent, the Administrative Agent may assume that the Company is making such payment, and the Administrative Agent may, but shall not be required to, in reliance upon such assumption, make available to the Lenders under the Facility their respective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shares of a corresponding amount. If such payment is not made to the Administrative Agent by the Company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w:t>
      </w:r>
    </w:p>
    <w:p>
      <w:pPr>
        <w:spacing w:after="0" w:line="191" w:lineRule="exact"/>
        <w:rPr>
          <w:rFonts w:ascii="Arial" w:cs="Arial" w:eastAsia="Arial" w:hAnsi="Arial"/>
          <w:sz w:val="18"/>
          <w:szCs w:val="18"/>
          <w:color w:val="auto"/>
        </w:rPr>
      </w:pPr>
    </w:p>
    <w:p>
      <w:pPr>
        <w:ind w:left="4" w:right="100" w:firstLine="987"/>
        <w:spacing w:after="0" w:line="286" w:lineRule="auto"/>
        <w:tabs>
          <w:tab w:leader="none" w:pos="12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45" w:name="page46"/>
    <w:bookmarkEnd w:id="45"/>
    <w:p>
      <w:pPr>
        <w:ind w:right="80" w:firstLine="987"/>
        <w:spacing w:after="0" w:line="263"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that, upon the request to the Administrative Agent by any Lender, the Company shall promptly execute and deliver to such Lender a promissory note of the Company evidencing the Loans of such Lender, substantially in the forms of Exhibit K (a “</w:t>
      </w:r>
      <w:r>
        <w:rPr>
          <w:rFonts w:ascii="Arial" w:cs="Arial" w:eastAsia="Arial" w:hAnsi="Arial"/>
          <w:sz w:val="18"/>
          <w:szCs w:val="18"/>
          <w:u w:val="single" w:color="auto"/>
          <w:color w:val="auto"/>
        </w:rPr>
        <w:t>Note</w:t>
      </w:r>
      <w:r>
        <w:rPr>
          <w:rFonts w:ascii="Arial" w:cs="Arial" w:eastAsia="Arial" w:hAnsi="Arial"/>
          <w:sz w:val="18"/>
          <w:szCs w:val="18"/>
          <w:color w:val="auto"/>
        </w:rPr>
        <w:t>”), with appropriate insertions as to date and principal amount.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If any Change in Law shall:</w:t>
      </w:r>
    </w:p>
    <w:p>
      <w:pPr>
        <w:spacing w:after="0" w:line="117" w:lineRule="exact"/>
        <w:rPr>
          <w:sz w:val="20"/>
          <w:szCs w:val="20"/>
          <w:color w:val="auto"/>
        </w:rPr>
      </w:pPr>
    </w:p>
    <w:p>
      <w:pPr>
        <w:ind w:right="80" w:firstLine="987"/>
        <w:spacing w:after="0" w:line="263" w:lineRule="auto"/>
        <w:tabs>
          <w:tab w:leader="none" w:pos="12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Adjusted Term SOFR Rate; or</w:t>
      </w:r>
    </w:p>
    <w:p>
      <w:pPr>
        <w:spacing w:after="0" w:line="183" w:lineRule="exact"/>
        <w:rPr>
          <w:rFonts w:ascii="Arial" w:cs="Arial" w:eastAsia="Arial" w:hAnsi="Arial"/>
          <w:sz w:val="18"/>
          <w:szCs w:val="18"/>
          <w:color w:val="auto"/>
        </w:rPr>
      </w:pPr>
    </w:p>
    <w:p>
      <w:pPr>
        <w:ind w:left="1260" w:hanging="27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on such Lender or any interbank market any other condition;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Term Benchmark Loans or to reduce any amount receivable hereunder in respect thereof, then, in any such case, the Company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(with a copy to the Administrative Agent) of the event by reason of which it has become so entitled (including a reasonably detailed calculation of such amounts).</w:t>
      </w:r>
    </w:p>
    <w:p>
      <w:pPr>
        <w:spacing w:after="0" w:line="181" w:lineRule="exact"/>
        <w:rPr>
          <w:sz w:val="20"/>
          <w:szCs w:val="20"/>
          <w:color w:val="auto"/>
        </w:rPr>
      </w:pPr>
    </w:p>
    <w:p>
      <w:pPr>
        <w:ind w:firstLine="987"/>
        <w:spacing w:after="0" w:line="271" w:lineRule="auto"/>
        <w:tabs>
          <w:tab w:leader="none" w:pos="12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(with a copy to the Administrative Agent) of a written request therefor (together with a reasonably detailed description and calculation of such amounts), the Company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78" w:lineRule="exact"/>
        <w:rPr>
          <w:rFonts w:ascii="Arial" w:cs="Arial" w:eastAsia="Arial" w:hAnsi="Arial"/>
          <w:sz w:val="17"/>
          <w:szCs w:val="17"/>
          <w:color w:val="auto"/>
        </w:rPr>
      </w:pPr>
    </w:p>
    <w:p>
      <w:pPr>
        <w:ind w:right="60" w:firstLine="987"/>
        <w:spacing w:after="0" w:line="254" w:lineRule="auto"/>
        <w:tabs>
          <w:tab w:leader="none" w:pos="12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this Section 2.20 submitted by the Administrative Agent or any Lender to the Company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Administrative Agent shall not be under any obligation to verify any such request of a Lender) and (ii) the Company shall not be required to compensate the Administrative Agent or a Lender pursuant to this Section 2.20 for any amounts incurred more than 90 days prior to the date that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6" w:name="page47"/>
    <w:bookmarkEnd w:id="46"/>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or such Lender notifies the Company of the Administrative Agent’s or such Lender’s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The obligations of the Company pursuant to this Section 2.20 shall survive the termination of this Agreement and the payment of the Loans and all interest thereon and fees payable hereunder.</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Taxes.</w:t>
      </w:r>
    </w:p>
    <w:p>
      <w:pPr>
        <w:spacing w:after="0" w:line="225" w:lineRule="exact"/>
        <w:rPr>
          <w:sz w:val="20"/>
          <w:szCs w:val="20"/>
          <w:color w:val="auto"/>
        </w:rPr>
      </w:pPr>
    </w:p>
    <w:p>
      <w:pPr>
        <w:ind w:left="4" w:right="100" w:firstLine="436"/>
        <w:spacing w:after="0" w:line="272" w:lineRule="auto"/>
        <w:tabs>
          <w:tab w:leader="none" w:pos="679"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77" w:lineRule="exact"/>
        <w:rPr>
          <w:rFonts w:ascii="Arial" w:cs="Arial" w:eastAsia="Arial" w:hAnsi="Arial"/>
          <w:sz w:val="17"/>
          <w:szCs w:val="17"/>
          <w:color w:val="auto"/>
        </w:rPr>
      </w:pPr>
    </w:p>
    <w:p>
      <w:pPr>
        <w:ind w:left="1244" w:hanging="253"/>
        <w:spacing w:after="0"/>
        <w:tabs>
          <w:tab w:leader="none" w:pos="1244" w:val="left"/>
        </w:tabs>
        <w:numPr>
          <w:ilvl w:val="2"/>
          <w:numId w:val="43"/>
        </w:numPr>
        <w:rPr>
          <w:rFonts w:ascii="Arial" w:cs="Arial" w:eastAsia="Arial" w:hAnsi="Arial"/>
          <w:sz w:val="16"/>
          <w:szCs w:val="16"/>
          <w:color w:val="auto"/>
        </w:rPr>
      </w:pPr>
      <w:r>
        <w:rPr>
          <w:rFonts w:ascii="Arial" w:cs="Arial" w:eastAsia="Arial" w:hAnsi="Arial"/>
          <w:sz w:val="16"/>
          <w:szCs w:val="16"/>
          <w:color w:val="auto"/>
        </w:rPr>
        <w:t>In addition, each Loan Party shall pay any Other Taxes over to the relevant Governmental Authority in accordance with applicable law.</w:t>
      </w:r>
    </w:p>
    <w:p>
      <w:pPr>
        <w:spacing w:after="0" w:line="248" w:lineRule="exact"/>
        <w:rPr>
          <w:rFonts w:ascii="Arial" w:cs="Arial" w:eastAsia="Arial" w:hAnsi="Arial"/>
          <w:sz w:val="16"/>
          <w:szCs w:val="16"/>
          <w:color w:val="auto"/>
        </w:rPr>
      </w:pPr>
    </w:p>
    <w:p>
      <w:pPr>
        <w:ind w:left="4" w:right="40" w:firstLine="987"/>
        <w:spacing w:after="0" w:line="287" w:lineRule="auto"/>
        <w:tabs>
          <w:tab w:leader="none" w:pos="1240" w:val="left"/>
        </w:tabs>
        <w:numPr>
          <w:ilvl w:val="2"/>
          <w:numId w:val="43"/>
        </w:numPr>
        <w:rPr>
          <w:rFonts w:ascii="Arial" w:cs="Arial" w:eastAsia="Arial" w:hAnsi="Arial"/>
          <w:sz w:val="16"/>
          <w:szCs w:val="16"/>
          <w:color w:val="auto"/>
        </w:rPr>
      </w:pPr>
      <w:r>
        <w:rPr>
          <w:rFonts w:ascii="Arial" w:cs="Arial" w:eastAsia="Arial" w:hAnsi="Arial"/>
          <w:sz w:val="16"/>
          <w:szCs w:val="16"/>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2" w:lineRule="exact"/>
        <w:rPr>
          <w:rFonts w:ascii="Arial" w:cs="Arial" w:eastAsia="Arial" w:hAnsi="Arial"/>
          <w:sz w:val="16"/>
          <w:szCs w:val="16"/>
          <w:color w:val="auto"/>
        </w:rPr>
      </w:pPr>
    </w:p>
    <w:p>
      <w:pPr>
        <w:ind w:left="4" w:hanging="4"/>
        <w:spacing w:after="0" w:line="252" w:lineRule="auto"/>
        <w:tabs>
          <w:tab w:leader="none" w:pos="2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w:t>
      </w:r>
    </w:p>
    <w:p>
      <w:pPr>
        <w:spacing w:after="0" w:line="192" w:lineRule="exact"/>
        <w:rPr>
          <w:rFonts w:ascii="Arial" w:cs="Arial" w:eastAsia="Arial" w:hAnsi="Arial"/>
          <w:sz w:val="18"/>
          <w:szCs w:val="18"/>
          <w:color w:val="auto"/>
        </w:rPr>
      </w:pPr>
    </w:p>
    <w:p>
      <w:pPr>
        <w:ind w:left="4" w:right="20" w:firstLine="987"/>
        <w:spacing w:after="0" w:line="269" w:lineRule="auto"/>
        <w:tabs>
          <w:tab w:leader="none" w:pos="1250" w:val="left"/>
        </w:tabs>
        <w:numPr>
          <w:ilvl w:val="2"/>
          <w:numId w:val="44"/>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2.21(d)(ii))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7" w:lineRule="exact"/>
        <w:rPr>
          <w:rFonts w:ascii="Arial" w:cs="Arial" w:eastAsia="Arial" w:hAnsi="Arial"/>
          <w:sz w:val="17"/>
          <w:szCs w:val="17"/>
          <w:color w:val="auto"/>
        </w:rPr>
      </w:pPr>
    </w:p>
    <w:p>
      <w:pPr>
        <w:ind w:left="1664" w:hanging="272"/>
        <w:spacing w:after="0"/>
        <w:tabs>
          <w:tab w:leader="none" w:pos="1664" w:val="left"/>
        </w:tabs>
        <w:numPr>
          <w:ilvl w:val="3"/>
          <w:numId w:val="4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47" w:name="page48"/>
    <w:bookmarkEnd w:id="47"/>
    <w:p>
      <w:pPr>
        <w:ind w:right="80" w:firstLine="408"/>
        <w:spacing w:after="0" w:line="291" w:lineRule="auto"/>
        <w:tabs>
          <w:tab w:leader="none" w:pos="696"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Non-U.S. Lender shall deliver to the Company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58" w:lineRule="exact"/>
        <w:rPr>
          <w:rFonts w:ascii="Arial" w:cs="Arial" w:eastAsia="Arial" w:hAnsi="Arial"/>
          <w:sz w:val="16"/>
          <w:szCs w:val="16"/>
          <w:color w:val="auto"/>
        </w:rPr>
      </w:pPr>
    </w:p>
    <w:p>
      <w:pPr>
        <w:ind w:firstLine="408"/>
        <w:spacing w:after="0" w:line="263" w:lineRule="auto"/>
        <w:tabs>
          <w:tab w:leader="none" w:pos="6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Lender that is a U.S. Person shall deliver to the Company and the 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75" w:lineRule="exact"/>
        <w:rPr>
          <w:rFonts w:ascii="Arial" w:cs="Arial" w:eastAsia="Arial" w:hAnsi="Arial"/>
          <w:sz w:val="18"/>
          <w:szCs w:val="18"/>
          <w:color w:val="auto"/>
        </w:rPr>
      </w:pPr>
    </w:p>
    <w:p>
      <w:pPr>
        <w:ind w:right="40" w:firstLine="408"/>
        <w:spacing w:after="0" w:line="273" w:lineRule="auto"/>
        <w:tabs>
          <w:tab w:leader="none" w:pos="686"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Lender shall deliver to the Company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and the Administrative Agent to determine the withholding or deduction required to be made. Each Lender shall promptly notify the Company at any time it determines that it is no longer in a position to provide any previously delivered certificate to the Company (and any other form of certification adopted by the U.S. taxing authorities for such purpose).</w:t>
      </w:r>
    </w:p>
    <w:p>
      <w:pPr>
        <w:spacing w:after="0" w:line="69" w:lineRule="exact"/>
        <w:rPr>
          <w:rFonts w:ascii="Arial" w:cs="Arial" w:eastAsia="Arial" w:hAnsi="Arial"/>
          <w:sz w:val="17"/>
          <w:szCs w:val="17"/>
          <w:color w:val="auto"/>
        </w:rPr>
      </w:pPr>
    </w:p>
    <w:p>
      <w:pPr>
        <w:ind w:right="40" w:firstLine="408"/>
        <w:spacing w:after="0" w:line="284" w:lineRule="auto"/>
        <w:tabs>
          <w:tab w:leader="none" w:pos="6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82" w:lineRule="exact"/>
        <w:rPr>
          <w:sz w:val="20"/>
          <w:szCs w:val="20"/>
          <w:color w:val="auto"/>
        </w:rPr>
      </w:pPr>
    </w:p>
    <w:p>
      <w:pPr>
        <w:jc w:val="both"/>
        <w:ind w:right="280" w:firstLine="401"/>
        <w:spacing w:after="0" w:line="279" w:lineRule="auto"/>
        <w:rPr>
          <w:sz w:val="20"/>
          <w:szCs w:val="20"/>
          <w:color w:val="auto"/>
        </w:rPr>
      </w:pPr>
      <w:r>
        <w:rPr>
          <w:rFonts w:ascii="Arial" w:cs="Arial" w:eastAsia="Arial" w:hAnsi="Arial"/>
          <w:sz w:val="17"/>
          <w:szCs w:val="17"/>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980"/>
          </w:cols>
          <w:pgMar w:left="1420" w:top="274" w:right="499" w:bottom="1440" w:gutter="0" w:footer="0" w:header="0"/>
        </w:sectPr>
      </w:pPr>
    </w:p>
    <w:bookmarkStart w:id="48" w:name="page49"/>
    <w:bookmarkEnd w:id="48"/>
    <w:p>
      <w:pPr>
        <w:ind w:right="80" w:firstLine="987"/>
        <w:spacing w:after="0" w:line="286"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provided,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70" w:lineRule="exact"/>
        <w:rPr>
          <w:rFonts w:ascii="Arial" w:cs="Arial" w:eastAsia="Arial" w:hAnsi="Arial"/>
          <w:sz w:val="16"/>
          <w:szCs w:val="16"/>
          <w:color w:val="auto"/>
        </w:rPr>
      </w:pPr>
    </w:p>
    <w:p>
      <w:pPr>
        <w:ind w:right="100" w:firstLine="987"/>
        <w:spacing w:after="0" w:line="273" w:lineRule="auto"/>
        <w:tabs>
          <w:tab w:leader="none" w:pos="12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77" w:lineRule="exact"/>
        <w:rPr>
          <w:rFonts w:ascii="Arial" w:cs="Arial" w:eastAsia="Arial" w:hAnsi="Arial"/>
          <w:sz w:val="17"/>
          <w:szCs w:val="17"/>
          <w:color w:val="auto"/>
        </w:rPr>
      </w:pPr>
    </w:p>
    <w:p>
      <w:pPr>
        <w:ind w:left="1240" w:hanging="253"/>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225" w:lineRule="exact"/>
        <w:rPr>
          <w:rFonts w:ascii="Arial" w:cs="Arial" w:eastAsia="Arial" w:hAnsi="Arial"/>
          <w:sz w:val="18"/>
          <w:szCs w:val="18"/>
          <w:color w:val="auto"/>
        </w:rPr>
      </w:pPr>
    </w:p>
    <w:p>
      <w:pPr>
        <w:jc w:val="both"/>
        <w:ind w:right="340" w:firstLine="987"/>
        <w:spacing w:after="0" w:line="263"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agrees to indemnify each Lender for, and to hold each Lender harmless from, any actual loss or expense that such Lender may sustain or incur as a consequence of (a) default by the Company in making a borrowing of, conversion into or continuation of Term Benchmark Loans after the Company has given a notice requesting the same in accordance with the provisions of this Agreement, (b) default by the Company in making any prepayment of or conversion from Term Benchmark Loans after the Company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9" w:name="page50"/>
    <w:bookmarkEnd w:id="49"/>
    <w:p>
      <w:pPr>
        <w:ind w:left="4"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w:t>
      </w:r>
    </w:p>
    <w:p>
      <w:pPr>
        <w:spacing w:after="0" w:line="1" w:lineRule="exact"/>
        <w:rPr>
          <w:sz w:val="20"/>
          <w:szCs w:val="20"/>
          <w:color w:val="auto"/>
        </w:rPr>
      </w:pPr>
    </w:p>
    <w:p>
      <w:pPr>
        <w:ind w:left="4" w:right="180" w:hanging="4"/>
        <w:spacing w:after="0" w:line="260" w:lineRule="auto"/>
        <w:tabs>
          <w:tab w:leader="none" w:pos="2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of interest (as reasonably determined by such Lender) that would have accrued to such Lender on such amount by placing such amount on deposit for a comparable period with leading banks in the interbank market.</w:t>
      </w:r>
    </w:p>
    <w:p>
      <w:pPr>
        <w:spacing w:after="0" w:line="185"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A certificate as to any amounts payable pursuant to this Section 2.22 submitted to the Company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7"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2.23 shall affect or postpone any of the obligations of the Company or the rights of any Lender pursuant to Section 2.20 or 2.21(a).</w:t>
      </w:r>
    </w:p>
    <w:p>
      <w:pPr>
        <w:spacing w:after="0" w:line="195"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to which the Required Lenders have consented;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w:t>
      </w:r>
    </w:p>
    <w:p>
      <w:pPr>
        <w:spacing w:after="0" w:line="1" w:lineRule="exact"/>
        <w:rPr>
          <w:sz w:val="20"/>
          <w:szCs w:val="20"/>
          <w:color w:val="auto"/>
        </w:rPr>
      </w:pPr>
    </w:p>
    <w:p>
      <w:pPr>
        <w:ind w:left="4" w:right="40"/>
        <w:spacing w:after="0" w:line="281" w:lineRule="auto"/>
        <w:rPr>
          <w:sz w:val="20"/>
          <w:szCs w:val="20"/>
          <w:color w:val="auto"/>
        </w:rPr>
      </w:pPr>
      <w:r>
        <w:rPr>
          <w:rFonts w:ascii="Arial" w:cs="Arial" w:eastAsia="Arial" w:hAnsi="Arial"/>
          <w:sz w:val="16"/>
          <w:szCs w:val="16"/>
          <w:color w:val="auto"/>
        </w:rPr>
        <w:t>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w:t>
      </w:r>
    </w:p>
    <w:p>
      <w:pPr>
        <w:spacing w:after="0" w:line="6" w:lineRule="exact"/>
        <w:rPr>
          <w:sz w:val="20"/>
          <w:szCs w:val="20"/>
          <w:color w:val="auto"/>
        </w:rPr>
      </w:pPr>
    </w:p>
    <w:p>
      <w:pPr>
        <w:jc w:val="center"/>
        <w:ind w:right="336"/>
        <w:spacing w:after="0" w:line="433" w:lineRule="auto"/>
        <w:rPr>
          <w:sz w:val="20"/>
          <w:szCs w:val="20"/>
          <w:color w:val="auto"/>
        </w:rPr>
      </w:pPr>
      <w:r>
        <w:rPr>
          <w:rFonts w:ascii="Arial" w:cs="Arial" w:eastAsia="Arial" w:hAnsi="Arial"/>
          <w:sz w:val="18"/>
          <w:szCs w:val="18"/>
          <w:color w:val="auto"/>
        </w:rPr>
        <w:t>Section 10.6 without any action by any other party hereto (including the Administrative Agent), and the Administrative Agent shall record the same. 42</w:t>
      </w:r>
    </w:p>
    <w:p>
      <w:pPr>
        <w:sectPr>
          <w:pgSz w:w="11900" w:h="16838" w:orient="portrait"/>
          <w:cols w:equalWidth="0" w:num="1">
            <w:col w:w="11024"/>
          </w:cols>
          <w:pgMar w:left="436" w:top="274" w:right="439" w:bottom="1440" w:gutter="0" w:footer="0" w:header="0"/>
        </w:sectPr>
      </w:pPr>
    </w:p>
    <w:bookmarkStart w:id="50" w:name="page51"/>
    <w:bookmarkEnd w:id="5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240" w:hanging="253"/>
        <w:spacing w:after="0"/>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Facility Fees, if any, shall cease to accrue on the unfunded Commitment of such Defaulting Lender pursuant to Section 2.10; and</w:t>
      </w:r>
    </w:p>
    <w:p>
      <w:pPr>
        <w:spacing w:after="0" w:line="236" w:lineRule="exact"/>
        <w:rPr>
          <w:rFonts w:ascii="Arial" w:cs="Arial" w:eastAsia="Arial" w:hAnsi="Arial"/>
          <w:sz w:val="17"/>
          <w:szCs w:val="17"/>
          <w:color w:val="auto"/>
        </w:rPr>
      </w:pPr>
    </w:p>
    <w:p>
      <w:pPr>
        <w:ind w:right="80" w:firstLine="987"/>
        <w:spacing w:after="0" w:line="253"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96"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1" w:name="page52"/>
    <w:bookmarkEnd w:id="51"/>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[RESERVED]</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To induce the Lenders to enter into this Agreement and to make the Loans the Company hereby represents and warrants to each Lender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4" w:right="60" w:firstLine="991"/>
        <w:spacing w:after="0" w:line="28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consolidated financial statements of the Company included in its Annual Report on Form 10-K, for the twelve-month period ended December 31, 2022 (the “</w:t>
      </w:r>
      <w:r>
        <w:rPr>
          <w:rFonts w:ascii="Arial" w:cs="Arial" w:eastAsia="Arial" w:hAnsi="Arial"/>
          <w:sz w:val="16"/>
          <w:szCs w:val="16"/>
          <w:u w:val="single" w:color="auto"/>
          <w:color w:val="auto"/>
        </w:rPr>
        <w:t>2022 10-K</w:t>
      </w:r>
      <w:r>
        <w:rPr>
          <w:rFonts w:ascii="Arial" w:cs="Arial" w:eastAsia="Arial" w:hAnsi="Arial"/>
          <w:sz w:val="16"/>
          <w:szCs w:val="16"/>
          <w:color w:val="auto"/>
        </w:rPr>
        <w:t>”), in its Quarterly Report on Form 10-Q for the three-month period ended March 31, 2023 (the “</w:t>
      </w:r>
      <w:r>
        <w:rPr>
          <w:rFonts w:ascii="Arial" w:cs="Arial" w:eastAsia="Arial" w:hAnsi="Arial"/>
          <w:sz w:val="16"/>
          <w:szCs w:val="16"/>
          <w:u w:val="single" w:color="auto"/>
          <w:color w:val="auto"/>
        </w:rPr>
        <w:t>First Quarter 2023 10-Q</w:t>
      </w:r>
      <w:r>
        <w:rPr>
          <w:rFonts w:ascii="Arial" w:cs="Arial" w:eastAsia="Arial" w:hAnsi="Arial"/>
          <w:sz w:val="16"/>
          <w:szCs w:val="16"/>
          <w:color w:val="auto"/>
        </w:rPr>
        <w:t>”) and in its Quarterly Report on Form 10-Q for the three-month period ended June 30, 2023 (the “</w:t>
      </w:r>
      <w:r>
        <w:rPr>
          <w:rFonts w:ascii="Arial" w:cs="Arial" w:eastAsia="Arial" w:hAnsi="Arial"/>
          <w:sz w:val="16"/>
          <w:szCs w:val="16"/>
          <w:u w:val="single" w:color="auto"/>
          <w:color w:val="auto"/>
        </w:rPr>
        <w:t>Second Quarter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2023 10-Q</w:t>
      </w:r>
      <w:r>
        <w:rPr>
          <w:rFonts w:ascii="Arial" w:cs="Arial" w:eastAsia="Arial" w:hAnsi="Arial"/>
          <w:sz w:val="16"/>
          <w:szCs w:val="16"/>
          <w:color w:val="auto"/>
        </w:rPr>
        <w:t xml:space="preserve">”), each as most recently updated or amended on or before the Closing Date and filed with the SEC, present fairly, in all material respects, in accordance with GAAP, the financial condition and results of operations of the Company and its Subsidiaries as of, and for, (a) the twelve-month period ended on December 31, 2022, (b) the three-month period ended March 31, 2023 and (c) the three-month period ended June 30, 2023,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66"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Second Quarter 2023 10-Q and the Closing Date, there has been no development or event which has had a Material Adverse Effect.</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7"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2" w:lineRule="exact"/>
        <w:rPr>
          <w:sz w:val="20"/>
          <w:szCs w:val="20"/>
          <w:color w:val="auto"/>
        </w:rPr>
      </w:pPr>
    </w:p>
    <w:p>
      <w:pPr>
        <w:ind w:left="4" w:right="140" w:hanging="4"/>
        <w:spacing w:after="0" w:line="302" w:lineRule="auto"/>
        <w:tabs>
          <w:tab w:leader="none" w:pos="25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5" w:lineRule="exact"/>
        <w:rPr>
          <w:sz w:val="20"/>
          <w:szCs w:val="20"/>
          <w:color w:val="auto"/>
        </w:rPr>
      </w:pPr>
    </w:p>
    <w:p>
      <w:pPr>
        <w:ind w:left="4" w:right="180" w:firstLine="991"/>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52" w:name="page53"/>
    <w:bookmarkEnd w:id="52"/>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First Quarter 2023 10-Q, the Second Quarter 2023 10-Q or on any Current Report on Form 8-K of the Company filed with the SEC after December 31, 2022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78" w:lineRule="exact"/>
        <w:rPr>
          <w:sz w:val="20"/>
          <w:szCs w:val="20"/>
          <w:color w:val="auto"/>
        </w:rPr>
      </w:pPr>
    </w:p>
    <w:p>
      <w:pPr>
        <w:jc w:val="both"/>
        <w:ind w:right="260" w:firstLine="991"/>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4"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3" w:name="page54"/>
    <w:bookmarkEnd w:id="53"/>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State or the European Union (collectively, the “Sanctions Lists”). Neither the Company nor any of its Subsidiaries has a physical place of business, or is organized or resident, in (a) Cuba, Iran, North Korea, Syria, the Crimea, Kherson, or Zaporizhzhia regions of Ukraine, the so-called Donetsk People’s Republic or the so-called Luhansk People’s Republic or (b) in any other Sanctioned Country. The Company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3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SECTION 5. CONDITIONS PRECEDENT</w:t>
      </w:r>
    </w:p>
    <w:p>
      <w:pPr>
        <w:spacing w:after="0" w:line="225" w:lineRule="exact"/>
        <w:rPr>
          <w:sz w:val="20"/>
          <w:szCs w:val="20"/>
          <w:color w:val="auto"/>
        </w:rPr>
      </w:pPr>
    </w:p>
    <w:p>
      <w:pPr>
        <w:ind w:left="4" w:right="20" w:firstLine="991"/>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Conditions to Closing Date</w:t>
      </w:r>
      <w:r>
        <w:rPr>
          <w:rFonts w:ascii="Arial" w:cs="Arial" w:eastAsia="Arial" w:hAnsi="Arial"/>
          <w:sz w:val="16"/>
          <w:szCs w:val="16"/>
          <w:color w:val="auto"/>
        </w:rPr>
        <w:t>. This Agreement and the obligation of each Lender to make extensions of credit requested to be made by it hereunder shall be effective upon (1) the execution and delivery of this Agreement by each of the Administrative Agent, the Syndication Agent, the Company,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49" w:lineRule="exact"/>
        <w:rPr>
          <w:sz w:val="20"/>
          <w:szCs w:val="20"/>
          <w:color w:val="auto"/>
        </w:rPr>
      </w:pPr>
    </w:p>
    <w:p>
      <w:pPr>
        <w:ind w:left="1244" w:hanging="253"/>
        <w:spacing w:after="0"/>
        <w:tabs>
          <w:tab w:leader="none" w:pos="124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987"/>
        <w:spacing w:after="0" w:line="277" w:lineRule="auto"/>
        <w:tabs>
          <w:tab w:leader="none" w:pos="125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w:t>
      </w:r>
    </w:p>
    <w:p>
      <w:pPr>
        <w:spacing w:after="0" w:line="46" w:lineRule="exact"/>
        <w:rPr>
          <w:rFonts w:ascii="Arial" w:cs="Arial" w:eastAsia="Arial" w:hAnsi="Arial"/>
          <w:sz w:val="16"/>
          <w:szCs w:val="16"/>
          <w:color w:val="auto"/>
        </w:rPr>
      </w:pPr>
    </w:p>
    <w:p>
      <w:pPr>
        <w:ind w:left="4" w:hanging="4"/>
        <w:spacing w:after="0" w:line="253" w:lineRule="auto"/>
        <w:tabs>
          <w:tab w:leader="none" w:pos="2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certificate of the Company, dated the Closing Date, substantially in the form of Exhibit F, with appropriate insertions and attachments, including the certificate of incorporation of the Company, certified by the relevant authority of the jurisdiction of organization of the Company, (ii) a long form good standing certificate (or equivalent thereof in the relevant jurisdiction) for the Company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90" w:lineRule="exact"/>
        <w:rPr>
          <w:rFonts w:ascii="Arial" w:cs="Arial" w:eastAsia="Arial" w:hAnsi="Arial"/>
          <w:sz w:val="18"/>
          <w:szCs w:val="18"/>
          <w:color w:val="auto"/>
        </w:rPr>
      </w:pPr>
    </w:p>
    <w:p>
      <w:pPr>
        <w:ind w:left="1244" w:hanging="253"/>
        <w:spacing w:after="0"/>
        <w:tabs>
          <w:tab w:leader="none" w:pos="1244"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shall have received the executed legal opinion of (i) in house counsel to the Company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Mayer Brown LLP, counsel to the Company, each in form and substance reasonably acceptable to the Administrative Agent.</w:t>
      </w:r>
    </w:p>
    <w:p>
      <w:pPr>
        <w:spacing w:after="0" w:line="210" w:lineRule="exact"/>
        <w:rPr>
          <w:rFonts w:ascii="Arial" w:cs="Arial" w:eastAsia="Arial" w:hAnsi="Arial"/>
          <w:sz w:val="18"/>
          <w:szCs w:val="18"/>
          <w:color w:val="auto"/>
        </w:rPr>
      </w:pPr>
    </w:p>
    <w:p>
      <w:pPr>
        <w:jc w:val="both"/>
        <w:ind w:left="4" w:right="100" w:firstLine="987"/>
        <w:spacing w:after="0" w:line="286" w:lineRule="auto"/>
        <w:tabs>
          <w:tab w:leader="none" w:pos="1240"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The Administrative Agent shall have received all documentation and other information reasonably requested by the Administrative Agent or any Lender who is not a lender under the 2023 364-Day Revolving Credit Agreement under applicable “know your customer” and anti-money-laundering rules and regulations, including the USA Patriot Act and the Beneficial Ownership Regulation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4"/>
          </w:cols>
          <w:pgMar w:left="436" w:top="274" w:right="479" w:bottom="1440" w:gutter="0" w:footer="0" w:header="0"/>
        </w:sectPr>
      </w:pPr>
    </w:p>
    <w:bookmarkStart w:id="54" w:name="page55"/>
    <w:bookmarkEnd w:id="54"/>
    <w:p>
      <w:pPr>
        <w:ind w:right="1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79" w:lineRule="exact"/>
        <w:rPr>
          <w:sz w:val="20"/>
          <w:szCs w:val="20"/>
          <w:color w:val="auto"/>
        </w:rPr>
      </w:pPr>
    </w:p>
    <w:p>
      <w:pPr>
        <w:jc w:val="both"/>
        <w:ind w:right="780" w:firstLine="987"/>
        <w:spacing w:after="0" w:line="301" w:lineRule="auto"/>
        <w:tabs>
          <w:tab w:leader="none" w:pos="123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and 4.9), in which case, such representations and warranties shall have been true and correct in all material respects on and as of such earlier date).</w:t>
      </w:r>
    </w:p>
    <w:p>
      <w:pPr>
        <w:spacing w:after="0" w:line="157" w:lineRule="exact"/>
        <w:rPr>
          <w:rFonts w:ascii="Arial" w:cs="Arial" w:eastAsia="Arial" w:hAnsi="Arial"/>
          <w:sz w:val="16"/>
          <w:szCs w:val="16"/>
          <w:color w:val="auto"/>
        </w:rPr>
      </w:pPr>
    </w:p>
    <w:p>
      <w:pPr>
        <w:ind w:right="80" w:firstLine="987"/>
        <w:spacing w:after="0" w:line="277" w:lineRule="auto"/>
        <w:tabs>
          <w:tab w:leader="none" w:pos="124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 AFFIRMATIVE COVENANTS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2"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81"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5" w:name="page56"/>
    <w:bookmarkEnd w:id="55"/>
    <w:p>
      <w:pPr>
        <w:ind w:right="4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Guarantors, etc</w:t>
      </w:r>
      <w:r>
        <w:rPr>
          <w:rFonts w:ascii="Arial" w:cs="Arial" w:eastAsia="Arial" w:hAnsi="Arial"/>
          <w:sz w:val="17"/>
          <w:szCs w:val="17"/>
          <w:color w:val="auto"/>
        </w:rPr>
        <w:t>(a) . (a) 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(x) if the Guarantee is not in effect at such time, the Guarantee and (ii) if the Guarantee is otherwise in effect at such time, a Guarantee Joinder, in each case, executed and delivered by such Principal Domestic Subsidiary (other than an Excluded Subsidiary), together with customary secretary’s certificates, resolutions and legal opinions.</w:t>
      </w:r>
    </w:p>
    <w:p>
      <w:pPr>
        <w:spacing w:after="0" w:line="176" w:lineRule="exact"/>
        <w:rPr>
          <w:sz w:val="20"/>
          <w:szCs w:val="20"/>
          <w:color w:val="auto"/>
        </w:rPr>
      </w:pPr>
    </w:p>
    <w:p>
      <w:pPr>
        <w:ind w:right="660" w:firstLine="987"/>
        <w:spacing w:after="0" w:line="277" w:lineRule="auto"/>
        <w:tabs>
          <w:tab w:leader="none" w:pos="12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6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obtain or maintain, as applicable, a specific Index Debt Rating.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2"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6" w:name="page57"/>
    <w:bookmarkEnd w:id="56"/>
    <w:p>
      <w:pPr>
        <w:ind w:left="4"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7.2 </w:t>
      </w:r>
      <w:r>
        <w:rPr>
          <w:rFonts w:ascii="Arial" w:cs="Arial" w:eastAsia="Arial" w:hAnsi="Arial"/>
          <w:sz w:val="16"/>
          <w:szCs w:val="16"/>
          <w:u w:val="single" w:color="auto"/>
          <w:color w:val="auto"/>
        </w:rPr>
        <w:t>Indebtedness</w:t>
      </w:r>
      <w:r>
        <w:rPr>
          <w:rFonts w:ascii="Arial" w:cs="Arial" w:eastAsia="Arial" w:hAnsi="Arial"/>
          <w:sz w:val="16"/>
          <w:szCs w:val="16"/>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73" w:lineRule="auto"/>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foregoing the Company or any of its Principal Domestic Subsidiaries may Dispose of all or any portion of an Excluded Subsidiary Business to one or more Excluded Subsidiaries.</w:t>
      </w:r>
    </w:p>
    <w:p>
      <w:pPr>
        <w:spacing w:after="0" w:line="177" w:lineRule="exact"/>
        <w:rPr>
          <w:rFonts w:ascii="Arial" w:cs="Arial" w:eastAsia="Arial" w:hAnsi="Arial"/>
          <w:sz w:val="17"/>
          <w:szCs w:val="17"/>
          <w:color w:val="auto"/>
        </w:rPr>
      </w:pPr>
    </w:p>
    <w:p>
      <w:pPr>
        <w:ind w:left="4" w:right="160" w:firstLine="987"/>
        <w:spacing w:after="0" w:line="257" w:lineRule="auto"/>
        <w:tabs>
          <w:tab w:leader="none" w:pos="125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71" w:lineRule="auto"/>
        <w:tabs>
          <w:tab w:leader="none" w:pos="12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Company shall not merge or consolidate with any other Person or Dispose of all or substantially all of its assets to any Person unless (A) no Event of Default shall be continuing after giving effect to such transaction and (B)(x) the Company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the Company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the Company.</w:t>
      </w:r>
    </w:p>
    <w:p>
      <w:pPr>
        <w:spacing w:after="0" w:line="178" w:lineRule="exact"/>
        <w:rPr>
          <w:rFonts w:ascii="Arial" w:cs="Arial" w:eastAsia="Arial" w:hAnsi="Arial"/>
          <w:sz w:val="17"/>
          <w:szCs w:val="17"/>
          <w:color w:val="auto"/>
        </w:rPr>
      </w:pPr>
    </w:p>
    <w:p>
      <w:pPr>
        <w:ind w:left="4" w:firstLine="987"/>
        <w:spacing w:after="0" w:line="285" w:lineRule="auto"/>
        <w:tabs>
          <w:tab w:leader="none" w:pos="1250" w:val="left"/>
        </w:tabs>
        <w:numPr>
          <w:ilvl w:val="1"/>
          <w:numId w:val="56"/>
        </w:numPr>
        <w:rPr>
          <w:rFonts w:ascii="Arial" w:cs="Arial" w:eastAsia="Arial" w:hAnsi="Arial"/>
          <w:sz w:val="16"/>
          <w:szCs w:val="16"/>
          <w:color w:val="auto"/>
        </w:rPr>
      </w:pPr>
      <w:r>
        <w:rPr>
          <w:rFonts w:ascii="Arial" w:cs="Arial" w:eastAsia="Arial" w:hAnsi="Arial"/>
          <w:sz w:val="16"/>
          <w:szCs w:val="16"/>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w:t>
      </w:r>
    </w:p>
    <w:p>
      <w:pPr>
        <w:spacing w:after="0" w:line="1" w:lineRule="exact"/>
        <w:rPr>
          <w:rFonts w:ascii="Arial" w:cs="Arial" w:eastAsia="Arial" w:hAnsi="Arial"/>
          <w:sz w:val="16"/>
          <w:szCs w:val="16"/>
          <w:color w:val="auto"/>
        </w:rPr>
      </w:pPr>
    </w:p>
    <w:p>
      <w:pPr>
        <w:ind w:left="4" w:hanging="4"/>
        <w:spacing w:after="0" w:line="253" w:lineRule="auto"/>
        <w:tabs>
          <w:tab w:leader="none" w:pos="2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57" w:name="page58"/>
    <w:bookmarkEnd w:id="57"/>
    <w:p>
      <w:pPr>
        <w:ind w:right="8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39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17" w:lineRule="exact"/>
        <w:rPr>
          <w:sz w:val="20"/>
          <w:szCs w:val="20"/>
          <w:color w:val="auto"/>
        </w:rPr>
      </w:pPr>
    </w:p>
    <w:p>
      <w:pPr>
        <w:jc w:val="both"/>
        <w:ind w:right="240" w:firstLine="987"/>
        <w:spacing w:after="0" w:line="279" w:lineRule="auto"/>
        <w:tabs>
          <w:tab w:leader="none" w:pos="12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shall fail to pay (i) any principal of any Loan at maturity, (ii) any interest or Facility Fee hereunder for a period of five Business Days after receipt of notice of such failure by the Company from the Administrative Agent or (iii) any other amount due and payable under any Loan Document for 30 days after receipt of notice of such failure by the Company from the Administrative Agent (other than, in the case of amounts in this clause (iii), any such amount being disputed by the Company in good faith); or</w:t>
      </w:r>
    </w:p>
    <w:p>
      <w:pPr>
        <w:spacing w:after="0" w:line="171" w:lineRule="exact"/>
        <w:rPr>
          <w:rFonts w:ascii="Arial" w:cs="Arial" w:eastAsia="Arial" w:hAnsi="Arial"/>
          <w:sz w:val="17"/>
          <w:szCs w:val="17"/>
          <w:color w:val="auto"/>
        </w:rPr>
      </w:pPr>
    </w:p>
    <w:p>
      <w:pPr>
        <w:ind w:right="20" w:firstLine="987"/>
        <w:spacing w:after="0" w:line="342" w:lineRule="auto"/>
        <w:tabs>
          <w:tab w:leader="none" w:pos="12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jc w:val="both"/>
        <w:ind w:firstLine="987"/>
        <w:spacing w:after="0" w:line="259" w:lineRule="auto"/>
        <w:tabs>
          <w:tab w:leader="none" w:pos="12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86" w:lineRule="exact"/>
        <w:rPr>
          <w:rFonts w:ascii="Arial" w:cs="Arial" w:eastAsia="Arial" w:hAnsi="Arial"/>
          <w:sz w:val="18"/>
          <w:szCs w:val="18"/>
          <w:color w:val="auto"/>
        </w:rPr>
      </w:pPr>
    </w:p>
    <w:p>
      <w:pPr>
        <w:ind w:right="100" w:firstLine="987"/>
        <w:spacing w:after="0" w:line="272" w:lineRule="auto"/>
        <w:tabs>
          <w:tab w:leader="none" w:pos="124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77" w:lineRule="exact"/>
        <w:rPr>
          <w:rFonts w:ascii="Arial" w:cs="Arial" w:eastAsia="Arial" w:hAnsi="Arial"/>
          <w:sz w:val="17"/>
          <w:szCs w:val="17"/>
          <w:color w:val="auto"/>
        </w:rPr>
      </w:pPr>
    </w:p>
    <w:p>
      <w:pPr>
        <w:ind w:right="120" w:firstLine="987"/>
        <w:spacing w:after="0" w:line="291" w:lineRule="auto"/>
        <w:tabs>
          <w:tab w:leader="none" w:pos="123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58" w:name="page59"/>
    <w:bookmarkEnd w:id="58"/>
    <w:p>
      <w:pPr>
        <w:ind w:left="1220" w:hanging="233"/>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an ERISA Default; or</w:t>
      </w:r>
    </w:p>
    <w:p>
      <w:pPr>
        <w:spacing w:after="0" w:line="225" w:lineRule="exact"/>
        <w:rPr>
          <w:rFonts w:ascii="Arial" w:cs="Arial" w:eastAsia="Arial" w:hAnsi="Arial"/>
          <w:sz w:val="18"/>
          <w:szCs w:val="18"/>
          <w:color w:val="auto"/>
        </w:rPr>
      </w:pPr>
    </w:p>
    <w:p>
      <w:pPr>
        <w:ind w:firstLine="987"/>
        <w:spacing w:after="0" w:line="259" w:lineRule="auto"/>
        <w:tabs>
          <w:tab w:leader="none" w:pos="12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6"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Guarantee of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AGENTS</w:t>
      </w:r>
    </w:p>
    <w:p>
      <w:pPr>
        <w:spacing w:after="0" w:line="225"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78"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59" w:name="page60"/>
    <w:bookmarkEnd w:id="59"/>
    <w:p>
      <w:pPr>
        <w:ind w:left="4" w:right="18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spacing w:after="0" w:line="2" w:lineRule="exact"/>
        <w:rPr>
          <w:sz w:val="20"/>
          <w:szCs w:val="20"/>
          <w:color w:val="auto"/>
        </w:rPr>
      </w:pPr>
    </w:p>
    <w:p>
      <w:pPr>
        <w:ind w:left="4" w:hanging="4"/>
        <w:spacing w:after="0" w:line="269" w:lineRule="auto"/>
        <w:tabs>
          <w:tab w:leader="none" w:pos="269"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80"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xml:space="preserve"> .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7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78"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60" w:name="page61"/>
    <w:bookmarkEnd w:id="6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79"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68"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Administrative Agent in Its Individual Capacity</w:t>
      </w:r>
      <w:r>
        <w:rPr>
          <w:rFonts w:ascii="Arial" w:cs="Arial" w:eastAsia="Arial" w:hAnsi="Arial"/>
          <w:sz w:val="17"/>
          <w:szCs w:val="17"/>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76"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440" w:top="274" w:right="499" w:bottom="1440" w:gutter="0" w:footer="0" w:header="0"/>
        </w:sectPr>
      </w:pPr>
    </w:p>
    <w:bookmarkStart w:id="61" w:name="page62"/>
    <w:bookmarkEnd w:id="61"/>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75"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Bookrunners, Lead Arrangers, Global Coordinators, Documentation Agents, Syndication Agent</w:t>
      </w:r>
      <w:r>
        <w:rPr>
          <w:rFonts w:ascii="Arial" w:cs="Arial" w:eastAsia="Arial" w:hAnsi="Arial"/>
          <w:sz w:val="17"/>
          <w:szCs w:val="17"/>
          <w:color w:val="auto"/>
        </w:rPr>
        <w:t xml:space="preserve"> . None of the Syndication Agent, nor any of the bookrunners, lead arrangers, documentation agents, global coordinator, or other agents identified on the cover page to this Agreement or in any commitment letter relating hereto (collectively, the “</w:t>
      </w:r>
      <w:r>
        <w:rPr>
          <w:rFonts w:ascii="Arial" w:cs="Arial" w:eastAsia="Arial" w:hAnsi="Arial"/>
          <w:sz w:val="17"/>
          <w:szCs w:val="17"/>
          <w:u w:val="single" w:color="auto"/>
          <w:color w:val="auto"/>
        </w:rPr>
        <w:t>Arrangers</w:t>
      </w:r>
      <w:r>
        <w:rPr>
          <w:rFonts w:ascii="Arial" w:cs="Arial" w:eastAsia="Arial" w:hAnsi="Arial"/>
          <w:sz w:val="17"/>
          <w:szCs w:val="17"/>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xml:space="preserve"> (a) Each Lender (x) represents and warrants, as of the date such Person became a Lender party hereto, to, and</w:t>
      </w:r>
    </w:p>
    <w:p>
      <w:pPr>
        <w:spacing w:after="0" w:line="46" w:lineRule="exact"/>
        <w:rPr>
          <w:sz w:val="20"/>
          <w:szCs w:val="20"/>
          <w:color w:val="auto"/>
        </w:rPr>
      </w:pPr>
    </w:p>
    <w:p>
      <w:pPr>
        <w:jc w:val="both"/>
        <w:ind w:left="4" w:right="40" w:hanging="4"/>
        <w:spacing w:after="0" w:line="255" w:lineRule="auto"/>
        <w:tabs>
          <w:tab w:leader="none" w:pos="2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Loan Party, that at least one of the following is and will be true:</w:t>
      </w:r>
    </w:p>
    <w:p>
      <w:pPr>
        <w:spacing w:after="0" w:line="81" w:lineRule="exact"/>
        <w:rPr>
          <w:rFonts w:ascii="Arial" w:cs="Arial" w:eastAsia="Arial" w:hAnsi="Arial"/>
          <w:sz w:val="18"/>
          <w:szCs w:val="18"/>
          <w:color w:val="auto"/>
        </w:rPr>
      </w:pPr>
    </w:p>
    <w:p>
      <w:pPr>
        <w:ind w:left="984" w:right="620" w:firstLine="408"/>
        <w:spacing w:after="0" w:line="277" w:lineRule="auto"/>
        <w:tabs>
          <w:tab w:leader="none" w:pos="1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62" w:lineRule="exact"/>
        <w:rPr>
          <w:rFonts w:ascii="Arial" w:cs="Arial" w:eastAsia="Arial" w:hAnsi="Arial"/>
          <w:sz w:val="18"/>
          <w:szCs w:val="18"/>
          <w:color w:val="auto"/>
        </w:rPr>
      </w:pPr>
    </w:p>
    <w:p>
      <w:pPr>
        <w:ind w:left="984" w:right="100" w:firstLine="408"/>
        <w:spacing w:after="0" w:line="273" w:lineRule="auto"/>
        <w:tabs>
          <w:tab w:leader="none" w:pos="165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69" w:lineRule="exact"/>
        <w:rPr>
          <w:rFonts w:ascii="Arial" w:cs="Arial" w:eastAsia="Arial" w:hAnsi="Arial"/>
          <w:sz w:val="17"/>
          <w:szCs w:val="17"/>
          <w:color w:val="auto"/>
        </w:rPr>
      </w:pPr>
    </w:p>
    <w:p>
      <w:pPr>
        <w:ind w:left="984" w:right="80" w:firstLine="408"/>
        <w:spacing w:after="0" w:line="263" w:lineRule="auto"/>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62" w:name="page63"/>
    <w:bookmarkEnd w:id="62"/>
    <w:p>
      <w:pPr>
        <w:ind w:left="984"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63" w:lineRule="exact"/>
        <w:rPr>
          <w:sz w:val="20"/>
          <w:szCs w:val="20"/>
          <w:color w:val="auto"/>
        </w:rPr>
      </w:pPr>
    </w:p>
    <w:p>
      <w:pPr>
        <w:ind w:left="984" w:right="440" w:firstLine="408"/>
        <w:spacing w:after="0" w:line="277" w:lineRule="auto"/>
        <w:tabs>
          <w:tab w:leader="none" w:pos="1690" w:val="left"/>
        </w:tabs>
        <w:numPr>
          <w:ilvl w:val="2"/>
          <w:numId w:val="6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right="140" w:firstLine="987"/>
        <w:spacing w:after="0" w:line="291" w:lineRule="auto"/>
        <w:tabs>
          <w:tab w:leader="none" w:pos="125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4" w:right="80" w:hanging="4"/>
        <w:spacing w:after="0" w:line="252"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to hereto or thereto).</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Acknowledgements of Lenders</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86" w:lineRule="auto"/>
        <w:tabs>
          <w:tab w:leader="none" w:pos="12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purchasing, acquiring or holding any other type of financial instrument (and each Lender agrees not to assert a claim in contravention of the foregoing),</w:t>
      </w:r>
    </w:p>
    <w:p>
      <w:pPr>
        <w:spacing w:after="0" w:line="1" w:lineRule="exact"/>
        <w:rPr>
          <w:rFonts w:ascii="Arial" w:cs="Arial" w:eastAsia="Arial" w:hAnsi="Arial"/>
          <w:sz w:val="16"/>
          <w:szCs w:val="16"/>
          <w:color w:val="auto"/>
        </w:rPr>
      </w:pPr>
    </w:p>
    <w:p>
      <w:pPr>
        <w:ind w:left="4" w:hanging="4"/>
        <w:spacing w:after="0" w:line="267" w:lineRule="auto"/>
        <w:tabs>
          <w:tab w:leader="none" w:pos="319" w:val="left"/>
        </w:tabs>
        <w:numPr>
          <w:ilvl w:val="0"/>
          <w:numId w:val="66"/>
        </w:numPr>
        <w:rPr>
          <w:rFonts w:ascii="Arial" w:cs="Arial" w:eastAsia="Arial" w:hAnsi="Arial"/>
          <w:sz w:val="17"/>
          <w:szCs w:val="17"/>
          <w:color w:val="auto"/>
        </w:rPr>
      </w:pPr>
      <w:r>
        <w:rPr>
          <w:rFonts w:ascii="Arial" w:cs="Arial" w:eastAsia="Arial" w:hAnsi="Arial"/>
          <w:sz w:val="17"/>
          <w:szCs w:val="17"/>
          <w:color w:val="auto"/>
        </w:rPr>
        <w:t>it has, independently and without reliance upon the Administrative Agent, any Arranger, any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or any other Lender,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5" w:lineRule="exact"/>
        <w:rPr>
          <w:rFonts w:ascii="Arial" w:cs="Arial" w:eastAsia="Arial" w:hAnsi="Arial"/>
          <w:sz w:val="17"/>
          <w:szCs w:val="17"/>
          <w:color w:val="auto"/>
        </w:rPr>
      </w:pPr>
    </w:p>
    <w:p>
      <w:pPr>
        <w:jc w:val="both"/>
        <w:ind w:left="4" w:right="60" w:firstLine="987"/>
        <w:spacing w:after="0" w:line="259" w:lineRule="auto"/>
        <w:tabs>
          <w:tab w:leader="none" w:pos="12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63" w:name="page64"/>
    <w:bookmarkEnd w:id="63"/>
    <w:p>
      <w:pPr>
        <w:ind w:firstLine="987"/>
        <w:spacing w:after="0" w:line="269" w:lineRule="auto"/>
        <w:tabs>
          <w:tab w:leader="none" w:pos="1236"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79" w:lineRule="exact"/>
        <w:rPr>
          <w:sz w:val="20"/>
          <w:szCs w:val="20"/>
          <w:color w:val="auto"/>
        </w:rPr>
      </w:pPr>
    </w:p>
    <w:p>
      <w:pPr>
        <w:ind w:firstLine="987"/>
        <w:spacing w:after="0" w:line="269" w:lineRule="auto"/>
        <w:tabs>
          <w:tab w:leader="none" w:pos="1256"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b w:val="1"/>
          <w:bCs w:val="1"/>
          <w:i w:val="1"/>
          <w:iCs w:val="1"/>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85" w:lineRule="exact"/>
        <w:rPr>
          <w:rFonts w:ascii="Arial" w:cs="Arial" w:eastAsia="Arial" w:hAnsi="Arial"/>
          <w:sz w:val="17"/>
          <w:szCs w:val="17"/>
          <w:color w:val="auto"/>
        </w:rPr>
      </w:pPr>
    </w:p>
    <w:p>
      <w:pPr>
        <w:ind w:right="100" w:firstLine="987"/>
        <w:spacing w:after="0" w:line="273" w:lineRule="auto"/>
        <w:tabs>
          <w:tab w:leader="none" w:pos="130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or any other Loan Party except, in each case, to the extent such Payment is, and solely with respect to the amount of such Payment that is, comprised of funds of the Company or any other Loan Party (including, for the avoidance of doubt, the proceeds of any financing or contribution incurred or obtained by the Company or any Loan Party).</w:t>
      </w:r>
    </w:p>
    <w:p>
      <w:pPr>
        <w:spacing w:after="0" w:line="177" w:lineRule="exact"/>
        <w:rPr>
          <w:rFonts w:ascii="Arial" w:cs="Arial" w:eastAsia="Arial" w:hAnsi="Arial"/>
          <w:sz w:val="17"/>
          <w:szCs w:val="17"/>
          <w:color w:val="auto"/>
        </w:rPr>
      </w:pPr>
    </w:p>
    <w:p>
      <w:pPr>
        <w:ind w:right="200" w:firstLine="987"/>
        <w:spacing w:after="0" w:line="263" w:lineRule="auto"/>
        <w:tabs>
          <w:tab w:leader="none" w:pos="12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 MISCELLANEOUS</w:t>
      </w:r>
    </w:p>
    <w:p>
      <w:pPr>
        <w:spacing w:after="0" w:line="225"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 Subject to Section 2.18(b) and (c) and Section 10.1(e),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waiver and no such amendment, supplement or modification shall:</w:t>
      </w:r>
    </w:p>
    <w:p>
      <w:pPr>
        <w:spacing w:after="0" w:line="76" w:lineRule="exact"/>
        <w:rPr>
          <w:sz w:val="20"/>
          <w:szCs w:val="20"/>
          <w:color w:val="auto"/>
        </w:rPr>
      </w:pPr>
    </w:p>
    <w:p>
      <w:pPr>
        <w:ind w:left="980" w:firstLine="408"/>
        <w:spacing w:after="0" w:line="296" w:lineRule="auto"/>
        <w:tabs>
          <w:tab w:leader="none" w:pos="1676"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53" w:lineRule="exact"/>
        <w:rPr>
          <w:rFonts w:ascii="Arial" w:cs="Arial" w:eastAsia="Arial" w:hAnsi="Arial"/>
          <w:sz w:val="16"/>
          <w:szCs w:val="16"/>
          <w:color w:val="auto"/>
        </w:rPr>
      </w:pPr>
    </w:p>
    <w:p>
      <w:pPr>
        <w:ind w:left="1680" w:hanging="292"/>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eliminate or reduce the voting rights of any Lender under this Section 10.1 without the written consent of such Lender;</w:t>
      </w:r>
    </w:p>
    <w:p>
      <w:pPr>
        <w:spacing w:after="0" w:line="128" w:lineRule="exact"/>
        <w:rPr>
          <w:rFonts w:ascii="Arial" w:cs="Arial" w:eastAsia="Arial" w:hAnsi="Arial"/>
          <w:sz w:val="17"/>
          <w:szCs w:val="17"/>
          <w:color w:val="auto"/>
        </w:rPr>
      </w:pPr>
    </w:p>
    <w:p>
      <w:pPr>
        <w:ind w:left="980" w:right="100" w:firstLine="408"/>
        <w:spacing w:after="0" w:line="311" w:lineRule="auto"/>
        <w:tabs>
          <w:tab w:leader="none" w:pos="1666"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the Company of any of its rights and obligations under this Agreement and the other Loan Documents, release all or substantially all of the Subsidiary Guarantors from the obligations under the Guarantee (in each case, except as otherwise provided in the Loan Documents), in each case without the written consent of all Lenders;</w:t>
      </w:r>
    </w:p>
    <w:p>
      <w:pPr>
        <w:spacing w:after="0" w:line="40" w:lineRule="exact"/>
        <w:rPr>
          <w:rFonts w:ascii="Arial" w:cs="Arial" w:eastAsia="Arial" w:hAnsi="Arial"/>
          <w:sz w:val="16"/>
          <w:szCs w:val="16"/>
          <w:color w:val="auto"/>
        </w:rPr>
      </w:pPr>
    </w:p>
    <w:p>
      <w:pPr>
        <w:ind w:left="1680" w:hanging="292"/>
        <w:spacing w:after="0"/>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6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the Administrative Agent without the written consent of the Administrative Agent;</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80" w:right="460" w:firstLine="408"/>
        <w:spacing w:after="0" w:line="277" w:lineRule="auto"/>
        <w:tabs>
          <w:tab w:leader="none" w:pos="16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amend, modify or waive any provision of Section 2.19(a) or (b) or Section 10.7 without the written consent of each Lender adversely affected thereby;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5" w:name="page66"/>
    <w:bookmarkEnd w:id="65"/>
    <w:p>
      <w:pPr>
        <w:ind w:left="1620" w:hanging="232"/>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 or</w:t>
      </w:r>
    </w:p>
    <w:p>
      <w:pPr>
        <w:spacing w:after="0" w:line="117" w:lineRule="exact"/>
        <w:rPr>
          <w:rFonts w:ascii="Arial" w:cs="Arial" w:eastAsia="Arial" w:hAnsi="Arial"/>
          <w:sz w:val="18"/>
          <w:szCs w:val="18"/>
          <w:color w:val="auto"/>
        </w:rPr>
      </w:pPr>
    </w:p>
    <w:p>
      <w:pPr>
        <w:ind w:left="1620" w:hanging="232"/>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add additional available currencies to the Facility without the written consent of each Lender directly affected thereby.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8" w:lineRule="exact"/>
        <w:rPr>
          <w:sz w:val="20"/>
          <w:szCs w:val="20"/>
          <w:color w:val="auto"/>
        </w:rPr>
      </w:pPr>
    </w:p>
    <w:p>
      <w:pPr>
        <w:ind w:right="40" w:firstLine="987"/>
        <w:spacing w:after="0" w:line="270" w:lineRule="auto"/>
        <w:tabs>
          <w:tab w:leader="none" w:pos="1246"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or (C) release any Subsidiary Guarantor or other guarantor that is required or permitted to be released by the terms of any Loan Document and to release any such Subsidiary Guarantor that was or becomes an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the Administrative Agent shall notify the Lenders of any such amendment, modification, supplement or waiver consummated in accordance with this clause (ii) promptly after consummation thereof.</w:t>
      </w:r>
    </w:p>
    <w:p>
      <w:pPr>
        <w:spacing w:after="0" w:line="180" w:lineRule="exact"/>
        <w:rPr>
          <w:rFonts w:ascii="Arial" w:cs="Arial" w:eastAsia="Arial" w:hAnsi="Arial"/>
          <w:sz w:val="17"/>
          <w:szCs w:val="17"/>
          <w:color w:val="auto"/>
        </w:rPr>
      </w:pPr>
    </w:p>
    <w:p>
      <w:pPr>
        <w:ind w:right="160" w:firstLine="987"/>
        <w:spacing w:after="0" w:line="277" w:lineRule="auto"/>
        <w:tabs>
          <w:tab w:leader="none" w:pos="12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avoidance of doubt it is understood that the delivery of a Guarantee Joinder shall not constitute an amendment, supplement or modification for purposes of this Section 10.1 and shall be effective upon the delivery thereof to the Administrative Agent.</w:t>
      </w:r>
    </w:p>
    <w:p>
      <w:pPr>
        <w:spacing w:after="0" w:line="170" w:lineRule="exact"/>
        <w:rPr>
          <w:rFonts w:ascii="Arial" w:cs="Arial" w:eastAsia="Arial" w:hAnsi="Arial"/>
          <w:sz w:val="18"/>
          <w:szCs w:val="18"/>
          <w:color w:val="auto"/>
        </w:rPr>
      </w:pPr>
    </w:p>
    <w:p>
      <w:pPr>
        <w:ind w:right="840" w:firstLine="987"/>
        <w:spacing w:after="0" w:line="277" w:lineRule="auto"/>
        <w:tabs>
          <w:tab w:leader="none" w:pos="12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other Loan Document to the contrary, this Agreement may be amended, supplemented or otherwise modified as set forth in Section 2.18.</w:t>
      </w:r>
    </w:p>
    <w:p>
      <w:pPr>
        <w:spacing w:after="0" w:line="17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the Company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00"/>
          </w:cols>
          <w:pgMar w:left="440" w:top="274" w:right="45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57" w:lineRule="exact"/>
        <w:rPr>
          <w:sz w:val="20"/>
          <w:szCs w:val="20"/>
          <w:color w:val="auto"/>
        </w:rPr>
      </w:pPr>
    </w:p>
    <w:p>
      <w:pPr>
        <w:sectPr>
          <w:pgSz w:w="11900" w:h="16838" w:orient="portrait"/>
          <w:cols w:equalWidth="0" w:num="2">
            <w:col w:w="1920" w:space="720"/>
            <w:col w:w="8360"/>
          </w:cols>
          <w:pgMar w:left="440" w:top="274"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000"/>
          </w:cols>
          <w:pgMar w:left="440" w:top="274" w:right="4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-215900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Treasurer</w:t>
      </w:r>
    </w:p>
    <w:p>
      <w:pPr>
        <w:spacing w:after="0" w:line="139" w:lineRule="exact"/>
        <w:rPr>
          <w:sz w:val="20"/>
          <w:szCs w:val="20"/>
          <w:color w:val="auto"/>
        </w:rPr>
      </w:pPr>
    </w:p>
    <w:p>
      <w:pPr>
        <w:sectPr>
          <w:pgSz w:w="11900" w:h="16838" w:orient="portrait"/>
          <w:cols w:equalWidth="0" w:num="2">
            <w:col w:w="3700" w:space="720"/>
            <w:col w:w="5660"/>
          </w:cols>
          <w:pgMar w:left="440" w:top="274" w:right="1379" w:bottom="1440" w:gutter="0" w:footer="0" w:header="0"/>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139" w:lineRule="exact"/>
        <w:rPr>
          <w:sz w:val="20"/>
          <w:szCs w:val="20"/>
          <w:color w:val="auto"/>
        </w:rPr>
      </w:pPr>
    </w:p>
    <w:p>
      <w:pPr>
        <w:sectPr>
          <w:pgSz w:w="11900" w:h="16838" w:orient="portrait"/>
          <w:cols w:equalWidth="0" w:num="2">
            <w:col w:w="4100" w:space="320"/>
            <w:col w:w="5660"/>
          </w:cols>
          <w:pgMar w:left="440" w:top="274" w:right="137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139" w:lineRule="exact"/>
        <w:rPr>
          <w:sz w:val="20"/>
          <w:szCs w:val="20"/>
          <w:color w:val="auto"/>
        </w:rPr>
      </w:pPr>
    </w:p>
    <w:p>
      <w:pPr>
        <w:sectPr>
          <w:pgSz w:w="11900" w:h="16838" w:orient="portrait"/>
          <w:cols w:equalWidth="0" w:num="2">
            <w:col w:w="4100" w:space="320"/>
            <w:col w:w="5660"/>
          </w:cols>
          <w:pgMar w:left="440" w:top="274" w:right="137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482 -C39-B40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139" w:lineRule="exact"/>
        <w:rPr>
          <w:sz w:val="20"/>
          <w:szCs w:val="20"/>
          <w:color w:val="auto"/>
        </w:rPr>
      </w:pPr>
    </w:p>
    <w:p>
      <w:pPr>
        <w:sectPr>
          <w:pgSz w:w="11900" w:h="16838" w:orient="portrait"/>
          <w:cols w:equalWidth="0" w:num="2">
            <w:col w:w="4100" w:space="320"/>
            <w:col w:w="5660"/>
          </w:cols>
          <w:pgMar w:left="440" w:top="274" w:right="137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482-C23-A68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Corporate Secretary &amp; Lead Counsel – Corporate 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John.S.Kim@gm.com</w:t>
      </w:r>
    </w:p>
    <w:p>
      <w:pPr>
        <w:spacing w:after="0" w:line="116" w:lineRule="exact"/>
        <w:rPr>
          <w:sz w:val="20"/>
          <w:szCs w:val="20"/>
          <w:color w:val="auto"/>
        </w:rPr>
      </w:pPr>
    </w:p>
    <w:p>
      <w:pPr>
        <w:sectPr>
          <w:pgSz w:w="11900" w:h="16838" w:orient="portrait"/>
          <w:cols w:equalWidth="0" w:num="2">
            <w:col w:w="4100" w:space="320"/>
            <w:col w:w="5660"/>
          </w:cols>
          <w:pgMar w:left="440" w:top="274" w:right="1379" w:bottom="1440" w:gutter="0" w:footer="0" w:header="0"/>
          <w:type w:val="continuous"/>
        </w:sectPr>
      </w:pPr>
    </w:p>
    <w:p>
      <w:pPr>
        <w:spacing w:after="0"/>
        <w:rPr>
          <w:sz w:val="20"/>
          <w:szCs w:val="20"/>
          <w:color w:val="auto"/>
        </w:rPr>
      </w:pPr>
      <w:r>
        <w:rPr>
          <w:rFonts w:ascii="Arial" w:cs="Arial" w:eastAsia="Arial" w:hAnsi="Arial"/>
          <w:sz w:val="16"/>
          <w:szCs w:val="16"/>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laura.delgadillo@jpmorgan.com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302-634-3228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Laura Delgadillo</w:t>
      </w:r>
    </w:p>
    <w:p>
      <w:pPr>
        <w:spacing w:after="0" w:line="157" w:lineRule="exact"/>
        <w:rPr>
          <w:sz w:val="20"/>
          <w:szCs w:val="20"/>
          <w:color w:val="auto"/>
        </w:rPr>
      </w:pPr>
    </w:p>
    <w:p>
      <w:pPr>
        <w:sectPr>
          <w:pgSz w:w="11900" w:h="16838" w:orient="portrait"/>
          <w:cols w:equalWidth="0" w:num="2">
            <w:col w:w="3700" w:space="720"/>
            <w:col w:w="5660"/>
          </w:cols>
          <w:pgMar w:left="440" w:top="274" w:right="1379" w:bottom="1440" w:gutter="0" w:footer="0" w:header="0"/>
          <w:type w:val="continuous"/>
        </w:sectPr>
      </w:pPr>
    </w:p>
    <w:p>
      <w:pPr>
        <w:ind w:left="54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080"/>
          </w:cols>
          <w:pgMar w:left="440" w:top="274" w:right="13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-215900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8181 Communications Pkwy, Bldg B, Floor 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Plano, TX, 75024,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marlon.mathews@jpmchase.com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469-462-1337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Marlon Mathews</w:t>
      </w:r>
    </w:p>
    <w:p>
      <w:pPr>
        <w:spacing w:after="0" w:line="200" w:lineRule="exact"/>
        <w:rPr>
          <w:sz w:val="20"/>
          <w:szCs w:val="20"/>
          <w:color w:val="auto"/>
        </w:rPr>
      </w:pPr>
    </w:p>
    <w:p>
      <w:pPr>
        <w:sectPr>
          <w:pgSz w:w="11900" w:h="16838" w:orient="portrait"/>
          <w:cols w:equalWidth="0" w:num="2">
            <w:col w:w="1920" w:space="720"/>
            <w:col w:w="8300"/>
          </w:cols>
          <w:pgMar w:left="440" w:top="274" w:right="519" w:bottom="1440" w:gutter="0" w:footer="0" w:header="0"/>
        </w:sectPr>
      </w:pPr>
    </w:p>
    <w:p>
      <w:pPr>
        <w:spacing w:after="0" w:line="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or the Lenders pursuant to Section 2.2, 2.11, 2.12 or 2.14 shall not be effective until received.</w:t>
      </w:r>
    </w:p>
    <w:p>
      <w:pPr>
        <w:spacing w:after="0" w:line="170" w:lineRule="exact"/>
        <w:rPr>
          <w:sz w:val="20"/>
          <w:szCs w:val="20"/>
          <w:color w:val="auto"/>
        </w:rPr>
      </w:pPr>
    </w:p>
    <w:p>
      <w:pPr>
        <w:ind w:right="80" w:firstLine="987"/>
        <w:spacing w:after="0" w:line="222"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a substantially similar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firstLine="987"/>
        <w:spacing w:after="0" w:line="271" w:lineRule="auto"/>
        <w:tabs>
          <w:tab w:leader="none" w:pos="12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right="40" w:firstLine="987"/>
        <w:spacing w:after="0" w:line="254"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1" w:lineRule="exact"/>
        <w:rPr>
          <w:rFonts w:ascii="Arial" w:cs="Arial" w:eastAsia="Arial" w:hAnsi="Arial"/>
          <w:sz w:val="18"/>
          <w:szCs w:val="18"/>
          <w:color w:val="auto"/>
        </w:rPr>
      </w:pPr>
    </w:p>
    <w:p>
      <w:pPr>
        <w:ind w:right="280" w:firstLine="987"/>
        <w:spacing w:after="0" w:line="263" w:lineRule="auto"/>
        <w:tabs>
          <w:tab w:leader="none" w:pos="1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8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440" w:top="274" w:right="519" w:bottom="1440" w:gutter="0" w:footer="0" w:header="0"/>
          <w:type w:val="continuous"/>
        </w:sectPr>
      </w:pPr>
    </w:p>
    <w:bookmarkStart w:id="68" w:name="page69"/>
    <w:bookmarkEnd w:id="68"/>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 of Expenses; Limitation of Liability; Indemnity</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8"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Payment of Expenses</w:t>
      </w:r>
      <w:r>
        <w:rPr>
          <w:rFonts w:ascii="Arial" w:cs="Arial" w:eastAsia="Arial" w:hAnsi="Arial"/>
          <w:sz w:val="17"/>
          <w:szCs w:val="17"/>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79" w:lineRule="exact"/>
        <w:rPr>
          <w:rFonts w:ascii="Arial" w:cs="Arial" w:eastAsia="Arial" w:hAnsi="Arial"/>
          <w:sz w:val="17"/>
          <w:szCs w:val="17"/>
          <w:color w:val="auto"/>
        </w:rPr>
      </w:pPr>
    </w:p>
    <w:p>
      <w:pPr>
        <w:ind w:right="20" w:firstLine="987"/>
        <w:spacing w:after="0" w:line="255"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92" w:lineRule="exact"/>
        <w:rPr>
          <w:rFonts w:ascii="Arial" w:cs="Arial" w:eastAsia="Arial" w:hAnsi="Arial"/>
          <w:sz w:val="18"/>
          <w:szCs w:val="18"/>
          <w:color w:val="auto"/>
        </w:rPr>
      </w:pPr>
    </w:p>
    <w:p>
      <w:pPr>
        <w:ind w:firstLine="987"/>
        <w:spacing w:after="0" w:line="270"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The Company shall pay, indemnify or reimburse each Lender, the Administrative Agent, their respective affiliates, and their respective officers, directors, partners, employees, advisors, agents, controlling persons and trustees (each, an “</w:t>
      </w:r>
      <w:r>
        <w:rPr>
          <w:rFonts w:ascii="Arial" w:cs="Arial" w:eastAsia="Arial" w:hAnsi="Arial"/>
          <w:sz w:val="17"/>
          <w:szCs w:val="17"/>
          <w:u w:val="single" w:color="auto"/>
          <w:color w:val="auto"/>
        </w:rPr>
        <w:t>Indemnitee</w:t>
      </w:r>
      <w:r>
        <w:rPr>
          <w:rFonts w:ascii="Arial" w:cs="Arial" w:eastAsia="Arial" w:hAnsi="Arial"/>
          <w:sz w:val="17"/>
          <w:szCs w:val="17"/>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Arial" w:cs="Arial" w:eastAsia="Arial" w:hAnsi="Arial"/>
          <w:sz w:val="17"/>
          <w:szCs w:val="17"/>
          <w:u w:val="single" w:color="auto"/>
          <w:color w:val="auto"/>
        </w:rPr>
        <w:t>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88" w:lineRule="exact"/>
        <w:rPr>
          <w:sz w:val="20"/>
          <w:szCs w:val="20"/>
          <w:color w:val="auto"/>
        </w:rPr>
      </w:pPr>
    </w:p>
    <w:p>
      <w:pPr>
        <w:ind w:right="20" w:firstLine="987"/>
        <w:spacing w:after="0" w:line="287" w:lineRule="auto"/>
        <w:tabs>
          <w:tab w:leader="none" w:pos="12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71" w:lineRule="exact"/>
        <w:rPr>
          <w:rFonts w:ascii="Arial" w:cs="Arial" w:eastAsia="Arial" w:hAnsi="Arial"/>
          <w:sz w:val="16"/>
          <w:szCs w:val="16"/>
          <w:color w:val="auto"/>
        </w:rPr>
      </w:pPr>
    </w:p>
    <w:p>
      <w:pPr>
        <w:ind w:right="20" w:firstLine="987"/>
        <w:spacing w:after="0" w:line="254" w:lineRule="auto"/>
        <w:tabs>
          <w:tab w:leader="none" w:pos="12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9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xml:space="preserve"> (a) The provisions of this Agreement shall be binding upon and inure to the benefit of the parties hereto and their respective successors and assigns permitted hereby, except that (i) other than pursuant to Section 7.4, the Company may not assign or otherwise transfer any of its rights or obligations hereunder without the prior written consent of each Lender (and any attempted assignment or transfer by the Company without such consent shall be null and void) and (ii) no Lender may assign or otherwise transfer its rights or obligations hereunder except in accordance with this Section 10.6.</w:t>
      </w:r>
    </w:p>
    <w:p>
      <w:pPr>
        <w:spacing w:after="0" w:line="188" w:lineRule="exact"/>
        <w:rPr>
          <w:sz w:val="20"/>
          <w:szCs w:val="20"/>
          <w:color w:val="auto"/>
        </w:rPr>
      </w:pPr>
    </w:p>
    <w:p>
      <w:pPr>
        <w:ind w:right="100" w:firstLine="987"/>
        <w:spacing w:after="0" w:line="259"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70" w:name="page71"/>
    <w:bookmarkEnd w:id="70"/>
    <w:p>
      <w:pPr>
        <w:jc w:val="both"/>
        <w:ind w:left="980" w:right="120" w:firstLine="408"/>
        <w:spacing w:after="0" w:line="263" w:lineRule="auto"/>
        <w:tabs>
          <w:tab w:leader="none" w:pos="1636"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w:t>
      </w:r>
    </w:p>
    <w:p>
      <w:pPr>
        <w:spacing w:after="0" w:line="46" w:lineRule="exact"/>
        <w:rPr>
          <w:sz w:val="20"/>
          <w:szCs w:val="20"/>
          <w:color w:val="auto"/>
        </w:rPr>
      </w:pPr>
    </w:p>
    <w:p>
      <w:pPr>
        <w:ind w:left="980" w:right="460" w:firstLine="7"/>
        <w:spacing w:after="0" w:line="260" w:lineRule="auto"/>
        <w:tabs>
          <w:tab w:leader="none" w:pos="12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consent of the Company provided for in clause (1) above shall be required if an Event of Default under Section 8(a) or (e) has occurred and is continuing.</w:t>
      </w:r>
    </w:p>
    <w:p>
      <w:pPr>
        <w:spacing w:after="0" w:line="18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84" w:lineRule="exact"/>
        <w:rPr>
          <w:sz w:val="20"/>
          <w:szCs w:val="20"/>
          <w:color w:val="auto"/>
        </w:rPr>
      </w:pPr>
    </w:p>
    <w:p>
      <w:pPr>
        <w:ind w:left="1120" w:hanging="261"/>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80" w:firstLine="408"/>
        <w:spacing w:after="0" w:line="293" w:lineRule="auto"/>
        <w:tabs>
          <w:tab w:leader="none" w:pos="1676"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56" w:lineRule="exact"/>
        <w:rPr>
          <w:rFonts w:ascii="Arial" w:cs="Arial" w:eastAsia="Arial" w:hAnsi="Arial"/>
          <w:sz w:val="16"/>
          <w:szCs w:val="16"/>
          <w:color w:val="auto"/>
        </w:rPr>
      </w:pPr>
    </w:p>
    <w:p>
      <w:pPr>
        <w:ind w:left="980" w:right="220" w:firstLine="408"/>
        <w:spacing w:after="0" w:line="257" w:lineRule="auto"/>
        <w:tabs>
          <w:tab w:leader="none" w:pos="16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79" w:lineRule="exact"/>
        <w:rPr>
          <w:rFonts w:ascii="Arial" w:cs="Arial" w:eastAsia="Arial" w:hAnsi="Arial"/>
          <w:sz w:val="18"/>
          <w:szCs w:val="18"/>
          <w:color w:val="auto"/>
        </w:rPr>
      </w:pPr>
    </w:p>
    <w:p>
      <w:pPr>
        <w:ind w:left="980" w:right="860" w:firstLine="408"/>
        <w:spacing w:after="0" w:line="277" w:lineRule="auto"/>
        <w:tabs>
          <w:tab w:leader="none" w:pos="16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62" w:lineRule="exact"/>
        <w:rPr>
          <w:rFonts w:ascii="Arial" w:cs="Arial" w:eastAsia="Arial" w:hAnsi="Arial"/>
          <w:sz w:val="18"/>
          <w:szCs w:val="18"/>
          <w:color w:val="auto"/>
        </w:rPr>
      </w:pPr>
    </w:p>
    <w:p>
      <w:pPr>
        <w:ind w:left="440" w:right="100" w:firstLine="419"/>
        <w:spacing w:after="0" w:line="270" w:lineRule="auto"/>
        <w:tabs>
          <w:tab w:leader="none" w:pos="1178"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1" w:name="page72"/>
    <w:bookmarkEnd w:id="71"/>
    <w:p>
      <w:pPr>
        <w:ind w:left="440" w:right="40" w:firstLine="419"/>
        <w:spacing w:after="0" w:line="290" w:lineRule="auto"/>
        <w:tabs>
          <w:tab w:leader="none" w:pos="1168"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57" w:lineRule="exact"/>
        <w:rPr>
          <w:rFonts w:ascii="Arial" w:cs="Arial" w:eastAsia="Arial" w:hAnsi="Arial"/>
          <w:sz w:val="16"/>
          <w:szCs w:val="16"/>
          <w:color w:val="auto"/>
        </w:rPr>
      </w:pPr>
    </w:p>
    <w:p>
      <w:pPr>
        <w:ind w:left="440" w:firstLine="419"/>
        <w:spacing w:after="0" w:line="293" w:lineRule="auto"/>
        <w:tabs>
          <w:tab w:leader="none" w:pos="1118"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4" w:lineRule="exact"/>
        <w:rPr>
          <w:rFonts w:ascii="Arial" w:cs="Arial" w:eastAsia="Arial" w:hAnsi="Arial"/>
          <w:sz w:val="16"/>
          <w:szCs w:val="16"/>
          <w:color w:val="auto"/>
        </w:rPr>
      </w:pPr>
    </w:p>
    <w:p>
      <w:pPr>
        <w:ind w:right="20" w:firstLine="987"/>
        <w:spacing w:after="0" w:line="285" w:lineRule="auto"/>
        <w:tabs>
          <w:tab w:leader="none" w:pos="1236" w:val="left"/>
        </w:tabs>
        <w:numPr>
          <w:ilvl w:val="1"/>
          <w:numId w:val="79"/>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2" w:name="page73"/>
    <w:bookmarkEnd w:id="7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84" w:lineRule="exact"/>
        <w:rPr>
          <w:sz w:val="20"/>
          <w:szCs w:val="20"/>
          <w:color w:val="auto"/>
        </w:rPr>
      </w:pPr>
    </w:p>
    <w:p>
      <w:pPr>
        <w:ind w:left="440" w:right="40" w:firstLine="419"/>
        <w:spacing w:after="0" w:line="273" w:lineRule="auto"/>
        <w:tabs>
          <w:tab w:leader="none" w:pos="1118"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77" w:lineRule="exact"/>
        <w:rPr>
          <w:rFonts w:ascii="Arial" w:cs="Arial" w:eastAsia="Arial" w:hAnsi="Arial"/>
          <w:sz w:val="17"/>
          <w:szCs w:val="17"/>
          <w:color w:val="auto"/>
        </w:rPr>
      </w:pPr>
    </w:p>
    <w:p>
      <w:pPr>
        <w:ind w:firstLine="987"/>
        <w:spacing w:after="0" w:line="275" w:lineRule="auto"/>
        <w:tabs>
          <w:tab w:leader="none" w:pos="1246"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176" w:lineRule="exact"/>
        <w:rPr>
          <w:rFonts w:ascii="Arial" w:cs="Arial" w:eastAsia="Arial" w:hAnsi="Arial"/>
          <w:sz w:val="17"/>
          <w:szCs w:val="17"/>
          <w:color w:val="auto"/>
        </w:rPr>
      </w:pPr>
    </w:p>
    <w:p>
      <w:pPr>
        <w:ind w:right="20" w:firstLine="987"/>
        <w:spacing w:after="0" w:line="255" w:lineRule="auto"/>
        <w:tabs>
          <w:tab w:leader="none" w:pos="1236"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2"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Adjustments</w:t>
      </w:r>
      <w:r>
        <w:rPr>
          <w:rFonts w:ascii="Arial" w:cs="Arial" w:eastAsia="Arial" w:hAnsi="Arial"/>
          <w:sz w:val="17"/>
          <w:szCs w:val="17"/>
          <w:color w:val="auto"/>
        </w:rPr>
        <w:t>. If any Lender (a “</w:t>
      </w:r>
      <w:r>
        <w:rPr>
          <w:rFonts w:ascii="Arial" w:cs="Arial" w:eastAsia="Arial" w:hAnsi="Arial"/>
          <w:sz w:val="17"/>
          <w:szCs w:val="17"/>
          <w:u w:val="single" w:color="auto"/>
          <w:color w:val="auto"/>
        </w:rPr>
        <w:t>Benefitted Lender</w:t>
      </w:r>
      <w:r>
        <w:rPr>
          <w:rFonts w:ascii="Arial" w:cs="Arial" w:eastAsia="Arial" w:hAnsi="Arial"/>
          <w:sz w:val="17"/>
          <w:szCs w:val="17"/>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3" w:name="page74"/>
    <w:bookmarkEnd w:id="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Arial" w:cs="Arial" w:eastAsia="Arial" w:hAnsi="Arial"/>
          <w:sz w:val="18"/>
          <w:szCs w:val="18"/>
          <w:u w:val="single" w:color="auto"/>
          <w:color w:val="auto"/>
        </w:rPr>
        <w:t>Counterparts; Electronic Execution.</w:t>
      </w:r>
    </w:p>
    <w:p>
      <w:pPr>
        <w:spacing w:after="0" w:line="225" w:lineRule="exact"/>
        <w:rPr>
          <w:sz w:val="20"/>
          <w:szCs w:val="20"/>
          <w:color w:val="auto"/>
        </w:rPr>
      </w:pPr>
    </w:p>
    <w:p>
      <w:pPr>
        <w:ind w:firstLine="987"/>
        <w:spacing w:after="0" w:line="279" w:lineRule="auto"/>
        <w:tabs>
          <w:tab w:leader="none" w:pos="12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1" w:lineRule="exact"/>
        <w:rPr>
          <w:rFonts w:ascii="Arial" w:cs="Arial" w:eastAsia="Arial" w:hAnsi="Arial"/>
          <w:sz w:val="17"/>
          <w:szCs w:val="17"/>
          <w:color w:val="auto"/>
        </w:rPr>
      </w:pPr>
    </w:p>
    <w:p>
      <w:pPr>
        <w:ind w:firstLine="987"/>
        <w:spacing w:after="0" w:line="283" w:lineRule="auto"/>
        <w:tabs>
          <w:tab w:leader="none" w:pos="12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6"/>
          <w:szCs w:val="16"/>
          <w:u w:val="single" w:color="auto"/>
          <w:color w:val="auto"/>
        </w:rPr>
        <w:t>Electronic</w:t>
      </w:r>
      <w:r>
        <w:rPr>
          <w:rFonts w:ascii="Arial" w:cs="Arial" w:eastAsia="Arial" w:hAnsi="Arial"/>
          <w:sz w:val="16"/>
          <w:szCs w:val="16"/>
          <w:color w:val="auto"/>
        </w:rPr>
        <w:t xml:space="preserve"> </w:t>
      </w:r>
      <w:r>
        <w:rPr>
          <w:rFonts w:ascii="Arial" w:cs="Arial" w:eastAsia="Arial" w:hAnsi="Arial"/>
          <w:sz w:val="16"/>
          <w:szCs w:val="16"/>
          <w:u w:val="single" w:color="auto"/>
          <w:color w:val="auto"/>
        </w:rPr>
        <w:t>Signature</w:t>
      </w:r>
      <w:r>
        <w:rPr>
          <w:rFonts w:ascii="Arial" w:cs="Arial" w:eastAsia="Arial" w:hAnsi="Arial"/>
          <w:sz w:val="16"/>
          <w:szCs w:val="16"/>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Company and each Loan Party hereby (i) agrees that, for all purposes, including without limitation, in connection with any workout, restructuring, enforcement of remedies, bankruptcy proceedings or litigation among the Administrative Agent, the Lenders, the Company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other Loan Party to use any available security measures in connection with the execution, delivery or transmission of any Electronic Signature.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4" w:name="page75"/>
    <w:bookmarkEnd w:id="74"/>
    <w:p>
      <w:pPr>
        <w:ind w:right="10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Company,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49"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xml:space="preserve"> xiv) Each of the Administrative Agent, the Lenders, the Company and each other Loan Party hereby irrevocably and unconditionally:</w:t>
      </w:r>
    </w:p>
    <w:p>
      <w:pPr>
        <w:spacing w:after="0" w:line="62" w:lineRule="exact"/>
        <w:rPr>
          <w:sz w:val="20"/>
          <w:szCs w:val="20"/>
          <w:color w:val="auto"/>
        </w:rPr>
      </w:pPr>
    </w:p>
    <w:p>
      <w:pPr>
        <w:jc w:val="both"/>
        <w:ind w:left="440" w:right="100" w:firstLine="419"/>
        <w:spacing w:after="0" w:line="259" w:lineRule="auto"/>
        <w:tabs>
          <w:tab w:leader="none" w:pos="10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78" w:lineRule="exact"/>
        <w:rPr>
          <w:rFonts w:ascii="Arial" w:cs="Arial" w:eastAsia="Arial" w:hAnsi="Arial"/>
          <w:sz w:val="18"/>
          <w:szCs w:val="18"/>
          <w:color w:val="auto"/>
        </w:rPr>
      </w:pPr>
    </w:p>
    <w:p>
      <w:pPr>
        <w:ind w:left="440" w:right="20" w:firstLine="419"/>
        <w:spacing w:after="0" w:line="263" w:lineRule="auto"/>
        <w:tabs>
          <w:tab w:leader="none" w:pos="11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5" w:lineRule="exact"/>
        <w:rPr>
          <w:rFonts w:ascii="Arial" w:cs="Arial" w:eastAsia="Arial" w:hAnsi="Arial"/>
          <w:sz w:val="18"/>
          <w:szCs w:val="18"/>
          <w:color w:val="auto"/>
        </w:rPr>
      </w:pPr>
    </w:p>
    <w:p>
      <w:pPr>
        <w:ind w:left="440" w:right="540" w:firstLine="419"/>
        <w:spacing w:after="0" w:line="277" w:lineRule="auto"/>
        <w:tabs>
          <w:tab w:leader="none" w:pos="11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70"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75" w:name="page76"/>
    <w:bookmarkEnd w:id="7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The Company hereby acknowledges that:</w:t>
      </w:r>
    </w:p>
    <w:p>
      <w:pPr>
        <w:spacing w:after="0" w:line="117" w:lineRule="exact"/>
        <w:rPr>
          <w:sz w:val="20"/>
          <w:szCs w:val="20"/>
          <w:color w:val="auto"/>
        </w:rPr>
      </w:pPr>
    </w:p>
    <w:p>
      <w:pPr>
        <w:ind w:left="1240" w:hanging="253"/>
        <w:spacing w:after="0"/>
        <w:tabs>
          <w:tab w:leader="none" w:pos="12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36" w:lineRule="exact"/>
        <w:rPr>
          <w:rFonts w:ascii="Arial" w:cs="Arial" w:eastAsia="Arial" w:hAnsi="Arial"/>
          <w:sz w:val="17"/>
          <w:szCs w:val="17"/>
          <w:color w:val="auto"/>
        </w:rPr>
      </w:pPr>
    </w:p>
    <w:p>
      <w:pPr>
        <w:jc w:val="both"/>
        <w:ind w:right="160" w:firstLine="987"/>
        <w:spacing w:after="0" w:line="311" w:lineRule="auto"/>
        <w:tabs>
          <w:tab w:leader="none" w:pos="1246"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48" w:lineRule="exact"/>
        <w:rPr>
          <w:rFonts w:ascii="Arial" w:cs="Arial" w:eastAsia="Arial" w:hAnsi="Arial"/>
          <w:sz w:val="16"/>
          <w:szCs w:val="16"/>
          <w:color w:val="auto"/>
        </w:rPr>
      </w:pPr>
    </w:p>
    <w:p>
      <w:pPr>
        <w:ind w:firstLine="987"/>
        <w:spacing w:after="0" w:line="277" w:lineRule="auto"/>
        <w:tabs>
          <w:tab w:leader="none" w:pos="12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p>
    <w:p>
      <w:pPr>
        <w:spacing w:after="0" w:line="117" w:lineRule="exact"/>
        <w:rPr>
          <w:sz w:val="20"/>
          <w:szCs w:val="20"/>
          <w:color w:val="auto"/>
        </w:rPr>
      </w:pPr>
    </w:p>
    <w:p>
      <w:pPr>
        <w:ind w:right="100" w:firstLine="987"/>
        <w:spacing w:after="0" w:line="296" w:lineRule="auto"/>
        <w:tabs>
          <w:tab w:leader="none" w:pos="1236"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61" w:lineRule="exact"/>
        <w:rPr>
          <w:rFonts w:ascii="Arial" w:cs="Arial" w:eastAsia="Arial" w:hAnsi="Arial"/>
          <w:sz w:val="16"/>
          <w:szCs w:val="16"/>
          <w:color w:val="auto"/>
        </w:rPr>
      </w:pPr>
    </w:p>
    <w:p>
      <w:pPr>
        <w:ind w:right="160" w:firstLine="987"/>
        <w:spacing w:after="0" w:line="263"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83" w:lineRule="exact"/>
        <w:rPr>
          <w:rFonts w:ascii="Arial" w:cs="Arial" w:eastAsia="Arial" w:hAnsi="Arial"/>
          <w:sz w:val="18"/>
          <w:szCs w:val="18"/>
          <w:color w:val="auto"/>
        </w:rPr>
      </w:pPr>
    </w:p>
    <w:p>
      <w:pPr>
        <w:ind w:right="400" w:firstLine="987"/>
        <w:spacing w:after="0" w:line="263" w:lineRule="auto"/>
        <w:tabs>
          <w:tab w:leader="none" w:pos="12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83" w:lineRule="exact"/>
        <w:rPr>
          <w:rFonts w:ascii="Arial" w:cs="Arial" w:eastAsia="Arial" w:hAnsi="Arial"/>
          <w:sz w:val="18"/>
          <w:szCs w:val="18"/>
          <w:color w:val="auto"/>
        </w:rPr>
      </w:pPr>
    </w:p>
    <w:p>
      <w:pPr>
        <w:ind w:right="100" w:firstLine="987"/>
        <w:spacing w:after="0" w:line="254"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9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each Lender and each Transferee (each a “</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76" w:name="page77"/>
    <w:bookmarkEnd w:id="76"/>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w:t>
      </w:r>
    </w:p>
    <w:p>
      <w:pPr>
        <w:spacing w:after="0" w:line="1" w:lineRule="exact"/>
        <w:rPr>
          <w:sz w:val="20"/>
          <w:szCs w:val="20"/>
          <w:color w:val="auto"/>
        </w:rPr>
      </w:pPr>
    </w:p>
    <w:p>
      <w:pPr>
        <w:ind w:left="4" w:right="40" w:hanging="4"/>
        <w:spacing w:after="0" w:line="255" w:lineRule="auto"/>
        <w:tabs>
          <w:tab w:leader="none" w:pos="2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190" w:lineRule="exact"/>
        <w:rPr>
          <w:sz w:val="20"/>
          <w:szCs w:val="20"/>
          <w:color w:val="auto"/>
        </w:rPr>
      </w:pPr>
    </w:p>
    <w:p>
      <w:pPr>
        <w:ind w:left="4" w:right="400" w:firstLine="991"/>
        <w:spacing w:after="0" w:line="263"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THE ADMINISTRATIVE AGENT AND THE LENDERS HEREBY IRREVOCABLY AND UNCONDITIONALLY WAIVE TRIAL BY JURY IN ANY LEGAL ACTION OR PROCEEDING RELATING TO THIS AGREEMENT OR ANY OTHER LOAN DOCUMENT AND FOR ANY COUNTERCLAIM THEREIN.</w:t>
      </w:r>
    </w:p>
    <w:p>
      <w:pPr>
        <w:spacing w:after="0" w:line="184" w:lineRule="exact"/>
        <w:rPr>
          <w:sz w:val="20"/>
          <w:szCs w:val="20"/>
          <w:color w:val="auto"/>
        </w:rPr>
      </w:pPr>
    </w:p>
    <w:p>
      <w:pPr>
        <w:ind w:left="4" w:right="360" w:firstLine="991"/>
        <w:spacing w:after="0" w:line="25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 and the Beneficial Ownership Regulation</w:t>
      </w:r>
      <w:r>
        <w:rPr>
          <w:rFonts w:ascii="Arial" w:cs="Arial" w:eastAsia="Arial" w:hAnsi="Arial"/>
          <w:sz w:val="18"/>
          <w:szCs w:val="18"/>
          <w:color w:val="auto"/>
        </w:rPr>
        <w:t>. Each Lender hereby notifies the Company that pursuant to the requirements of the USA Patriot Act (Title III of Pub. L. 107-56 (signed into law October 26,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and the Beneficial Ownership Regulation, it is required to obtain, verify and record information that identifies the Company, which information includes the name and address of the Company and other information that will allow such Lender to identify the Company in accordance with the USA Patriot Act and the Beneficial Ownership Regulation.</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9" w:lineRule="exact"/>
        <w:rPr>
          <w:sz w:val="20"/>
          <w:szCs w:val="20"/>
          <w:color w:val="auto"/>
        </w:rPr>
      </w:pPr>
    </w:p>
    <w:p>
      <w:pPr>
        <w:ind w:left="4" w:right="540" w:firstLine="987"/>
        <w:spacing w:after="0" w:line="277" w:lineRule="auto"/>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4" w:hanging="221"/>
        <w:spacing w:after="0"/>
        <w:tabs>
          <w:tab w:leader="none" w:pos="108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4" w:right="100" w:firstLine="419"/>
        <w:spacing w:after="0" w:line="311" w:lineRule="auto"/>
        <w:tabs>
          <w:tab w:leader="none" w:pos="11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4" w:right="160" w:firstLine="419"/>
        <w:spacing w:after="0" w:line="277" w:lineRule="auto"/>
        <w:tabs>
          <w:tab w:leader="none" w:pos="11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4"/>
          </w:cols>
          <w:pgMar w:left="436" w:top="274" w:right="459" w:bottom="1440" w:gutter="0" w:footer="0" w:header="0"/>
        </w:sectPr>
      </w:pPr>
    </w:p>
    <w:bookmarkStart w:id="77" w:name="page78"/>
    <w:bookmarkEnd w:id="7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10.21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Loan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21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10.22 </w:t>
      </w:r>
      <w:r>
        <w:rPr>
          <w:rFonts w:ascii="Arial" w:cs="Arial" w:eastAsia="Arial" w:hAnsi="Arial"/>
          <w:sz w:val="16"/>
          <w:szCs w:val="16"/>
          <w:u w:val="single" w:color="auto"/>
          <w:color w:val="auto"/>
        </w:rPr>
        <w:t>Interest Rate Limitations</w:t>
      </w:r>
      <w:r>
        <w:rPr>
          <w:rFonts w:ascii="Arial" w:cs="Arial" w:eastAsia="Arial" w:hAnsi="Arial"/>
          <w:sz w:val="16"/>
          <w:szCs w:val="16"/>
          <w:color w:val="auto"/>
        </w:rPr>
        <w:t xml:space="preserve">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Company so that at no time shall the interest and charges paid or payable in respect of such Loan or other Obligation exceed the maximum amount collectible at the Maximum 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78" w:name="page79"/>
    <w:bookmarkEnd w:id="78"/>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Loek Beckers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Loek Beckers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13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560"/>
          </w:cols>
          <w:pgMar w:left="440" w:top="274" w:right="899" w:bottom="1440" w:gutter="0" w:footer="0" w:header="0"/>
        </w:sectPr>
      </w:pPr>
    </w:p>
    <w:bookmarkStart w:id="79" w:name="page80"/>
    <w:bookmarkEnd w:id="7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Administrative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Agent and as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Marlon Mathews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580"/>
          </w:cols>
          <w:pgMar w:left="1440" w:top="274" w:right="879" w:bottom="1440" w:gutter="0" w:footer="0" w:header="0"/>
        </w:sectPr>
      </w:pPr>
    </w:p>
    <w:bookmarkStart w:id="80" w:name="page81"/>
    <w:bookmarkEnd w:id="8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Lender and as Syndication Agent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Susan M. Olsen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600"/>
          </w:cols>
          <w:pgMar w:left="1440" w:top="274" w:right="859" w:bottom="1440" w:gutter="0" w:footer="0" w:header="0"/>
        </w:sectPr>
      </w:pPr>
    </w:p>
    <w:bookmarkStart w:id="81" w:name="page82"/>
    <w:bookmarkEnd w:id="8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BILBAO VIZCAYA ARGENTARIA, S.A. NEW</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Brian Crowley</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Brian Crowley</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Armen Semizian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Armen Semizian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2" w:name="page83"/>
    <w:bookmarkEnd w:id="8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 NEW YORK BRANCH,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Andres Barbosa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Andres Barbosa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Rita Walz-Cuccioli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Rita Walz-Cuccioli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Executive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3" w:name="page84"/>
    <w:bookmarkEnd w:id="8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Brian Lukehart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Brian Lukehart</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4" w:name="page85"/>
    <w:bookmarkEnd w:id="8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Charlene Saldanha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Charlene Saldanha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5" w:name="page86"/>
    <w:bookmarkEnd w:id="8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Sked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Christopher Sked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Nicolas Doche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Nicolas Doche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6" w:name="page87"/>
    <w:bookmarkEnd w:id="8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Jill Wong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Jill Wong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Gordon Yip</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Gordon Yip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7" w:name="page88"/>
    <w:bookmarkEnd w:id="8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Alison Lugo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Alison Lugo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Ming K. Chu</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Ming K. Chu</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8" w:name="page89"/>
    <w:bookmarkEnd w:id="8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Jonathan Dworkin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Jonathan Dworkin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89" w:name="page90"/>
    <w:bookmarkEnd w:id="8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Intesa Sanpaolo S.p.A., New York Branch,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Jordan Schweon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Jordan Schweon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Jennifer Feldman Facciola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Jennifer Feldman Facciola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Business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0" w:name="page91"/>
    <w:bookmarkEnd w:id="9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Lloyds Bank plc,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Lee Chester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Lee Chester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Associate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1" w:name="page92"/>
    <w:bookmarkEnd w:id="9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Donna DeMagistris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Donna DeMagistris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Executive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2" w:name="page93"/>
    <w:bookmarkEnd w:id="9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King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3" w:name="page94"/>
    <w:bookmarkEnd w:id="9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Tarnecki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Tarnecki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4" w:name="page95"/>
    <w:bookmarkEnd w:id="9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SOCIETE GENERALE,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Kimberly Metzger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Kimberly Metzger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5" w:name="page96"/>
    <w:bookmarkEnd w:id="9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Mitsui Banking Corporation,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Alkesh Nanavaty</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Alkesh Nanavaty</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Executive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6" w:name="page97"/>
    <w:bookmarkEnd w:id="9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Rolf Schmitz</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Rolf Schmitz</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 &amp; Group Head</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7" w:name="page98"/>
    <w:bookmarkEnd w:id="9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Lender</w:t>
      </w:r>
    </w:p>
    <w:p>
      <w:pPr>
        <w:spacing w:after="0" w:line="24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Emily Chott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Emily Chott</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8" w:name="page99"/>
    <w:bookmarkEnd w:id="9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Jonathan D. Beck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Jonathan D. Beck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99" w:name="page100"/>
    <w:bookmarkEnd w:id="9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CHINA LIMITED, NEW YORK BRANCH, as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M Samms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Christopher M Samms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INDUSTRIAL AND COMMERCIAL BANK OF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CHINA LIMITED, NEW YORK BRANCH, as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Pinyen Shih</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Pinyen Shih</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Executive Director</w:t>
            </w:r>
          </w:p>
        </w:tc>
      </w:tr>
    </w:tbl>
    <w:p>
      <w:pPr>
        <w:spacing w:after="0" w:line="13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4"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OMMITMENTS</w:t>
      </w:r>
      <w:r>
        <w:rPr>
          <w:rFonts w:ascii="Arial" w:cs="Arial" w:eastAsia="Arial" w:hAnsi="Arial"/>
          <w:sz w:val="18"/>
          <w:szCs w:val="18"/>
          <w:b w:val="1"/>
          <w:bCs w:val="1"/>
          <w:u w:val="single" w:color="auto"/>
          <w:color w:val="auto"/>
        </w:rPr>
        <w:t>/DTTP I</w:t>
      </w:r>
      <w:r>
        <w:rPr>
          <w:rFonts w:ascii="Arial" w:cs="Arial" w:eastAsia="Arial" w:hAnsi="Arial"/>
          <w:sz w:val="14"/>
          <w:szCs w:val="14"/>
          <w:b w:val="1"/>
          <w:bCs w:val="1"/>
          <w:u w:val="single" w:color="auto"/>
          <w:color w:val="auto"/>
        </w:rPr>
        <w:t>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302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5"/>
              </w:rPr>
              <w:t>Commitment</w:t>
            </w:r>
          </w:p>
        </w:tc>
        <w:tc>
          <w:tcPr>
            <w:tcW w:w="344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Scheme Reference Number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Tax</w:t>
            </w:r>
          </w:p>
        </w:tc>
        <w:tc>
          <w:tcPr>
            <w:tcW w:w="0" w:type="dxa"/>
            <w:vAlign w:val="bottom"/>
          </w:tcPr>
          <w:p>
            <w:pPr>
              <w:spacing w:after="0"/>
              <w:rPr>
                <w:sz w:val="1"/>
                <w:szCs w:val="1"/>
                <w:color w:val="auto"/>
              </w:rPr>
            </w:pPr>
          </w:p>
        </w:tc>
      </w:tr>
      <w:tr>
        <w:trPr>
          <w:trHeight w:val="157"/>
        </w:trPr>
        <w:tc>
          <w:tcPr>
            <w:tcW w:w="3640" w:type="dxa"/>
            <w:vAlign w:val="bottom"/>
            <w:vMerge w:val="continue"/>
          </w:tcPr>
          <w:p>
            <w:pPr>
              <w:spacing w:after="0"/>
              <w:rPr>
                <w:sz w:val="13"/>
                <w:szCs w:val="13"/>
                <w:color w:val="auto"/>
              </w:rPr>
            </w:pPr>
          </w:p>
        </w:tc>
        <w:tc>
          <w:tcPr>
            <w:tcW w:w="3020" w:type="dxa"/>
            <w:vAlign w:val="bottom"/>
            <w:vMerge w:val="continue"/>
          </w:tcPr>
          <w:p>
            <w:pPr>
              <w:spacing w:after="0"/>
              <w:rPr>
                <w:sz w:val="13"/>
                <w:szCs w:val="13"/>
                <w:color w:val="auto"/>
              </w:rPr>
            </w:pPr>
          </w:p>
        </w:tc>
        <w:tc>
          <w:tcPr>
            <w:tcW w:w="3440" w:type="dxa"/>
            <w:vAlign w:val="bottom"/>
            <w:vMerge w:val="continue"/>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Residence</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JPMorgan Chase</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13/M/0268710/DTTP</w:t>
            </w:r>
          </w:p>
        </w:tc>
        <w:tc>
          <w:tcPr>
            <w:tcW w:w="9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Bank, N.A.</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40" w:type="dxa"/>
            <w:vAlign w:val="bottom"/>
          </w:tcPr>
          <w:p>
            <w:pPr>
              <w:spacing w:after="0"/>
              <w:rPr>
                <w:sz w:val="20"/>
                <w:szCs w:val="20"/>
                <w:color w:val="auto"/>
              </w:rPr>
            </w:pPr>
            <w:r>
              <w:rPr>
                <w:rFonts w:ascii="Arial" w:cs="Arial" w:eastAsia="Arial" w:hAnsi="Arial"/>
                <w:sz w:val="18"/>
                <w:szCs w:val="18"/>
                <w:color w:val="auto"/>
              </w:rPr>
              <w:t>Banco Bilbao</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9/B/75354/DTTP</w:t>
            </w:r>
          </w:p>
        </w:tc>
        <w:tc>
          <w:tcPr>
            <w:tcW w:w="920" w:type="dxa"/>
            <w:vAlign w:val="bottom"/>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Vizcaya Argentaria,</w:t>
            </w:r>
          </w:p>
        </w:tc>
        <w:tc>
          <w:tcPr>
            <w:tcW w:w="3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S.A. New York Branch</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40" w:type="dxa"/>
            <w:vAlign w:val="bottom"/>
          </w:tcPr>
          <w:p>
            <w:pPr>
              <w:spacing w:after="0"/>
              <w:rPr>
                <w:sz w:val="20"/>
                <w:szCs w:val="20"/>
                <w:color w:val="auto"/>
              </w:rPr>
            </w:pPr>
            <w:r>
              <w:rPr>
                <w:rFonts w:ascii="Arial" w:cs="Arial" w:eastAsia="Arial" w:hAnsi="Arial"/>
                <w:sz w:val="18"/>
                <w:szCs w:val="18"/>
                <w:color w:val="auto"/>
              </w:rPr>
              <w:t>Banco Santander,</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013/S/357603/DTTP</w:t>
            </w:r>
          </w:p>
        </w:tc>
        <w:tc>
          <w:tcPr>
            <w:tcW w:w="9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S.A., New York Branch</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8"/>
                <w:szCs w:val="18"/>
                <w:color w:val="auto"/>
              </w:rPr>
              <w:t>Bank of America, N.A.</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13/B/7418/DTTP</w:t>
            </w:r>
          </w:p>
        </w:tc>
        <w:tc>
          <w:tcPr>
            <w:tcW w:w="9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Barclays Bank PLC</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BNP Paribas</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5/B/255139/DTTP</w:t>
            </w:r>
          </w:p>
        </w:tc>
        <w:tc>
          <w:tcPr>
            <w:tcW w:w="92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Citibank, N.A.</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13/C/62301/DTTP</w:t>
            </w:r>
          </w:p>
        </w:tc>
        <w:tc>
          <w:tcPr>
            <w:tcW w:w="9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Credit Agricole</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5/C/0222082/DTTP</w:t>
            </w:r>
          </w:p>
        </w:tc>
        <w:tc>
          <w:tcPr>
            <w:tcW w:w="92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and</w:t>
            </w:r>
          </w:p>
        </w:tc>
        <w:tc>
          <w:tcPr>
            <w:tcW w:w="3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Investment Bank</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40" w:type="dxa"/>
            <w:vAlign w:val="bottom"/>
          </w:tcPr>
          <w:p>
            <w:pPr>
              <w:spacing w:after="0"/>
              <w:rPr>
                <w:sz w:val="20"/>
                <w:szCs w:val="20"/>
                <w:color w:val="auto"/>
              </w:rPr>
            </w:pPr>
            <w:r>
              <w:rPr>
                <w:rFonts w:ascii="Arial" w:cs="Arial" w:eastAsia="Arial" w:hAnsi="Arial"/>
                <w:sz w:val="18"/>
                <w:szCs w:val="18"/>
                <w:color w:val="auto"/>
              </w:rPr>
              <w:t>Deutsche Bank AG</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07/D/70006/DTTP</w:t>
            </w:r>
          </w:p>
        </w:tc>
        <w:tc>
          <w:tcPr>
            <w:tcW w:w="92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New York Branch</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40" w:type="dxa"/>
            <w:vAlign w:val="bottom"/>
          </w:tcPr>
          <w:p>
            <w:pPr>
              <w:spacing w:after="0"/>
              <w:rPr>
                <w:sz w:val="20"/>
                <w:szCs w:val="20"/>
                <w:color w:val="auto"/>
              </w:rPr>
            </w:pPr>
            <w:r>
              <w:rPr>
                <w:rFonts w:ascii="Arial" w:cs="Arial" w:eastAsia="Arial" w:hAnsi="Arial"/>
                <w:sz w:val="18"/>
                <w:szCs w:val="18"/>
                <w:color w:val="auto"/>
              </w:rPr>
              <w:t>Goldman Sachs</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13/G/0351779/DTTP</w:t>
            </w:r>
          </w:p>
        </w:tc>
        <w:tc>
          <w:tcPr>
            <w:tcW w:w="9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Bank USA</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40" w:type="dxa"/>
            <w:vAlign w:val="bottom"/>
          </w:tcPr>
          <w:p>
            <w:pPr>
              <w:spacing w:after="0"/>
              <w:rPr>
                <w:sz w:val="20"/>
                <w:szCs w:val="20"/>
                <w:color w:val="auto"/>
              </w:rPr>
            </w:pPr>
            <w:r>
              <w:rPr>
                <w:rFonts w:ascii="Arial" w:cs="Arial" w:eastAsia="Arial" w:hAnsi="Arial"/>
                <w:sz w:val="18"/>
                <w:szCs w:val="18"/>
                <w:color w:val="auto"/>
              </w:rPr>
              <w:t>Intesa Sanpaolo</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S.p.A., New York Branch</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4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3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01" w:name="page102"/>
    <w:bookmarkEnd w:id="1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w:t>
            </w:r>
          </w:p>
        </w:tc>
        <w:tc>
          <w:tcPr>
            <w:tcW w:w="0" w:type="dxa"/>
            <w:vAlign w:val="bottom"/>
          </w:tcPr>
          <w:p>
            <w:pPr>
              <w:spacing w:after="0"/>
              <w:rPr>
                <w:sz w:val="1"/>
                <w:szCs w:val="1"/>
                <w:color w:val="auto"/>
              </w:rPr>
            </w:pPr>
          </w:p>
        </w:tc>
      </w:tr>
      <w:tr>
        <w:trPr>
          <w:trHeight w:val="149"/>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302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5"/>
              </w:rPr>
              <w:t>Commitment</w:t>
            </w:r>
          </w:p>
        </w:tc>
        <w:tc>
          <w:tcPr>
            <w:tcW w:w="344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Scheme Reference Number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Tax</w:t>
            </w:r>
          </w:p>
        </w:tc>
        <w:tc>
          <w:tcPr>
            <w:tcW w:w="0" w:type="dxa"/>
            <w:vAlign w:val="bottom"/>
          </w:tcPr>
          <w:p>
            <w:pPr>
              <w:spacing w:after="0"/>
              <w:rPr>
                <w:sz w:val="1"/>
                <w:szCs w:val="1"/>
                <w:color w:val="auto"/>
              </w:rPr>
            </w:pPr>
          </w:p>
        </w:tc>
      </w:tr>
      <w:tr>
        <w:trPr>
          <w:trHeight w:val="186"/>
        </w:trPr>
        <w:tc>
          <w:tcPr>
            <w:tcW w:w="3640" w:type="dxa"/>
            <w:vAlign w:val="bottom"/>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Residence</w:t>
            </w:r>
          </w:p>
        </w:tc>
        <w:tc>
          <w:tcPr>
            <w:tcW w:w="0" w:type="dxa"/>
            <w:vAlign w:val="bottom"/>
          </w:tcPr>
          <w:p>
            <w:pPr>
              <w:spacing w:after="0"/>
              <w:rPr>
                <w:sz w:val="1"/>
                <w:szCs w:val="1"/>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Lloyds Bank plc</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Mizuho Bank, Ltd.</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43/M/274822/DTTP</w:t>
            </w:r>
          </w:p>
        </w:tc>
        <w:tc>
          <w:tcPr>
            <w:tcW w:w="92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Morgan Stanley</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13/M/227953/DTTP</w:t>
            </w:r>
          </w:p>
        </w:tc>
        <w:tc>
          <w:tcPr>
            <w:tcW w:w="9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Senior Funding, Inc.</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8"/>
                <w:szCs w:val="18"/>
                <w:color w:val="auto"/>
              </w:rPr>
              <w:t>Royal Bank of Canada</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3/R/70780/DTTP</w:t>
            </w:r>
          </w:p>
        </w:tc>
        <w:tc>
          <w:tcPr>
            <w:tcW w:w="92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Societe Generale</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5/S/70085/DTTP</w:t>
            </w:r>
          </w:p>
        </w:tc>
        <w:tc>
          <w:tcPr>
            <w:tcW w:w="92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Sumitomo Mitsui</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43/S/274647/DTTP</w:t>
            </w:r>
          </w:p>
        </w:tc>
        <w:tc>
          <w:tcPr>
            <w:tcW w:w="92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Banking Corporation</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003/T/0366714/DTTP</w:t>
            </w:r>
          </w:p>
        </w:tc>
        <w:tc>
          <w:tcPr>
            <w:tcW w:w="92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The Toronto-</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3/T/80000/DTTP</w:t>
            </w:r>
          </w:p>
        </w:tc>
        <w:tc>
          <w:tcPr>
            <w:tcW w:w="92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Dominion Bank,</w:t>
            </w:r>
          </w:p>
        </w:tc>
        <w:tc>
          <w:tcPr>
            <w:tcW w:w="3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New York Branch</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8"/>
                <w:szCs w:val="18"/>
                <w:color w:val="auto"/>
              </w:rPr>
              <w:t>Wells Fargo Bank, N.A.</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13/W/61173/DTTP</w:t>
            </w:r>
          </w:p>
        </w:tc>
        <w:tc>
          <w:tcPr>
            <w:tcW w:w="92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Industrial and</w:t>
            </w:r>
          </w:p>
        </w:tc>
        <w:tc>
          <w:tcPr>
            <w:tcW w:w="302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12"/>
              <w:spacing w:after="0"/>
              <w:rPr>
                <w:sz w:val="20"/>
                <w:szCs w:val="20"/>
                <w:color w:val="auto"/>
              </w:rPr>
            </w:pPr>
            <w:r>
              <w:rPr>
                <w:rFonts w:ascii="Arial" w:cs="Arial" w:eastAsia="Arial" w:hAnsi="Arial"/>
                <w:sz w:val="18"/>
                <w:szCs w:val="18"/>
                <w:color w:val="auto"/>
              </w:rPr>
              <w:t>23/I/358686/DTTP</w:t>
            </w:r>
          </w:p>
        </w:tc>
        <w:tc>
          <w:tcPr>
            <w:tcW w:w="920" w:type="dxa"/>
            <w:vAlign w:val="bottom"/>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Commercial Bank of</w:t>
            </w:r>
          </w:p>
        </w:tc>
        <w:tc>
          <w:tcPr>
            <w:tcW w:w="3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China Limited, New</w:t>
            </w:r>
          </w:p>
        </w:tc>
        <w:tc>
          <w:tcPr>
            <w:tcW w:w="3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York Branch</w:t>
            </w:r>
          </w:p>
        </w:tc>
        <w:tc>
          <w:tcPr>
            <w:tcW w:w="30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jc w:val="center"/>
              <w:ind w:left="17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64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3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3"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Initial Excluded Subsidiaries</w:t>
            </w:r>
          </w:p>
        </w:tc>
        <w:tc>
          <w:tcPr>
            <w:tcW w:w="0" w:type="dxa"/>
            <w:vAlign w:val="bottom"/>
          </w:tcPr>
          <w:p>
            <w:pPr>
              <w:spacing w:after="0"/>
              <w:rPr>
                <w:sz w:val="1"/>
                <w:szCs w:val="1"/>
                <w:color w:val="auto"/>
              </w:rPr>
            </w:pPr>
          </w:p>
        </w:tc>
      </w:tr>
      <w:tr>
        <w:trPr>
          <w:trHeight w:val="36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454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1"/>
        </w:trPr>
        <w:tc>
          <w:tcPr>
            <w:tcW w:w="4060" w:type="dxa"/>
            <w:vAlign w:val="bottom"/>
            <w:gridSpan w:val="2"/>
            <w:vMerge w:val="continue"/>
          </w:tcPr>
          <w:p>
            <w:pPr>
              <w:spacing w:after="0"/>
              <w:rPr>
                <w:sz w:val="16"/>
                <w:szCs w:val="16"/>
                <w:color w:val="auto"/>
              </w:rPr>
            </w:pPr>
          </w:p>
        </w:tc>
        <w:tc>
          <w:tcPr>
            <w:tcW w:w="45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89"/>
        </w:trPr>
        <w:tc>
          <w:tcPr>
            <w:tcW w:w="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Cruise LLC</w:t>
            </w:r>
          </w:p>
        </w:tc>
        <w:tc>
          <w:tcPr>
            <w:tcW w:w="3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BrightDrop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BrightDrop Solutions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BrightDrop Vehicle Distribution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Equip Insurance Holdings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OnStar National Insurance Company</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OnStar Insurance Services, Inc.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29"/>
        </w:trPr>
        <w:tc>
          <w:tcPr>
            <w:tcW w:w="4060" w:type="dxa"/>
            <w:vAlign w:val="bottom"/>
            <w:gridSpan w:val="2"/>
          </w:tcPr>
          <w:p>
            <w:pPr>
              <w:spacing w:after="0"/>
              <w:rPr>
                <w:sz w:val="20"/>
                <w:szCs w:val="20"/>
                <w:color w:val="auto"/>
              </w:rPr>
            </w:pPr>
            <w:r>
              <w:rPr>
                <w:rFonts w:ascii="Arial" w:cs="Arial" w:eastAsia="Arial" w:hAnsi="Arial"/>
                <w:sz w:val="18"/>
                <w:szCs w:val="18"/>
                <w:color w:val="auto"/>
                <w:w w:val="99"/>
              </w:rPr>
              <w:t>OnStar Property and Casualty Insurance Company</w:t>
            </w:r>
          </w:p>
        </w:tc>
        <w:tc>
          <w:tcPr>
            <w:tcW w:w="454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OnStar Indemnity Company</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Stellar Connected Claims Services,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GM Protections, LLC</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GM Financial Insurance Company</w:t>
            </w:r>
          </w:p>
        </w:tc>
        <w:tc>
          <w:tcPr>
            <w:tcW w:w="45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General Motors Energy LLC</w:t>
            </w:r>
          </w:p>
        </w:tc>
        <w:tc>
          <w:tcPr>
            <w:tcW w:w="454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64"/>
        </w:trPr>
        <w:tc>
          <w:tcPr>
            <w:tcW w:w="406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4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PRICING GRID</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Applicable</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All-in Spread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for Daily</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Daily Simple</w:t>
            </w: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Simple SOFR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SOFR Loans</w:t>
            </w:r>
          </w:p>
        </w:tc>
        <w:tc>
          <w:tcPr>
            <w:tcW w:w="17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Applicable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Loans and</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and Term</w:t>
            </w:r>
          </w:p>
        </w:tc>
        <w:tc>
          <w:tcPr>
            <w:tcW w:w="17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44"/>
        </w:trPr>
        <w:tc>
          <w:tcPr>
            <w:tcW w:w="434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4"/>
              </w:rPr>
              <w:t>Facility Fee Rate</w:t>
            </w:r>
          </w:p>
        </w:tc>
        <w:tc>
          <w:tcPr>
            <w:tcW w:w="148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94"/>
              </w:rPr>
              <w:t>Benchmark</w:t>
            </w:r>
          </w:p>
        </w:tc>
        <w:tc>
          <w:tcPr>
            <w:tcW w:w="1720" w:type="dxa"/>
            <w:vAlign w:val="bottom"/>
            <w:gridSpan w:val="2"/>
          </w:tcPr>
          <w:p>
            <w:pPr>
              <w:jc w:val="center"/>
              <w:ind w:right="700"/>
              <w:spacing w:after="0" w:line="145" w:lineRule="exact"/>
              <w:rPr>
                <w:sz w:val="20"/>
                <w:szCs w:val="20"/>
                <w:color w:val="auto"/>
              </w:rPr>
            </w:pPr>
            <w:r>
              <w:rPr>
                <w:rFonts w:ascii="Arial" w:cs="Arial" w:eastAsia="Arial" w:hAnsi="Arial"/>
                <w:sz w:val="14"/>
                <w:szCs w:val="14"/>
                <w:b w:val="1"/>
                <w:bCs w:val="1"/>
                <w:color w:val="auto"/>
                <w:w w:val="99"/>
              </w:rPr>
              <w:t>Margin for ABR</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Benchmark</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Applicable Rating</w:t>
            </w:r>
          </w:p>
        </w:tc>
        <w:tc>
          <w:tcPr>
            <w:tcW w:w="32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Loans</w:t>
            </w:r>
          </w:p>
        </w:tc>
        <w:tc>
          <w:tcPr>
            <w:tcW w:w="17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Loans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A/A2/A</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A-/A3/A-</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Baa1 / BBB+</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BBB / Baa2 / BBB</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Baa3 / BBB-</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BB+ / Ba1 / BB+</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BB / Ba2 / BB</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Changes in the Applicable Margin and Facility Fee Rate set forth in the pricing grid above shall become effective on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ectPr>
          <w:pgSz w:w="11900" w:h="16838" w:orient="portrait"/>
          <w:cols w:equalWidth="0" w:num="1">
            <w:col w:w="11020"/>
          </w:cols>
          <w:pgMar w:left="440" w:top="274" w:right="4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Liens</w:t>
      </w:r>
    </w:p>
    <w:p>
      <w:pPr>
        <w:spacing w:after="0" w:line="225" w:lineRule="exact"/>
        <w:rPr>
          <w:sz w:val="20"/>
          <w:szCs w:val="20"/>
          <w:color w:val="auto"/>
        </w:rPr>
      </w:pPr>
    </w:p>
    <w:p>
      <w:pPr>
        <w:ind w:right="1160"/>
        <w:spacing w:after="0" w:line="449" w:lineRule="auto"/>
        <w:rPr>
          <w:sz w:val="20"/>
          <w:szCs w:val="20"/>
          <w:color w:val="auto"/>
        </w:rPr>
      </w:pPr>
      <w:r>
        <w:rPr>
          <w:rFonts w:ascii="Arial" w:cs="Arial" w:eastAsia="Arial" w:hAnsi="Arial"/>
          <w:sz w:val="18"/>
          <w:szCs w:val="18"/>
          <w:color w:val="auto"/>
        </w:rPr>
        <w:t>Liens reflected in the lien search results, dated as of September 22, 2023 delivered to the Administrative Agent prior to the Closing Date. Credit Agreement Schedule 1.1D</w:t>
      </w:r>
    </w:p>
    <w:p>
      <w:pPr>
        <w:sectPr>
          <w:pgSz w:w="11900" w:h="16838" w:orient="portrait"/>
          <w:cols w:equalWidth="0" w:num="1">
            <w:col w:w="11020"/>
          </w:cols>
          <w:pgMar w:left="440" w:top="274"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Excluded Subsidiary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ectPr>
          <w:pgSz w:w="11900" w:h="16838" w:orient="portrait"/>
          <w:cols w:equalWidth="0" w:num="1">
            <w:col w:w="11020"/>
          </w:cols>
          <w:pgMar w:left="440" w:top="274" w:right="4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020"/>
          </w:cols>
          <w:pgMar w:left="440" w:top="274" w:right="439" w:bottom="1440" w:gutter="0" w:footer="0" w:header="0"/>
        </w:sectPr>
      </w:pPr>
    </w:p>
    <w:bookmarkStart w:id="107" w:name="page108"/>
    <w:bookmarkEnd w:id="107"/>
    <w:p>
      <w:pPr>
        <w:jc w:val="center"/>
        <w:ind w:left="9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6"/>
          <w:szCs w:val="16"/>
          <w:b w:val="1"/>
          <w:bCs w:val="1"/>
          <w:color w:val="auto"/>
        </w:rPr>
        <w:t>Credit Agreement</w:t>
      </w:r>
    </w:p>
    <w:p>
      <w:pPr>
        <w:spacing w:after="0" w:line="24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FORM OF</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GUARANTEE AGREEMENT</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 xml:space="preserve">THE SUBSIDIARY GUARANTORS FROM TIME TO TIME PARTIES HERETO, </w:t>
      </w:r>
      <w:r>
        <w:rPr>
          <w:rFonts w:ascii="Arial" w:cs="Arial" w:eastAsia="Arial" w:hAnsi="Arial"/>
          <w:sz w:val="17"/>
          <w:szCs w:val="17"/>
          <w:i w:val="1"/>
          <w:iCs w:val="1"/>
          <w:color w:val="auto"/>
        </w:rPr>
        <w:t>as the Guarantors</w:t>
      </w:r>
    </w:p>
    <w:p>
      <w:pPr>
        <w:spacing w:after="0" w:line="23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Dated as of [_],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229235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820"/>
          </w:cols>
          <w:pgMar w:left="1440" w:top="270" w:right="6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60" w:type="dxa"/>
            <w:vAlign w:val="bottom"/>
          </w:tcPr>
          <w:p>
            <w:pPr>
              <w:ind w:left="39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80" w:type="dxa"/>
            <w:vAlign w:val="bottom"/>
            <w:vMerge w:val="restart"/>
          </w:tcPr>
          <w:p>
            <w:pPr>
              <w:spacing w:after="0"/>
              <w:rPr>
                <w:sz w:val="20"/>
                <w:szCs w:val="20"/>
                <w:color w:val="auto"/>
              </w:rPr>
            </w:pPr>
            <w:r>
              <w:rPr>
                <w:rFonts w:ascii="Arial" w:cs="Arial" w:eastAsia="Arial" w:hAnsi="Arial"/>
                <w:sz w:val="18"/>
                <w:szCs w:val="18"/>
                <w:color w:val="auto"/>
                <w:w w:val="93"/>
              </w:rPr>
              <w:t>Section</w:t>
            </w:r>
          </w:p>
        </w:tc>
        <w:tc>
          <w:tcPr>
            <w:tcW w:w="10100" w:type="dxa"/>
            <w:vAlign w:val="bottom"/>
            <w:gridSpan w:val="2"/>
            <w:vMerge w:val="restart"/>
          </w:tcPr>
          <w:p>
            <w:pPr>
              <w:spacing w:after="0"/>
              <w:rPr>
                <w:sz w:val="20"/>
                <w:szCs w:val="20"/>
                <w:color w:val="auto"/>
              </w:rPr>
            </w:pPr>
            <w:r>
              <w:rPr>
                <w:rFonts w:ascii="Arial" w:cs="Arial" w:eastAsia="Arial" w:hAnsi="Arial"/>
                <w:sz w:val="18"/>
                <w:szCs w:val="18"/>
                <w:color w:val="auto"/>
              </w:rPr>
              <w:t>1. DEFINED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580" w:type="dxa"/>
            <w:vAlign w:val="bottom"/>
            <w:vMerge w:val="continue"/>
          </w:tcPr>
          <w:p>
            <w:pPr>
              <w:spacing w:after="0"/>
              <w:rPr>
                <w:sz w:val="19"/>
                <w:szCs w:val="19"/>
                <w:color w:val="auto"/>
              </w:rPr>
            </w:pPr>
          </w:p>
        </w:tc>
        <w:tc>
          <w:tcPr>
            <w:tcW w:w="1010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580" w:type="dxa"/>
            <w:vAlign w:val="bottom"/>
          </w:tcPr>
          <w:p>
            <w:pPr>
              <w:spacing w:after="0"/>
              <w:rPr>
                <w:sz w:val="20"/>
                <w:szCs w:val="20"/>
                <w:color w:val="auto"/>
              </w:rPr>
            </w:pPr>
            <w:r>
              <w:rPr>
                <w:rFonts w:ascii="Arial" w:cs="Arial" w:eastAsia="Arial" w:hAnsi="Arial"/>
                <w:sz w:val="18"/>
                <w:szCs w:val="18"/>
                <w:color w:val="auto"/>
              </w:rPr>
              <w:t>   1.1</w:t>
            </w:r>
          </w:p>
        </w:tc>
        <w:tc>
          <w:tcPr>
            <w:tcW w:w="40" w:type="dxa"/>
            <w:vAlign w:val="bottom"/>
          </w:tcPr>
          <w:p>
            <w:pPr>
              <w:spacing w:after="0"/>
              <w:rPr>
                <w:sz w:val="24"/>
                <w:szCs w:val="24"/>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0" w:type="dxa"/>
            <w:vAlign w:val="bottom"/>
          </w:tcPr>
          <w:p>
            <w:pPr>
              <w:ind w:left="3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w w:val="93"/>
              </w:rPr>
              <w:t>Section</w:t>
            </w:r>
          </w:p>
        </w:tc>
        <w:tc>
          <w:tcPr>
            <w:tcW w:w="10100" w:type="dxa"/>
            <w:vAlign w:val="bottom"/>
            <w:gridSpan w:val="2"/>
          </w:tcPr>
          <w:p>
            <w:pPr>
              <w:spacing w:after="0"/>
              <w:rPr>
                <w:sz w:val="20"/>
                <w:szCs w:val="20"/>
                <w:color w:val="auto"/>
              </w:rPr>
            </w:pPr>
            <w:r>
              <w:rPr>
                <w:rFonts w:ascii="Arial" w:cs="Arial" w:eastAsia="Arial" w:hAnsi="Arial"/>
                <w:sz w:val="18"/>
                <w:szCs w:val="18"/>
                <w:color w:val="auto"/>
              </w:rPr>
              <w:t>2. 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580" w:type="dxa"/>
            <w:vAlign w:val="bottom"/>
          </w:tcPr>
          <w:p>
            <w:pPr>
              <w:ind w:left="3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No 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0" w:type="dxa"/>
            <w:vAlign w:val="bottom"/>
          </w:tcPr>
          <w:p>
            <w:pPr>
              <w:ind w:left="30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w w:val="93"/>
              </w:rPr>
              <w:t>Section</w:t>
            </w:r>
          </w:p>
        </w:tc>
        <w:tc>
          <w:tcPr>
            <w:tcW w:w="10100" w:type="dxa"/>
            <w:vAlign w:val="bottom"/>
            <w:gridSpan w:val="2"/>
          </w:tcPr>
          <w:p>
            <w:pPr>
              <w:spacing w:after="0"/>
              <w:rPr>
                <w:sz w:val="20"/>
                <w:szCs w:val="20"/>
                <w:color w:val="auto"/>
              </w:rPr>
            </w:pPr>
            <w:r>
              <w:rPr>
                <w:rFonts w:ascii="Arial" w:cs="Arial" w:eastAsia="Arial" w:hAnsi="Arial"/>
                <w:sz w:val="18"/>
                <w:szCs w:val="18"/>
                <w:color w:val="auto"/>
              </w:rPr>
              <w:t>3. 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580" w:type="dxa"/>
            <w:vAlign w:val="bottom"/>
          </w:tcPr>
          <w:p>
            <w:pPr>
              <w:ind w:left="3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Counterparts; Electronic Signature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0" w:type="dxa"/>
            <w:vAlign w:val="bottom"/>
          </w:tcPr>
          <w:p>
            <w:pPr>
              <w:ind w:left="3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Section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3.10</w:t>
            </w:r>
          </w:p>
        </w:tc>
        <w:tc>
          <w:tcPr>
            <w:tcW w:w="1006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3.11</w:t>
            </w:r>
          </w:p>
        </w:tc>
        <w:tc>
          <w:tcPr>
            <w:tcW w:w="10060" w:type="dxa"/>
            <w:vAlign w:val="bottom"/>
          </w:tcPr>
          <w:p>
            <w:pPr>
              <w:ind w:left="120"/>
              <w:spacing w:after="0"/>
              <w:rPr>
                <w:sz w:val="20"/>
                <w:szCs w:val="20"/>
                <w:color w:val="auto"/>
              </w:rPr>
            </w:pPr>
            <w:r>
              <w:rPr>
                <w:rFonts w:ascii="Arial" w:cs="Arial" w:eastAsia="Arial" w:hAnsi="Arial"/>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3.12</w:t>
            </w:r>
          </w:p>
        </w:tc>
        <w:tc>
          <w:tcPr>
            <w:tcW w:w="1006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3.13</w:t>
            </w:r>
          </w:p>
        </w:tc>
        <w:tc>
          <w:tcPr>
            <w:tcW w:w="10060" w:type="dxa"/>
            <w:vAlign w:val="bottom"/>
          </w:tcPr>
          <w:p>
            <w:pPr>
              <w:ind w:left="120"/>
              <w:spacing w:after="0"/>
              <w:rPr>
                <w:sz w:val="20"/>
                <w:szCs w:val="20"/>
                <w:color w:val="auto"/>
              </w:rPr>
            </w:pPr>
            <w:r>
              <w:rPr>
                <w:rFonts w:ascii="Arial" w:cs="Arial" w:eastAsia="Arial" w:hAnsi="Arial"/>
                <w:sz w:val="18"/>
                <w:szCs w:val="18"/>
                <w:color w:val="auto"/>
              </w:rPr>
              <w:t>Judgment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3.14</w:t>
            </w:r>
          </w:p>
        </w:tc>
        <w:tc>
          <w:tcPr>
            <w:tcW w:w="10060" w:type="dxa"/>
            <w:vAlign w:val="bottom"/>
          </w:tcPr>
          <w:p>
            <w:pPr>
              <w:ind w:left="120"/>
              <w:spacing w:after="0"/>
              <w:rPr>
                <w:sz w:val="20"/>
                <w:szCs w:val="20"/>
                <w:color w:val="auto"/>
              </w:rPr>
            </w:pPr>
            <w:r>
              <w:rPr>
                <w:rFonts w:ascii="Arial" w:cs="Arial" w:eastAsia="Arial" w:hAnsi="Arial"/>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2"/>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3.15</w:t>
            </w:r>
          </w:p>
        </w:tc>
        <w:tc>
          <w:tcPr>
            <w:tcW w:w="10060" w:type="dxa"/>
            <w:vAlign w:val="bottom"/>
          </w:tcPr>
          <w:p>
            <w:pPr>
              <w:ind w:left="120"/>
              <w:spacing w:after="0"/>
              <w:rPr>
                <w:sz w:val="20"/>
                <w:szCs w:val="20"/>
                <w:color w:val="auto"/>
              </w:rPr>
            </w:pPr>
            <w:r>
              <w:rPr>
                <w:rFonts w:ascii="Arial" w:cs="Arial" w:eastAsia="Arial" w:hAnsi="Arial"/>
                <w:sz w:val="18"/>
                <w:szCs w:val="18"/>
                <w:color w:val="auto"/>
              </w:rPr>
              <w:t>Releases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3.16</w:t>
            </w:r>
          </w:p>
        </w:tc>
        <w:tc>
          <w:tcPr>
            <w:tcW w:w="10060" w:type="dxa"/>
            <w:vAlign w:val="bottom"/>
          </w:tcPr>
          <w:p>
            <w:pPr>
              <w:ind w:left="120"/>
              <w:spacing w:after="0"/>
              <w:rPr>
                <w:sz w:val="20"/>
                <w:szCs w:val="20"/>
                <w:color w:val="auto"/>
              </w:rPr>
            </w:pPr>
            <w:r>
              <w:rPr>
                <w:rFonts w:ascii="Arial" w:cs="Arial" w:eastAsia="Arial" w:hAnsi="Arial"/>
                <w:sz w:val="18"/>
                <w:szCs w:val="18"/>
                <w:b w:val="1"/>
                <w:bCs w:val="1"/>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99"/>
        </w:trPr>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ANNEX</w:t>
            </w:r>
          </w:p>
        </w:tc>
        <w:tc>
          <w:tcPr>
            <w:tcW w:w="10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w w:val="91"/>
              </w:rPr>
              <w:t>Annex I</w:t>
            </w:r>
          </w:p>
        </w:tc>
        <w:tc>
          <w:tcPr>
            <w:tcW w:w="40" w:type="dxa"/>
            <w:vAlign w:val="bottom"/>
          </w:tcPr>
          <w:p>
            <w:pPr>
              <w:spacing w:after="0"/>
              <w:rPr>
                <w:sz w:val="24"/>
                <w:szCs w:val="24"/>
                <w:color w:val="auto"/>
              </w:rPr>
            </w:pPr>
          </w:p>
        </w:tc>
        <w:tc>
          <w:tcPr>
            <w:tcW w:w="10060" w:type="dxa"/>
            <w:vAlign w:val="bottom"/>
          </w:tcPr>
          <w:p>
            <w:pPr>
              <w:ind w:left="1600"/>
              <w:spacing w:after="0"/>
              <w:rPr>
                <w:sz w:val="20"/>
                <w:szCs w:val="20"/>
                <w:color w:val="auto"/>
              </w:rPr>
            </w:pPr>
            <w:r>
              <w:rPr>
                <w:rFonts w:ascii="Arial" w:cs="Arial" w:eastAsia="Arial" w:hAnsi="Arial"/>
                <w:sz w:val="18"/>
                <w:szCs w:val="18"/>
                <w:color w:val="auto"/>
              </w:rPr>
              <w:t>Form of Joinder Agreement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9" w:name="page110"/>
    <w:bookmarkEnd w:id="109"/>
    <w:p>
      <w:pPr>
        <w:ind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 AGREEMENT, dated as of [_]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made by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that certain 364-Day Revolving Credit Agreement, dated as of October 3, 2023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Lenders, the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the other agents named therein.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upon the terms and subject to the conditions set forth therein;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Company is a member of an affiliated group of companies that includes each Guarantor; and</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to or for the account of the Company under the Credit Agreement;</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or for the Company, under the Credit Agreement, each Guarantor hereby agrees with the Administrative Agent, for the benefit of the Guaranteed Parties, as follows: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360" w:firstLine="987"/>
        <w:spacing w:after="0" w:line="277" w:lineRule="auto"/>
        <w:tabs>
          <w:tab w:leader="none" w:pos="12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4" w:right="519" w:bottom="1440" w:gutter="0" w:footer="0" w:header="0"/>
        </w:sectPr>
      </w:pPr>
    </w:p>
    <w:bookmarkStart w:id="110" w:name="page111"/>
    <w:bookmarkEnd w:id="110"/>
    <w:p>
      <w:pPr>
        <w:ind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means, collectively, the unpaid principal of and interest on the Loans and all other obligations and liabilities of the Company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pursuant to the terms of any of the Loan Documents).</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Parties</w:t>
      </w:r>
      <w:r>
        <w:rPr>
          <w:rFonts w:ascii="Arial" w:cs="Arial" w:eastAsia="Arial" w:hAnsi="Arial"/>
          <w:sz w:val="17"/>
          <w:szCs w:val="17"/>
          <w:color w:val="auto"/>
        </w:rPr>
        <w:t>” means, collectively, the Administrative Agent, the Lenders, and each other Person that holds a Guaranteed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4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Subsidiary Guarantors party to this Agreement on the date hereof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each Principal Domestic Subsidiary that became a party to this Agreement pursuant to Sections 6.6(a) or 10.1(b) of the Credit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225" w:lineRule="exact"/>
        <w:rPr>
          <w:sz w:val="20"/>
          <w:szCs w:val="20"/>
          <w:color w:val="auto"/>
        </w:rPr>
      </w:pPr>
    </w:p>
    <w:p>
      <w:pPr>
        <w:jc w:val="both"/>
        <w:ind w:right="240" w:firstLine="987"/>
        <w:spacing w:after="0" w:line="342" w:lineRule="auto"/>
        <w:tabs>
          <w:tab w:leader="none" w:pos="123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11" w:name="page112"/>
    <w:bookmarkEnd w:id="111"/>
    <w:p>
      <w:pPr>
        <w:ind w:right="60" w:firstLine="987"/>
        <w:spacing w:after="0" w:line="257"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References to agreements defined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9"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when due (whether at the stated maturity, by acceleration or otherwise) and at all times thereafter, of all Guaranteed Obligations.</w:t>
      </w:r>
    </w:p>
    <w:p>
      <w:pPr>
        <w:spacing w:after="0" w:line="186" w:lineRule="exact"/>
        <w:rPr>
          <w:rFonts w:ascii="Arial" w:cs="Arial" w:eastAsia="Arial" w:hAnsi="Arial"/>
          <w:sz w:val="18"/>
          <w:szCs w:val="18"/>
          <w:color w:val="auto"/>
        </w:rPr>
      </w:pPr>
    </w:p>
    <w:p>
      <w:pPr>
        <w:ind w:right="140" w:firstLine="987"/>
        <w:spacing w:after="0" w:line="263"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right="280" w:firstLine="987"/>
        <w:spacing w:after="0" w:line="263"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affecting the rights and remedies of the Guaranteed Parties hereunder.</w:t>
      </w:r>
    </w:p>
    <w:p>
      <w:pPr>
        <w:spacing w:after="0" w:line="183" w:lineRule="exact"/>
        <w:rPr>
          <w:rFonts w:ascii="Arial" w:cs="Arial" w:eastAsia="Arial" w:hAnsi="Arial"/>
          <w:sz w:val="18"/>
          <w:szCs w:val="18"/>
          <w:color w:val="auto"/>
        </w:rPr>
      </w:pPr>
    </w:p>
    <w:p>
      <w:pPr>
        <w:ind w:right="20" w:firstLine="987"/>
        <w:spacing w:after="0" w:line="342" w:lineRule="auto"/>
        <w:tabs>
          <w:tab w:leader="none" w:pos="12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remain in full force and effect until all the Guaranteed Obligations shall have been paid in full, notwithstanding that from time to time during the term of the Credit Agreement, the Company may be free from any Guaranteed Obligations.</w:t>
      </w:r>
    </w:p>
    <w:p>
      <w:pPr>
        <w:spacing w:after="0" w:line="123" w:lineRule="exact"/>
        <w:rPr>
          <w:rFonts w:ascii="Arial" w:cs="Arial" w:eastAsia="Arial" w:hAnsi="Arial"/>
          <w:sz w:val="16"/>
          <w:szCs w:val="16"/>
          <w:color w:val="auto"/>
        </w:rPr>
      </w:pPr>
    </w:p>
    <w:p>
      <w:pPr>
        <w:ind w:firstLine="987"/>
        <w:spacing w:after="0" w:line="254"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payment made by the Company, any of the Guarantors, any other guarantor or any other Person, or received or collected by any Guaranteed Party from the Company,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12" w:name="page113"/>
    <w:bookmarkEnd w:id="11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88" w:lineRule="auto"/>
        <w:rPr>
          <w:sz w:val="20"/>
          <w:szCs w:val="20"/>
          <w:color w:val="auto"/>
        </w:rPr>
      </w:pPr>
      <w:r>
        <w:rPr>
          <w:rFonts w:ascii="Arial" w:cs="Arial" w:eastAsia="Arial" w:hAnsi="Arial"/>
          <w:sz w:val="16"/>
          <w:szCs w:val="16"/>
          <w:color w:val="auto"/>
        </w:rPr>
        <w:t>Notwithstanding any payment made by any Guarantor hereunder or any set-off or application of funds of any Guarantor by any Guaranteed Party, no Guarantor shall be entitled to be subrogated to any of the rights of any Guaranteed Party against the Company or any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or any Guarantor in respect of payments made by such Guarantor hereunder, until all amounts owing to the Guaranteed Parties by the Company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3" w:name="page114"/>
    <w:bookmarkEnd w:id="11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or any other Person against any Guaranteed Party, (c) any law or regulation of any jurisdiction or any other event affecting any term of the Guaranteed Obligations or (d) any other circumstance whatsoever (with or without notice to or knowledge of the Company or such Guarantor) which constitutes, or might be construed to constitute, an equitable or legal discharge or defense of a surety or guarantor or any other obligor on any obligation of the Company for any of the Guaranteed Obligations, or of such Guarantor under the guarantee contained herein, in bankruptcy or in any other instance. Notwithstanding anything herein to the contrary, each of the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Guarantor or any other Person or to realize upon any such collateral security or guarantee or to exercise any such right of offset, or any release of the Company, any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14" w:name="page115"/>
    <w:bookmarkEnd w:id="1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279"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5" w:name="page116"/>
    <w:bookmarkEnd w:id="11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225" w:lineRule="exact"/>
        <w:rPr>
          <w:sz w:val="20"/>
          <w:szCs w:val="20"/>
          <w:color w:val="auto"/>
        </w:rPr>
      </w:pPr>
    </w:p>
    <w:p>
      <w:pPr>
        <w:ind w:right="140" w:firstLine="436"/>
        <w:spacing w:after="0" w:line="257" w:lineRule="auto"/>
        <w:tabs>
          <w:tab w:leader="none" w:pos="6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Without intending to duplicate the obligations of the Guarantors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and to the extent that the Company is required to pay or reimburse the Guaranteed Parties (or any of them), for various costs and expenses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each Guarantor, jointly and severally, hereby agrees to make such payments or reimbursements and to provide such indemnification.</w:t>
      </w:r>
    </w:p>
    <w:p>
      <w:pPr>
        <w:spacing w:after="0" w:line="187"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 Electronic Signature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xml:space="preserve">”,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The provisions of Section 10.8 of the Credit Agreement are hereby incorporated herein,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6" w:name="page117"/>
    <w:bookmarkEnd w:id="11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Guarantor hereby irrevocably and unconditionally:</w:t>
      </w:r>
    </w:p>
    <w:p>
      <w:pPr>
        <w:spacing w:after="0" w:line="117" w:lineRule="exact"/>
        <w:rPr>
          <w:sz w:val="20"/>
          <w:szCs w:val="20"/>
          <w:color w:val="auto"/>
        </w:rPr>
      </w:pPr>
    </w:p>
    <w:p>
      <w:pPr>
        <w:ind w:right="60" w:firstLine="987"/>
        <w:spacing w:after="0" w:line="259"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86" w:lineRule="exact"/>
        <w:rPr>
          <w:rFonts w:ascii="Arial" w:cs="Arial" w:eastAsia="Arial" w:hAnsi="Arial"/>
          <w:sz w:val="18"/>
          <w:szCs w:val="18"/>
          <w:color w:val="auto"/>
        </w:rPr>
      </w:pPr>
    </w:p>
    <w:p>
      <w:pPr>
        <w:jc w:val="both"/>
        <w:ind w:right="80" w:firstLine="987"/>
        <w:spacing w:after="0" w:line="263" w:lineRule="auto"/>
        <w:tabs>
          <w:tab w:leader="none" w:pos="12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3" w:lineRule="exact"/>
        <w:rPr>
          <w:rFonts w:ascii="Arial" w:cs="Arial" w:eastAsia="Arial" w:hAnsi="Arial"/>
          <w:sz w:val="18"/>
          <w:szCs w:val="18"/>
          <w:color w:val="auto"/>
        </w:rPr>
      </w:pPr>
    </w:p>
    <w:p>
      <w:pPr>
        <w:ind w:right="20" w:firstLine="987"/>
        <w:spacing w:after="0" w:line="263"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7" w:name="page118"/>
    <w:bookmarkEnd w:id="117"/>
    <w:p>
      <w:pPr>
        <w:ind w:right="340" w:firstLine="987"/>
        <w:spacing w:after="0" w:line="277" w:lineRule="auto"/>
        <w:tabs>
          <w:tab w:leader="none" w:pos="1246"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hereby irrevocably designates the Company (and the Company hereby irrevocably accepts such designation) as its agent to receive service of process in any such action or proceeding;</w:t>
      </w:r>
    </w:p>
    <w:p>
      <w:pPr>
        <w:spacing w:after="0" w:line="170" w:lineRule="exact"/>
        <w:rPr>
          <w:rFonts w:ascii="Arial" w:cs="Arial" w:eastAsia="Arial" w:hAnsi="Arial"/>
          <w:sz w:val="18"/>
          <w:szCs w:val="18"/>
          <w:color w:val="auto"/>
        </w:rPr>
      </w:pPr>
    </w:p>
    <w:p>
      <w:pPr>
        <w:ind w:right="80" w:firstLine="987"/>
        <w:spacing w:after="0" w:line="277"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520" w:firstLine="987"/>
        <w:spacing w:after="0" w:line="277" w:lineRule="auto"/>
        <w:tabs>
          <w:tab w:leader="none" w:pos="12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color w:val="auto"/>
        </w:rPr>
        <w:t>mutatis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of the Credit Agreement, and each other Person (whether or not a Subsidiary of the Company) that the Company desires to become a party to this Agreement pursuant to</w:t>
      </w:r>
    </w:p>
    <w:p>
      <w:pPr>
        <w:ind w:right="20"/>
        <w:spacing w:after="0" w:line="260" w:lineRule="auto"/>
        <w:rPr>
          <w:sz w:val="20"/>
          <w:szCs w:val="20"/>
          <w:color w:val="auto"/>
        </w:rPr>
      </w:pPr>
      <w:r>
        <w:rPr>
          <w:rFonts w:ascii="Arial" w:cs="Arial" w:eastAsia="Arial" w:hAnsi="Arial"/>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Joinder Agreement</w:t>
      </w:r>
      <w:r>
        <w:rPr>
          <w:rFonts w:ascii="Arial" w:cs="Arial" w:eastAsia="Arial" w:hAnsi="Arial"/>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63" w:lineRule="auto"/>
        <w:tabs>
          <w:tab w:leader="none" w:pos="12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3" w:lineRule="exact"/>
        <w:rPr>
          <w:rFonts w:ascii="Arial" w:cs="Arial" w:eastAsia="Arial" w:hAnsi="Arial"/>
          <w:sz w:val="18"/>
          <w:szCs w:val="18"/>
          <w:color w:val="auto"/>
        </w:rPr>
      </w:pPr>
    </w:p>
    <w:p>
      <w:pPr>
        <w:jc w:val="both"/>
        <w:ind w:right="260" w:firstLine="987"/>
        <w:spacing w:after="0" w:line="263" w:lineRule="auto"/>
        <w:tabs>
          <w:tab w:leader="none" w:pos="12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83" w:lineRule="exact"/>
        <w:rPr>
          <w:rFonts w:ascii="Arial" w:cs="Arial" w:eastAsia="Arial" w:hAnsi="Arial"/>
          <w:sz w:val="18"/>
          <w:szCs w:val="18"/>
          <w:color w:val="auto"/>
        </w:rPr>
      </w:pPr>
    </w:p>
    <w:p>
      <w:pPr>
        <w:ind w:right="20" w:firstLine="987"/>
        <w:spacing w:after="0" w:line="263" w:lineRule="auto"/>
        <w:tabs>
          <w:tab w:leader="none" w:pos="12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18" w:name="page119"/>
    <w:bookmarkEnd w:id="11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[SUBSIDIARY 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-10795</wp:posOffset>
            </wp:positionV>
            <wp:extent cx="19424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-19050</wp:posOffset>
            </wp:positionV>
            <wp:extent cx="19996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99615"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20" w:name="page121"/>
    <w:bookmarkEnd w:id="120"/>
    <w:p>
      <w:pPr>
        <w:jc w:val="center"/>
        <w:ind w:left="7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8"/>
          <w:szCs w:val="18"/>
          <w:color w:val="auto"/>
        </w:rPr>
        <w:t>Guarantee 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JOINDER AGREEMENT, dated as of ________________, 20__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made by __________________________</w:t>
      </w:r>
    </w:p>
    <w:p>
      <w:pPr>
        <w:spacing w:after="0" w:line="46"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WHEREAS, pursuant to the terms of the certain 364-Day Revolving Credit Agreement, dated as of October 3, 2023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Lenders, the Administrative Agent, Citibank, N.A., as syndication agent, and the other agents named therein, the Subsidiary Guarantors (together with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Guarantee Agreement, dated as of [_], [_]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78"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WHEREAS, the Additional Guarantor desires to become a party to the Guarantee Agreement in accordance with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firstLine="987"/>
        <w:spacing w:after="0" w:line="259" w:lineRule="auto"/>
        <w:tabs>
          <w:tab w:leader="none" w:pos="117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2" w:lineRule="exact"/>
        <w:rPr>
          <w:rFonts w:ascii="Arial" w:cs="Arial" w:eastAsia="Arial" w:hAnsi="Arial"/>
          <w:sz w:val="18"/>
          <w:szCs w:val="18"/>
          <w:color w:val="auto"/>
        </w:rPr>
      </w:pPr>
    </w:p>
    <w:p>
      <w:pPr>
        <w:ind w:right="320" w:firstLine="987"/>
        <w:spacing w:after="0" w:line="266" w:lineRule="auto"/>
        <w:tabs>
          <w:tab w:leader="none" w:pos="1171"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74" w:right="459" w:bottom="1440" w:gutter="0" w:footer="0" w:header="0"/>
        </w:sectPr>
      </w:pPr>
    </w:p>
    <w:bookmarkStart w:id="121" w:name="page122"/>
    <w:bookmarkEnd w:id="12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440" w:top="274" w:right="4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23" w:name="page124"/>
    <w:bookmarkEnd w:id="123"/>
    <w:p>
      <w:pPr>
        <w:jc w:val="center"/>
        <w:ind w:left="7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[Reserved]</w:t>
      </w:r>
    </w:p>
    <w:p>
      <w:pPr>
        <w:sectPr>
          <w:pgSz w:w="11900" w:h="16838" w:orient="portrait"/>
          <w:cols w:equalWidth="0" w:num="1">
            <w:col w:w="9019"/>
          </w:cols>
          <w:pgMar w:left="1440" w:top="270" w:right="1440" w:bottom="1440" w:gutter="0" w:footer="0" w:header="0"/>
        </w:sectPr>
      </w:pPr>
    </w:p>
    <w:bookmarkStart w:id="124" w:name="page125"/>
    <w:bookmarkEnd w:id="124"/>
    <w:p>
      <w:pPr>
        <w:jc w:val="center"/>
        <w:ind w:left="7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7"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[Reserved]</w:t>
      </w:r>
    </w:p>
    <w:p>
      <w:pPr>
        <w:sectPr>
          <w:pgSz w:w="11900" w:h="16838" w:orient="portrait"/>
          <w:cols w:equalWidth="0" w:num="1">
            <w:col w:w="9019"/>
          </w:cols>
          <w:pgMar w:left="1440" w:top="270" w:right="1440" w:bottom="1440" w:gutter="0" w:footer="0" w:header="0"/>
        </w:sectPr>
      </w:pPr>
    </w:p>
    <w:bookmarkStart w:id="125" w:name="page126"/>
    <w:bookmarkEnd w:id="125"/>
    <w:p>
      <w:pPr>
        <w:jc w:val="center"/>
        <w:ind w:left="7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7"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[Reserved]</w:t>
      </w:r>
    </w:p>
    <w:p>
      <w:pPr>
        <w:sectPr>
          <w:pgSz w:w="11900" w:h="16838" w:orient="portrait"/>
          <w:cols w:equalWidth="0" w:num="1">
            <w:col w:w="9019"/>
          </w:cols>
          <w:pgMar w:left="1440" w:top="270" w:right="1440" w:bottom="1440" w:gutter="0" w:footer="0" w:header="0"/>
        </w:sectPr>
      </w:pPr>
    </w:p>
    <w:bookmarkStart w:id="126" w:name="page127"/>
    <w:bookmarkEnd w:id="126"/>
    <w:p>
      <w:pPr>
        <w:jc w:val="center"/>
        <w:ind w:left="7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7"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[Reserved]</w:t>
      </w:r>
    </w:p>
    <w:p>
      <w:pPr>
        <w:sectPr>
          <w:pgSz w:w="11900" w:h="16838" w:orient="portrait"/>
          <w:cols w:equalWidth="0" w:num="1">
            <w:col w:w="9019"/>
          </w:cols>
          <w:pgMar w:left="1440" w:top="270" w:right="1440" w:bottom="1440" w:gutter="0" w:footer="0" w:header="0"/>
        </w:sectPr>
      </w:pPr>
    </w:p>
    <w:bookmarkStart w:id="127" w:name="page128"/>
    <w:bookmarkEnd w:id="127"/>
    <w:p>
      <w:pPr>
        <w:jc w:val="center"/>
        <w:ind w:left="7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7"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CLOSING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11"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__________, 20__</w:t>
      </w:r>
    </w:p>
    <w:p>
      <w:pPr>
        <w:spacing w:after="0" w:line="248" w:lineRule="exact"/>
        <w:rPr>
          <w:sz w:val="20"/>
          <w:szCs w:val="20"/>
          <w:color w:val="auto"/>
        </w:rPr>
      </w:pPr>
    </w:p>
    <w:p>
      <w:pPr>
        <w:jc w:val="both"/>
        <w:ind w:right="300" w:firstLine="440"/>
        <w:spacing w:after="0" w:line="255" w:lineRule="auto"/>
        <w:rPr>
          <w:sz w:val="20"/>
          <w:szCs w:val="20"/>
          <w:color w:val="auto"/>
        </w:rPr>
      </w:pPr>
      <w:r>
        <w:rPr>
          <w:rFonts w:ascii="Arial" w:cs="Arial" w:eastAsia="Arial" w:hAnsi="Arial"/>
          <w:sz w:val="18"/>
          <w:szCs w:val="18"/>
          <w:color w:val="auto"/>
        </w:rPr>
        <w:t>This Certificate is furnished pursuant to Section 5.1(c) of that certain 364-Day Revolving Credit Agreement, dated as of October 3, 2023,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JPMorgan Chase Bank, N.A. as the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Citibank N.A. as syndication agent, and the other agents party thereto. Unless otherwise defined herein, capitalized terms used in this Certificate have the meanings assigned to such terms in the Credit Agreement.</w:t>
      </w:r>
    </w:p>
    <w:p>
      <w:pPr>
        <w:spacing w:after="0" w:line="192"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 the undersigned, [Assistant] Secretary of the Company, do hereby certify, in the name and on behalf of the Company, and without assuming any personal liability, that:</w:t>
      </w:r>
    </w:p>
    <w:p>
      <w:pPr>
        <w:spacing w:after="0" w:line="170" w:lineRule="exact"/>
        <w:rPr>
          <w:sz w:val="20"/>
          <w:szCs w:val="20"/>
          <w:color w:val="auto"/>
        </w:rPr>
      </w:pPr>
    </w:p>
    <w:p>
      <w:pPr>
        <w:jc w:val="both"/>
        <w:ind w:right="80" w:firstLine="436"/>
        <w:spacing w:after="0" w:line="286" w:lineRule="auto"/>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Attached hereto as Annex I is a true and complete copy of the Certificate of Incorporation of the Company as in effect of the date hereof. There have been no amendments to the Certificate of Incorporation of the Company except for those attached in Annex I, if any, and no action has been taken by the Company, its Board of Directors, or officers in contemplation of liquidation or dissolution of the Company.</w:t>
      </w:r>
    </w:p>
    <w:p>
      <w:pPr>
        <w:spacing w:after="0" w:line="165" w:lineRule="exact"/>
        <w:rPr>
          <w:rFonts w:ascii="Arial" w:cs="Arial" w:eastAsia="Arial" w:hAnsi="Arial"/>
          <w:sz w:val="17"/>
          <w:szCs w:val="17"/>
          <w:color w:val="auto"/>
        </w:rPr>
      </w:pPr>
    </w:p>
    <w:p>
      <w:pPr>
        <w:ind w:left="620" w:hanging="184"/>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 of the Company as in effect on the date hereof.</w:t>
      </w:r>
    </w:p>
    <w:p>
      <w:pPr>
        <w:spacing w:after="0" w:line="225" w:lineRule="exact"/>
        <w:rPr>
          <w:rFonts w:ascii="Arial" w:cs="Arial" w:eastAsia="Arial" w:hAnsi="Arial"/>
          <w:sz w:val="18"/>
          <w:szCs w:val="18"/>
          <w:color w:val="auto"/>
        </w:rPr>
      </w:pPr>
    </w:p>
    <w:p>
      <w:pPr>
        <w:ind w:right="180" w:firstLine="436"/>
        <w:spacing w:after="0" w:line="255" w:lineRule="auto"/>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Attached hereto as Annex III is a true, correct and complete copy of resolutions duly adopted by the Board of Directors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of the Company [at such meeting].</w:t>
      </w:r>
    </w:p>
    <w:p>
      <w:pPr>
        <w:sectPr>
          <w:pgSz w:w="11900" w:h="16838" w:orient="portrait"/>
          <w:cols w:equalWidth="0" w:num="1">
            <w:col w:w="11020"/>
          </w:cols>
          <w:pgMar w:left="440" w:top="270" w:right="439" w:bottom="1440" w:gutter="0" w:footer="0" w:header="0"/>
        </w:sectPr>
      </w:pPr>
    </w:p>
    <w:bookmarkStart w:id="128" w:name="page129"/>
    <w:bookmarkEnd w:id="128"/>
    <w:p>
      <w:pPr>
        <w:ind w:left="-436" w:firstLine="436"/>
        <w:spacing w:after="0" w:line="277" w:lineRule="auto"/>
        <w:tabs>
          <w:tab w:leader="none" w:pos="184"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384"/>
          </w:cols>
          <w:pgMar w:left="876" w:top="274" w:right="639" w:bottom="1440" w:gutter="0" w:footer="0" w:header="0"/>
        </w:sectPr>
      </w:pPr>
    </w:p>
    <w:bookmarkStart w:id="129" w:name="page130"/>
    <w:bookmarkEnd w:id="12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my hand as of the first date written above.</w:t>
      </w:r>
    </w:p>
    <w:p>
      <w:pPr>
        <w:spacing w:after="0" w:line="200" w:lineRule="exact"/>
        <w:rPr>
          <w:sz w:val="20"/>
          <w:szCs w:val="20"/>
          <w:color w:val="auto"/>
        </w:rPr>
      </w:pPr>
    </w:p>
    <w:p>
      <w:pPr>
        <w:spacing w:after="0" w:line="34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-130175</wp:posOffset>
            </wp:positionV>
            <wp:extent cx="27946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62" w:lineRule="exact"/>
        <w:rPr>
          <w:sz w:val="20"/>
          <w:szCs w:val="20"/>
          <w:color w:val="auto"/>
        </w:rPr>
      </w:pPr>
    </w:p>
    <w:p>
      <w:pPr>
        <w:ind w:left="4" w:right="580" w:firstLine="436"/>
        <w:spacing w:after="0" w:line="277" w:lineRule="auto"/>
        <w:tabs>
          <w:tab w:leader="none" w:pos="6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___________________ is [a] [the] duly elected and qualified [Assistant] Secretary of the Company and the signature above is [his][her] genuine signature.</w:t>
      </w:r>
    </w:p>
    <w:p>
      <w:pPr>
        <w:spacing w:after="0" w:line="170" w:lineRule="exact"/>
        <w:rPr>
          <w:rFonts w:ascii="Arial" w:cs="Arial" w:eastAsia="Arial" w:hAnsi="Arial"/>
          <w:sz w:val="18"/>
          <w:szCs w:val="18"/>
          <w:color w:val="auto"/>
        </w:rPr>
      </w:pPr>
    </w:p>
    <w:p>
      <w:pPr>
        <w:ind w:left="4" w:right="20" w:hanging="4"/>
        <w:spacing w:after="0" w:line="259" w:lineRule="auto"/>
        <w:tabs>
          <w:tab w:leader="none" w:pos="1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p>
    <w:p>
      <w:pPr>
        <w:spacing w:after="0" w:line="186" w:lineRule="exact"/>
        <w:rPr>
          <w:rFonts w:ascii="Arial" w:cs="Arial" w:eastAsia="Arial" w:hAnsi="Arial"/>
          <w:sz w:val="18"/>
          <w:szCs w:val="18"/>
          <w:color w:val="auto"/>
        </w:rPr>
      </w:pPr>
    </w:p>
    <w:p>
      <w:pPr>
        <w:ind w:left="184" w:hanging="184"/>
        <w:spacing w:after="0"/>
        <w:tabs>
          <w:tab w:leader="none" w:pos="1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as of the date hereof.</w:t>
      </w:r>
    </w:p>
    <w:p>
      <w:pPr>
        <w:spacing w:after="0" w:line="200" w:lineRule="exact"/>
        <w:rPr>
          <w:sz w:val="20"/>
          <w:szCs w:val="20"/>
          <w:color w:val="auto"/>
        </w:rPr>
      </w:pPr>
    </w:p>
    <w:p>
      <w:pPr>
        <w:spacing w:after="0" w:line="349"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-123190</wp:posOffset>
            </wp:positionV>
            <wp:extent cx="2794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30" w:name="page131"/>
    <w:bookmarkEnd w:id="130"/>
    <w:p>
      <w:pPr>
        <w:jc w:val="center"/>
        <w:ind w:left="7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3"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762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Copy of the Certificate of Incorporation</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MOTORS COMPANY</w:t>
      </w:r>
    </w:p>
    <w:p>
      <w:pPr>
        <w:sectPr>
          <w:pgSz w:w="11900" w:h="16838" w:orient="portrait"/>
          <w:cols w:equalWidth="0" w:num="1">
            <w:col w:w="9019"/>
          </w:cols>
          <w:pgMar w:left="1440" w:top="274" w:right="1440" w:bottom="1440" w:gutter="0" w:footer="0" w:header="0"/>
        </w:sectPr>
      </w:pPr>
    </w:p>
    <w:bookmarkStart w:id="131" w:name="page132"/>
    <w:bookmarkEnd w:id="131"/>
    <w:p>
      <w:pPr>
        <w:jc w:val="center"/>
        <w:ind w:left="7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7"/>
          <w:szCs w:val="17"/>
          <w:color w:val="auto"/>
        </w:rPr>
        <w:t>Certificate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 of the by-laws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GENERAL MOTORS COMPANY</w:t>
      </w:r>
    </w:p>
    <w:p>
      <w:pPr>
        <w:sectPr>
          <w:pgSz w:w="11900" w:h="16838" w:orient="portrait"/>
          <w:cols w:equalWidth="0" w:num="1">
            <w:col w:w="9019"/>
          </w:cols>
          <w:pgMar w:left="1440" w:top="274" w:right="1440" w:bottom="1440" w:gutter="0" w:footer="0" w:header="0"/>
        </w:sectPr>
      </w:pPr>
    </w:p>
    <w:bookmarkStart w:id="132" w:name="page133"/>
    <w:bookmarkEnd w:id="132"/>
    <w:p>
      <w:pPr>
        <w:jc w:val="center"/>
        <w:ind w:left="7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III</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7600"/>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Resolutions of the Board of Directors of GENERAL MOTORS COMPANY</w:t>
      </w:r>
    </w:p>
    <w:p>
      <w:pPr>
        <w:sectPr>
          <w:pgSz w:w="11900" w:h="16838" w:orient="portrait"/>
          <w:cols w:equalWidth="0" w:num="1">
            <w:col w:w="9019"/>
          </w:cols>
          <w:pgMar w:left="1440" w:top="274" w:right="1440" w:bottom="1440" w:gutter="0" w:footer="0" w:header="0"/>
        </w:sectPr>
      </w:pPr>
    </w:p>
    <w:bookmarkStart w:id="133" w:name="page134"/>
    <w:bookmarkEnd w:id="133"/>
    <w:p>
      <w:pPr>
        <w:jc w:val="center"/>
        <w:ind w:left="9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IV</w:t>
      </w:r>
    </w:p>
    <w:p>
      <w:pPr>
        <w:spacing w:after="0" w:line="23"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Certificate</w:t>
      </w:r>
    </w:p>
    <w:p>
      <w:pPr>
        <w:spacing w:after="0" w:line="247" w:lineRule="exact"/>
        <w:rPr>
          <w:sz w:val="20"/>
          <w:szCs w:val="20"/>
          <w:color w:val="auto"/>
        </w:rPr>
      </w:pPr>
    </w:p>
    <w:p>
      <w:pPr>
        <w:ind w:left="460"/>
        <w:spacing w:after="0"/>
        <w:tabs>
          <w:tab w:leader="none" w:pos="4540" w:val="left"/>
          <w:tab w:leader="none" w:pos="8020" w:val="left"/>
        </w:tabs>
        <w:rPr>
          <w:sz w:val="20"/>
          <w:szCs w:val="20"/>
          <w:color w:val="auto"/>
        </w:rPr>
      </w:pPr>
      <w:r>
        <w:rPr>
          <w:rFonts w:ascii="Arial" w:cs="Arial" w:eastAsia="Arial" w:hAnsi="Arial"/>
          <w:sz w:val="14"/>
          <w:szCs w:val="14"/>
          <w:u w:val="single" w:color="auto"/>
          <w:color w:val="auto"/>
        </w:rPr>
        <w:t>Name of Officer</w:t>
      </w:r>
      <w:r>
        <w:rPr>
          <w:sz w:val="20"/>
          <w:szCs w:val="20"/>
          <w:color w:val="auto"/>
        </w:rPr>
        <w:tab/>
      </w:r>
      <w:r>
        <w:rPr>
          <w:rFonts w:ascii="Arial" w:cs="Arial" w:eastAsia="Arial" w:hAnsi="Arial"/>
          <w:sz w:val="14"/>
          <w:szCs w:val="14"/>
          <w:u w:val="single" w:color="auto"/>
          <w:color w:val="auto"/>
        </w:rPr>
        <w:t>Office</w:t>
      </w:r>
      <w:r>
        <w:rPr>
          <w:sz w:val="20"/>
          <w:szCs w:val="20"/>
          <w:color w:val="auto"/>
        </w:rPr>
        <w:tab/>
      </w:r>
      <w:r>
        <w:rPr>
          <w:rFonts w:ascii="Arial" w:cs="Arial" w:eastAsia="Arial" w:hAnsi="Arial"/>
          <w:sz w:val="12"/>
          <w:szCs w:val="12"/>
          <w:u w:val="single" w:color="auto"/>
          <w:color w:val="auto"/>
        </w:rPr>
        <w:t>Signature</w:t>
      </w:r>
    </w:p>
    <w:p>
      <w:pPr>
        <w:sectPr>
          <w:pgSz w:w="11900" w:h="16838" w:orient="portrait"/>
          <w:cols w:equalWidth="0" w:num="1">
            <w:col w:w="9560"/>
          </w:cols>
          <w:pgMar w:left="1440" w:top="274" w:right="899" w:bottom="1440" w:gutter="0" w:footer="0" w:header="0"/>
        </w:sectPr>
      </w:pPr>
    </w:p>
    <w:bookmarkStart w:id="134" w:name="page135"/>
    <w:bookmarkEnd w:id="134"/>
    <w:p>
      <w:pPr>
        <w:jc w:val="center"/>
        <w:ind w:left="9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Agreement</w:t>
      </w: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ASSIGNMENT AND ASSUMPTION</w:t>
      </w:r>
    </w:p>
    <w:p>
      <w:pPr>
        <w:spacing w:after="0" w:line="225" w:lineRule="exact"/>
        <w:rPr>
          <w:sz w:val="20"/>
          <w:szCs w:val="20"/>
          <w:color w:val="auto"/>
        </w:rPr>
      </w:pPr>
    </w:p>
    <w:p>
      <w:pPr>
        <w:ind w:left="4" w:right="20" w:firstLine="440"/>
        <w:spacing w:after="0" w:line="256"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b w:val="1"/>
          <w:bCs w:val="1"/>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b w:val="1"/>
          <w:bCs w:val="1"/>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6"/>
          <w:szCs w:val="16"/>
          <w:b w:val="1"/>
          <w:bCs w:val="1"/>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1300" w:type="dxa"/>
            <w:vAlign w:val="bottom"/>
          </w:tcPr>
          <w:p>
            <w:pPr>
              <w:ind w:left="60"/>
              <w:spacing w:after="0"/>
              <w:rPr>
                <w:sz w:val="20"/>
                <w:szCs w:val="20"/>
                <w:color w:val="auto"/>
              </w:rPr>
            </w:pPr>
            <w:r>
              <w:rPr>
                <w:rFonts w:ascii="Arial" w:cs="Arial" w:eastAsia="Arial" w:hAnsi="Arial"/>
                <w:sz w:val="18"/>
                <w:szCs w:val="18"/>
                <w:color w:val="auto"/>
              </w:rPr>
              <w:t>Assignor:</w:t>
            </w:r>
          </w:p>
        </w:tc>
        <w:tc>
          <w:tcPr>
            <w:tcW w:w="3500" w:type="dxa"/>
            <w:vAlign w:val="bottom"/>
            <w:gridSpan w:val="2"/>
          </w:tcPr>
          <w:p>
            <w:pPr>
              <w:ind w:left="520"/>
              <w:spacing w:after="0"/>
              <w:rPr>
                <w:sz w:val="20"/>
                <w:szCs w:val="20"/>
                <w:color w:val="auto"/>
              </w:rPr>
            </w:pPr>
            <w:r>
              <w:rPr>
                <w:rFonts w:ascii="Arial" w:cs="Arial" w:eastAsia="Arial" w:hAnsi="Arial"/>
                <w:sz w:val="18"/>
                <w:szCs w:val="18"/>
                <w:color w:val="auto"/>
                <w:w w:val="99"/>
              </w:rPr>
              <w:t>                  </w:t>
            </w:r>
          </w:p>
        </w:tc>
      </w:tr>
      <w:tr>
        <w:trPr>
          <w:trHeight w:val="20"/>
        </w:trPr>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304"/>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300" w:type="dxa"/>
            <w:vAlign w:val="bottom"/>
          </w:tcPr>
          <w:p>
            <w:pPr>
              <w:ind w:left="60"/>
              <w:spacing w:after="0"/>
              <w:rPr>
                <w:sz w:val="20"/>
                <w:szCs w:val="20"/>
                <w:color w:val="auto"/>
              </w:rPr>
            </w:pPr>
            <w:r>
              <w:rPr>
                <w:rFonts w:ascii="Arial" w:cs="Arial" w:eastAsia="Arial" w:hAnsi="Arial"/>
                <w:sz w:val="18"/>
                <w:szCs w:val="18"/>
                <w:color w:val="auto"/>
              </w:rPr>
              <w:t>Assignee:</w:t>
            </w:r>
          </w:p>
        </w:tc>
        <w:tc>
          <w:tcPr>
            <w:tcW w:w="3500" w:type="dxa"/>
            <w:vAlign w:val="bottom"/>
            <w:gridSpan w:val="2"/>
          </w:tcPr>
          <w:p>
            <w:pPr>
              <w:ind w:left="520"/>
              <w:spacing w:after="0"/>
              <w:rPr>
                <w:sz w:val="20"/>
                <w:szCs w:val="20"/>
                <w:color w:val="auto"/>
              </w:rPr>
            </w:pPr>
            <w:r>
              <w:rPr>
                <w:rFonts w:ascii="Arial" w:cs="Arial" w:eastAsia="Arial" w:hAnsi="Arial"/>
                <w:sz w:val="18"/>
                <w:szCs w:val="18"/>
                <w:color w:val="auto"/>
                <w:w w:val="99"/>
              </w:rPr>
              <w:t>                  </w:t>
            </w:r>
          </w:p>
        </w:tc>
      </w:tr>
      <w:tr>
        <w:trPr>
          <w:trHeight w:val="20"/>
        </w:trPr>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2104"/>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77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9" w:lineRule="exact"/>
        <w:rPr>
          <w:sz w:val="20"/>
          <w:szCs w:val="20"/>
          <w:color w:val="auto"/>
        </w:rPr>
      </w:pPr>
    </w:p>
    <w:p>
      <w:pPr>
        <w:ind w:left="424" w:hanging="424"/>
        <w:spacing w:after="0"/>
        <w:tabs>
          <w:tab w:leader="none" w:pos="424" w:val="left"/>
        </w:tabs>
        <w:numPr>
          <w:ilvl w:val="0"/>
          <w:numId w:val="101"/>
        </w:numPr>
        <w:rPr>
          <w:rFonts w:ascii="Arial" w:cs="Arial" w:eastAsia="Arial" w:hAnsi="Arial"/>
          <w:sz w:val="27"/>
          <w:szCs w:val="27"/>
          <w:color w:val="auto"/>
          <w:vertAlign w:val="superscript"/>
        </w:rPr>
      </w:pPr>
      <w:r>
        <w:rPr>
          <w:rFonts w:ascii="Arial" w:cs="Arial" w:eastAsia="Arial" w:hAnsi="Arial"/>
          <w:sz w:val="18"/>
          <w:szCs w:val="18"/>
          <w:color w:val="auto"/>
        </w:rPr>
        <w:t>Select as applicable.</w:t>
      </w:r>
    </w:p>
    <w:p>
      <w:pPr>
        <w:sectPr>
          <w:pgSz w:w="11900" w:h="16838" w:orient="portrait"/>
          <w:cols w:equalWidth="0" w:num="1">
            <w:col w:w="11004"/>
          </w:cols>
          <w:pgMar w:left="436" w:top="270" w:right="459" w:bottom="1440" w:gutter="0" w:footer="0" w:header="0"/>
        </w:sectPr>
      </w:pPr>
    </w:p>
    <w:bookmarkStart w:id="135" w:name="page136"/>
    <w:bookmarkEnd w:id="135"/>
    <w:p>
      <w:pPr>
        <w:ind w:left="244" w:hanging="244"/>
        <w:spacing w:after="0"/>
        <w:tabs>
          <w:tab w:leader="none" w:pos="2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Borrower(s):</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Administrative Agent:   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-190500</wp:posOffset>
            </wp:positionV>
            <wp:extent cx="57264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9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Credit Agreement:</w:t>
            </w:r>
          </w:p>
        </w:tc>
        <w:tc>
          <w:tcPr>
            <w:tcW w:w="8920" w:type="dxa"/>
            <w:vAlign w:val="bottom"/>
            <w:gridSpan w:val="10"/>
          </w:tcPr>
          <w:p>
            <w:pPr>
              <w:ind w:left="140"/>
              <w:spacing w:after="0"/>
              <w:rPr>
                <w:sz w:val="20"/>
                <w:szCs w:val="20"/>
                <w:color w:val="auto"/>
              </w:rPr>
            </w:pPr>
            <w:r>
              <w:rPr>
                <w:rFonts w:ascii="Arial" w:cs="Arial" w:eastAsia="Arial" w:hAnsi="Arial"/>
                <w:sz w:val="18"/>
                <w:szCs w:val="18"/>
                <w:color w:val="auto"/>
                <w:w w:val="92"/>
              </w:rPr>
              <w:t>The 364-Day Revolving Credit Agreement, dated as of October 3, 2023 (as amended, restated, amended and restated,</w:t>
            </w:r>
          </w:p>
        </w:tc>
      </w:tr>
      <w:tr>
        <w:trPr>
          <w:trHeight w:val="190"/>
        </w:trPr>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920" w:type="dxa"/>
            <w:vAlign w:val="bottom"/>
            <w:gridSpan w:val="10"/>
          </w:tcPr>
          <w:p>
            <w:pPr>
              <w:ind w:left="140"/>
              <w:spacing w:after="0" w:line="190" w:lineRule="exact"/>
              <w:rPr>
                <w:sz w:val="20"/>
                <w:szCs w:val="20"/>
                <w:color w:val="auto"/>
              </w:rPr>
            </w:pPr>
            <w:r>
              <w:rPr>
                <w:rFonts w:ascii="Arial" w:cs="Arial" w:eastAsia="Arial" w:hAnsi="Arial"/>
                <w:sz w:val="18"/>
                <w:szCs w:val="18"/>
                <w:color w:val="auto"/>
                <w:w w:val="95"/>
              </w:rPr>
              <w:t>renewed, supplemented or modified from time to time, the “Credit Agreement”), among General Motors Company, a</w:t>
            </w:r>
          </w:p>
        </w:tc>
      </w:tr>
      <w:tr>
        <w:trPr>
          <w:trHeight w:val="20"/>
        </w:trPr>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20" w:type="dxa"/>
            <w:vAlign w:val="bottom"/>
            <w:gridSpan w:val="10"/>
          </w:tcPr>
          <w:p>
            <w:pPr>
              <w:ind w:left="140"/>
              <w:spacing w:after="0" w:line="196" w:lineRule="exact"/>
              <w:rPr>
                <w:sz w:val="20"/>
                <w:szCs w:val="20"/>
                <w:color w:val="auto"/>
              </w:rPr>
            </w:pPr>
            <w:r>
              <w:rPr>
                <w:rFonts w:ascii="Arial" w:cs="Arial" w:eastAsia="Arial" w:hAnsi="Arial"/>
                <w:sz w:val="18"/>
                <w:szCs w:val="18"/>
                <w:color w:val="auto"/>
                <w:w w:val="91"/>
              </w:rPr>
              <w:t>Delaware corporation (together with its successors and permitted assigns, the “Company”), the lenders from time to time</w:t>
            </w:r>
          </w:p>
        </w:tc>
      </w:tr>
      <w:tr>
        <w:trPr>
          <w:trHeight w:val="20"/>
        </w:trPr>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20" w:type="dxa"/>
            <w:vAlign w:val="bottom"/>
            <w:gridSpan w:val="10"/>
          </w:tcPr>
          <w:p>
            <w:pPr>
              <w:ind w:left="140"/>
              <w:spacing w:after="0"/>
              <w:rPr>
                <w:sz w:val="20"/>
                <w:szCs w:val="20"/>
                <w:color w:val="auto"/>
              </w:rPr>
            </w:pPr>
            <w:r>
              <w:rPr>
                <w:rFonts w:ascii="Arial" w:cs="Arial" w:eastAsia="Arial" w:hAnsi="Arial"/>
                <w:sz w:val="18"/>
                <w:szCs w:val="18"/>
                <w:color w:val="auto"/>
                <w:w w:val="91"/>
              </w:rPr>
              <w:t>party thereto, JPMorgan Chase Bank, N.A. for the Lenders, as administrative agent, Citibank, N.A., as syndication agent,</w:t>
            </w:r>
          </w:p>
        </w:tc>
      </w:tr>
      <w:tr>
        <w:trPr>
          <w:trHeight w:val="216"/>
        </w:trPr>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20" w:type="dxa"/>
            <w:vAlign w:val="bottom"/>
            <w:gridSpan w:val="10"/>
          </w:tcPr>
          <w:p>
            <w:pPr>
              <w:ind w:left="140"/>
              <w:spacing w:after="0"/>
              <w:rPr>
                <w:sz w:val="20"/>
                <w:szCs w:val="20"/>
                <w:color w:val="auto"/>
              </w:rPr>
            </w:pPr>
            <w:r>
              <w:rPr>
                <w:rFonts w:ascii="Arial" w:cs="Arial" w:eastAsia="Arial" w:hAnsi="Arial"/>
                <w:sz w:val="18"/>
                <w:szCs w:val="18"/>
                <w:color w:val="auto"/>
                <w:w w:val="88"/>
              </w:rPr>
              <w:t>and the other agents party thereto. Unless otherwise defined herein, terms used herein have the meanings assigned to such</w:t>
            </w:r>
          </w:p>
        </w:tc>
      </w:tr>
      <w:tr>
        <w:trPr>
          <w:trHeight w:val="230"/>
        </w:trPr>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terms in the Credit Agreement.</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Assigned Interest:</w:t>
            </w:r>
          </w:p>
        </w:tc>
        <w:tc>
          <w:tcPr>
            <w:tcW w:w="3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Aggregate Amount of</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jc w:val="center"/>
              <w:ind w:right="1120"/>
              <w:spacing w:after="0"/>
              <w:rPr>
                <w:sz w:val="20"/>
                <w:szCs w:val="20"/>
                <w:color w:val="auto"/>
              </w:rPr>
            </w:pPr>
            <w:r>
              <w:rPr>
                <w:rFonts w:ascii="Arial" w:cs="Arial" w:eastAsia="Arial" w:hAnsi="Arial"/>
                <w:sz w:val="14"/>
                <w:szCs w:val="14"/>
                <w:color w:val="auto"/>
              </w:rPr>
              <w:t>Amount of</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8"/>
        </w:trPr>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Commitment/Loans for</w:t>
            </w:r>
          </w:p>
        </w:tc>
        <w:tc>
          <w:tcPr>
            <w:tcW w:w="940" w:type="dxa"/>
            <w:vAlign w:val="bottom"/>
          </w:tcPr>
          <w:p>
            <w:pPr>
              <w:spacing w:after="0"/>
              <w:rPr>
                <w:sz w:val="12"/>
                <w:szCs w:val="12"/>
                <w:color w:val="auto"/>
              </w:rPr>
            </w:pPr>
          </w:p>
        </w:tc>
        <w:tc>
          <w:tcPr>
            <w:tcW w:w="2060" w:type="dxa"/>
            <w:vAlign w:val="bottom"/>
            <w:gridSpan w:val="5"/>
          </w:tcPr>
          <w:p>
            <w:pPr>
              <w:spacing w:after="0" w:line="149" w:lineRule="exact"/>
              <w:rPr>
                <w:sz w:val="20"/>
                <w:szCs w:val="20"/>
                <w:color w:val="auto"/>
              </w:rPr>
            </w:pPr>
            <w:r>
              <w:rPr>
                <w:rFonts w:ascii="Arial" w:cs="Arial" w:eastAsia="Arial" w:hAnsi="Arial"/>
                <w:sz w:val="14"/>
                <w:szCs w:val="14"/>
                <w:color w:val="auto"/>
              </w:rPr>
              <w:t>Commitment/Loans</w:t>
            </w:r>
          </w:p>
        </w:tc>
        <w:tc>
          <w:tcPr>
            <w:tcW w:w="2600" w:type="dxa"/>
            <w:vAlign w:val="bottom"/>
            <w:gridSpan w:val="3"/>
          </w:tcPr>
          <w:p>
            <w:pPr>
              <w:jc w:val="right"/>
              <w:ind w:right="1240"/>
              <w:spacing w:after="0" w:line="149" w:lineRule="exact"/>
              <w:rPr>
                <w:sz w:val="20"/>
                <w:szCs w:val="20"/>
                <w:color w:val="auto"/>
              </w:rPr>
            </w:pPr>
            <w:r>
              <w:rPr>
                <w:rFonts w:ascii="Arial" w:cs="Arial" w:eastAsia="Arial" w:hAnsi="Arial"/>
                <w:sz w:val="14"/>
                <w:szCs w:val="14"/>
                <w:color w:val="auto"/>
                <w:w w:val="90"/>
              </w:rPr>
              <w:t>Percentage Assigned of</w:t>
            </w:r>
          </w:p>
        </w:tc>
      </w:tr>
      <w:tr>
        <w:trPr>
          <w:trHeight w:val="182"/>
        </w:trPr>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all Lenders</w:t>
            </w:r>
          </w:p>
        </w:tc>
        <w:tc>
          <w:tcPr>
            <w:tcW w:w="3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jc w:val="center"/>
              <w:ind w:right="1120"/>
              <w:spacing w:after="0"/>
              <w:rPr>
                <w:sz w:val="20"/>
                <w:szCs w:val="20"/>
                <w:color w:val="auto"/>
              </w:rPr>
            </w:pPr>
            <w:r>
              <w:rPr>
                <w:rFonts w:ascii="Arial" w:cs="Arial" w:eastAsia="Arial" w:hAnsi="Arial"/>
                <w:sz w:val="14"/>
                <w:szCs w:val="14"/>
                <w:color w:val="auto"/>
                <w:w w:val="90"/>
              </w:rPr>
              <w:t>Assigned</w:t>
            </w:r>
          </w:p>
        </w:tc>
        <w:tc>
          <w:tcPr>
            <w:tcW w:w="2600" w:type="dxa"/>
            <w:vAlign w:val="bottom"/>
            <w:gridSpan w:val="3"/>
          </w:tcPr>
          <w:p>
            <w:pPr>
              <w:ind w:left="80"/>
              <w:spacing w:after="0"/>
              <w:rPr>
                <w:sz w:val="20"/>
                <w:szCs w:val="20"/>
                <w:color w:val="auto"/>
              </w:rPr>
            </w:pPr>
            <w:r>
              <w:rPr>
                <w:rFonts w:ascii="Arial" w:cs="Arial" w:eastAsia="Arial" w:hAnsi="Arial"/>
                <w:sz w:val="14"/>
                <w:szCs w:val="14"/>
                <w:color w:val="auto"/>
              </w:rPr>
              <w:t>Commitment/Loans</w:t>
            </w:r>
            <w:r>
              <w:rPr>
                <w:rFonts w:ascii="Arial" w:cs="Arial" w:eastAsia="Arial" w:hAnsi="Arial"/>
                <w:sz w:val="10"/>
                <w:szCs w:val="10"/>
                <w:color w:val="auto"/>
              </w:rPr>
              <w:t>2</w:t>
            </w:r>
          </w:p>
        </w:tc>
      </w:tr>
      <w:tr>
        <w:trPr>
          <w:trHeight w:val="203"/>
        </w:trPr>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right w:val="single" w:sz="8" w:color="CCEEFF"/>
            </w:tcBorders>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18"/>
                <w:szCs w:val="18"/>
                <w:color w:val="auto"/>
              </w:rPr>
            </w:pPr>
          </w:p>
        </w:tc>
        <w:tc>
          <w:tcPr>
            <w:tcW w:w="11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RECORDATION OF TRANSFER IN THE REGISTER THEREFOR.]</w:t>
      </w:r>
    </w:p>
    <w:p>
      <w:pPr>
        <w:spacing w:after="0" w:line="21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71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1" w:lineRule="exact"/>
        <w:rPr>
          <w:sz w:val="20"/>
          <w:szCs w:val="20"/>
          <w:color w:val="auto"/>
        </w:rPr>
      </w:pPr>
    </w:p>
    <w:p>
      <w:pPr>
        <w:ind w:left="424" w:hanging="424"/>
        <w:spacing w:after="0"/>
        <w:tabs>
          <w:tab w:leader="none" w:pos="424" w:val="left"/>
        </w:tabs>
        <w:numPr>
          <w:ilvl w:val="0"/>
          <w:numId w:val="103"/>
        </w:numPr>
        <w:rPr>
          <w:rFonts w:ascii="Arial" w:cs="Arial" w:eastAsia="Arial" w:hAnsi="Arial"/>
          <w:sz w:val="27"/>
          <w:szCs w:val="27"/>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sectPr>
          <w:pgSz w:w="11900" w:h="16838" w:orient="portrait"/>
          <w:cols w:equalWidth="0" w:num="1">
            <w:col w:w="10884"/>
          </w:cols>
          <w:pgMar w:left="436" w:top="274" w:right="579" w:bottom="1440" w:gutter="0" w:footer="0" w:header="0"/>
        </w:sectPr>
      </w:pPr>
    </w:p>
    <w:bookmarkStart w:id="136" w:name="page137"/>
    <w:bookmarkEnd w:id="13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set forth in this Assignment and Assumption are hereby agreed to:</w:t>
      </w: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ASSIGNOR</w:t>
      </w:r>
    </w:p>
    <w:p>
      <w:pPr>
        <w:spacing w:after="0" w:line="2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ASSIGNOR]</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ASSIGNEE</w:t>
      </w:r>
    </w:p>
    <w:p>
      <w:pPr>
        <w:spacing w:after="0" w:line="2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ASSIGNEE]</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 and Accepted: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 as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r>
        <w:rPr>
          <w:rFonts w:ascii="Arial" w:cs="Arial" w:eastAsia="Arial" w:hAnsi="Arial"/>
          <w:sz w:val="26"/>
          <w:szCs w:val="26"/>
          <w:color w:val="auto"/>
          <w:vertAlign w:val="superscript"/>
        </w:rPr>
        <w:t>3</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GENERAL MOTORS COMPANY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9" w:lineRule="exact"/>
        <w:rPr>
          <w:sz w:val="20"/>
          <w:szCs w:val="20"/>
          <w:color w:val="auto"/>
        </w:rPr>
      </w:pPr>
    </w:p>
    <w:p>
      <w:pPr>
        <w:jc w:val="both"/>
        <w:ind w:left="424" w:hanging="424"/>
        <w:spacing w:after="0" w:line="258" w:lineRule="auto"/>
        <w:tabs>
          <w:tab w:leader="none" w:pos="424" w:val="left"/>
        </w:tabs>
        <w:numPr>
          <w:ilvl w:val="0"/>
          <w:numId w:val="104"/>
        </w:numPr>
        <w:rPr>
          <w:rFonts w:ascii="Arial" w:cs="Arial" w:eastAsia="Arial" w:hAnsi="Arial"/>
          <w:sz w:val="24"/>
          <w:szCs w:val="24"/>
          <w:color w:val="auto"/>
          <w:vertAlign w:val="superscript"/>
        </w:rPr>
      </w:pPr>
      <w:r>
        <w:rPr>
          <w:rFonts w:ascii="Arial" w:cs="Arial" w:eastAsia="Arial" w:hAnsi="Arial"/>
          <w:sz w:val="16"/>
          <w:szCs w:val="16"/>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24"/>
          </w:cols>
          <w:pgMar w:left="436" w:top="274" w:right="539" w:bottom="1440" w:gutter="0" w:footer="0" w:header="0"/>
        </w:sectPr>
      </w:pPr>
    </w:p>
    <w:bookmarkStart w:id="137" w:name="page138"/>
    <w:bookmarkEnd w:id="137"/>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TERMS AND CONDITIONS FOR</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624" w:hanging="184"/>
        <w:spacing w:after="0"/>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6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ind w:left="4" w:hanging="4"/>
        <w:spacing w:after="0" w:line="284" w:lineRule="auto"/>
        <w:tabs>
          <w:tab w:leader="none" w:pos="26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thereof (or, if none of such financial statements shall have then been delivered or deemed delivered, then copies of the financial statements referred to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ectPr>
          <w:pgSz w:w="11900" w:h="16838" w:orient="portrait"/>
          <w:cols w:equalWidth="0" w:num="1">
            <w:col w:w="10984"/>
          </w:cols>
          <w:pgMar w:left="436" w:top="274" w:right="479" w:bottom="1440" w:gutter="0" w:footer="0" w:header="0"/>
        </w:sectPr>
      </w:pPr>
    </w:p>
    <w:bookmarkStart w:id="138" w:name="page139"/>
    <w:bookmarkEnd w:id="138"/>
    <w:p>
      <w:pPr>
        <w:jc w:val="both"/>
        <w:ind w:left="-436" w:right="100" w:firstLine="436"/>
        <w:spacing w:after="0" w:line="263" w:lineRule="auto"/>
        <w:tabs>
          <w:tab w:leader="none" w:pos="184"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w:t>
      </w:r>
      <w:r>
        <w:rPr>
          <w:rFonts w:ascii="Arial" w:cs="Arial" w:eastAsia="Arial" w:hAnsi="Arial"/>
          <w:sz w:val="18"/>
          <w:szCs w:val="18"/>
          <w:color w:val="auto"/>
        </w:rPr>
        <w:t>. From and after the Effective Date, the Administrative Agent shall make all payments in respect of the Assigned Interest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pacing w:after="0" w:line="183" w:lineRule="exact"/>
        <w:rPr>
          <w:rFonts w:ascii="Arial" w:cs="Arial" w:eastAsia="Arial" w:hAnsi="Arial"/>
          <w:sz w:val="18"/>
          <w:szCs w:val="18"/>
          <w:color w:val="auto"/>
        </w:rPr>
      </w:pPr>
    </w:p>
    <w:p>
      <w:pPr>
        <w:ind w:left="-436" w:firstLine="436"/>
        <w:spacing w:after="0" w:line="255" w:lineRule="auto"/>
        <w:tabs>
          <w:tab w:leader="none" w:pos="184"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504"/>
          </w:cols>
          <w:pgMar w:left="876" w:top="274" w:right="519" w:bottom="1440" w:gutter="0" w:footer="0" w:header="0"/>
        </w:sectPr>
      </w:pPr>
    </w:p>
    <w:bookmarkStart w:id="139" w:name="page140"/>
    <w:bookmarkEnd w:id="139"/>
    <w:p>
      <w:pPr>
        <w:jc w:val="center"/>
        <w:ind w:left="9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6"/>
          <w:szCs w:val="16"/>
          <w:b w:val="1"/>
          <w:bCs w:val="1"/>
          <w:color w:val="auto"/>
        </w:rPr>
        <w:t>Credit Agreement</w:t>
      </w:r>
    </w:p>
    <w:p>
      <w:pPr>
        <w:spacing w:after="0" w:line="24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9820"/>
          </w:cols>
          <w:pgMar w:left="1440" w:top="270" w:right="639" w:bottom="1440" w:gutter="0" w:footer="0" w:header="0"/>
        </w:sectPr>
      </w:pPr>
    </w:p>
    <w:bookmarkStart w:id="140" w:name="page141"/>
    <w:bookmarkEnd w:id="140"/>
    <w:p>
      <w:pPr>
        <w:jc w:val="center"/>
        <w:ind w:left="9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I-1</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[FORM OF]</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U.S. TAX COMPLIANCE CERTIFICATE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hereby made to the 364-Day Revolving Credit Agreement, dated as of October 3, 2023 (as amended, restated, amended and restated,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JPMorgan Chase Bank, N.A., as administrative agent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and the other agents party thereto. Unless otherwise defined herein, terms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and used herein shall have the meanings given to them in the Credit Agreement.</w:t>
      </w:r>
    </w:p>
    <w:p>
      <w:pPr>
        <w:spacing w:after="0" w:line="21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940"/>
          </w:cols>
          <w:pgMar w:left="440" w:top="270" w:right="519" w:bottom="1440" w:gutter="0" w:footer="0" w:header="0"/>
        </w:sectPr>
      </w:pPr>
    </w:p>
    <w:bookmarkStart w:id="141" w:name="page142"/>
    <w:bookmarkEnd w:id="14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8566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ectPr>
          <w:pgSz w:w="11900" w:h="16838" w:orient="portrait"/>
          <w:cols w:equalWidth="0" w:num="1">
            <w:col w:w="10540"/>
          </w:cols>
          <w:pgMar w:left="440" w:top="274" w:right="919" w:bottom="1440" w:gutter="0" w:footer="0" w:header="0"/>
        </w:sectPr>
      </w:pPr>
    </w:p>
    <w:bookmarkStart w:id="142" w:name="page143"/>
    <w:bookmarkEnd w:id="142"/>
    <w:p>
      <w:pPr>
        <w:jc w:val="center"/>
        <w:ind w:left="9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I-2</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Credit Agreement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TAX COMPLIANCE CERTIFICATE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hereby made to the 364-Day Revolving Credit Agreement, dated as of October 3, 2023 (as amended, restated, amended and restated,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JPMorgan Chase Bank, N.A., as administrative agent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and the other agents party thereto. Unless otherwise defined herein, terms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and used herein shall have the meanings given to them in the Credit Agreement.</w:t>
      </w:r>
    </w:p>
    <w:p>
      <w:pPr>
        <w:spacing w:after="0" w:line="211"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7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70" w:right="459" w:bottom="1440" w:gutter="0" w:footer="0" w:header="0"/>
        </w:sectPr>
      </w:pPr>
    </w:p>
    <w:bookmarkStart w:id="143" w:name="page144"/>
    <w:bookmarkEnd w:id="14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 20</w:t>
      </w: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540"/>
          </w:cols>
          <w:pgMar w:left="440" w:top="274" w:right="919" w:bottom="1440" w:gutter="0" w:footer="0" w:header="0"/>
        </w:sectPr>
      </w:pPr>
    </w:p>
    <w:bookmarkStart w:id="144" w:name="page145"/>
    <w:bookmarkEnd w:id="144"/>
    <w:p>
      <w:pPr>
        <w:jc w:val="center"/>
        <w:ind w:left="9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I-3</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Credit Agreement</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[FORM OF]</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U.S. TAX COMPLIANCE CERTIFICATE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hereby made to the 364-Day Revolving Credit Agreement, dated as of October 3, 2023 (as amended, restated, amended and restated,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JPMorgan Chase Bank, N.A., as administrative agent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and the other agents party thereto. Unless otherwise defined herein, terms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and used herein shall have the meanings given to them in the Credit Agreement.</w:t>
      </w:r>
    </w:p>
    <w:p>
      <w:pPr>
        <w:spacing w:after="0" w:line="211"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20"/>
          </w:cols>
          <w:pgMar w:left="440" w:top="270" w:right="539" w:bottom="1440" w:gutter="0" w:footer="0" w:header="0"/>
        </w:sectPr>
      </w:pPr>
    </w:p>
    <w:bookmarkStart w:id="145" w:name="page146"/>
    <w:bookmarkEnd w:id="1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 20</w:t>
      </w: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540"/>
          </w:cols>
          <w:pgMar w:left="440" w:top="274" w:right="919" w:bottom="1440" w:gutter="0" w:footer="0" w:header="0"/>
        </w:sectPr>
      </w:pPr>
    </w:p>
    <w:bookmarkStart w:id="146" w:name="page147"/>
    <w:bookmarkEnd w:id="146"/>
    <w:p>
      <w:pPr>
        <w:jc w:val="center"/>
        <w:ind w:left="9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I-4</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Credit Agreement</w:t>
      </w:r>
    </w:p>
    <w:p>
      <w:pPr>
        <w:spacing w:after="0" w:line="2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[FORM OF]</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U.S. TAX COMPLIANCE CERTIFICATE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hereby made to the 364-Day Revolving Credit Agreement, dated as of October 3, 2023 (as amended, restated, amended and restated,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JPMorgan Chase Bank, N.A., as administrative agent (in such capacity,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and the other agents party thereto. Unless otherwise defined herein, terms defined in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Credit Agreement and used herein shall have the meanings given to them in the Credit Agreement.</w:t>
      </w:r>
    </w:p>
    <w:p>
      <w:pPr>
        <w:spacing w:after="0" w:line="211"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direct or indirect partners/members that is claiming the portfolio interest exception: (i) an IRS Form W-8BEN or IRS Form W-8BEN-E, as applicable, or</w:t>
      </w:r>
    </w:p>
    <w:p>
      <w:pPr>
        <w:spacing w:after="0" w:line="32" w:lineRule="exact"/>
        <w:rPr>
          <w:sz w:val="20"/>
          <w:szCs w:val="20"/>
          <w:color w:val="auto"/>
        </w:rPr>
      </w:pPr>
    </w:p>
    <w:p>
      <w:pPr>
        <w:ind w:left="4" w:right="20" w:hanging="4"/>
        <w:spacing w:after="0" w:line="252" w:lineRule="auto"/>
        <w:tabs>
          <w:tab w:leader="none" w:pos="26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94"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ectPr>
          <w:pgSz w:w="11900" w:h="16838" w:orient="portrait"/>
          <w:cols w:equalWidth="0" w:num="1">
            <w:col w:w="11004"/>
          </w:cols>
          <w:pgMar w:left="436" w:top="270" w:right="45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PARTICIPANT]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 20</w:t>
      </w: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571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EXHIBIT J</w:t>
            </w:r>
          </w:p>
        </w:tc>
      </w:tr>
      <w:tr>
        <w:trPr>
          <w:trHeight w:val="216"/>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Credit Agreement</w:t>
            </w:r>
          </w:p>
        </w:tc>
      </w:tr>
      <w:tr>
        <w:trPr>
          <w:trHeight w:val="445"/>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80" w:type="dxa"/>
            <w:vAlign w:val="bottom"/>
            <w:gridSpan w:val="27"/>
          </w:tcPr>
          <w:p>
            <w:pPr>
              <w:ind w:left="160"/>
              <w:spacing w:after="0"/>
              <w:rPr>
                <w:sz w:val="20"/>
                <w:szCs w:val="20"/>
                <w:color w:val="auto"/>
              </w:rPr>
            </w:pPr>
            <w:r>
              <w:rPr>
                <w:rFonts w:ascii="Arial" w:cs="Arial" w:eastAsia="Arial" w:hAnsi="Arial"/>
                <w:sz w:val="18"/>
                <w:szCs w:val="18"/>
                <w:b w:val="1"/>
                <w:bCs w:val="1"/>
                <w:color w:val="auto"/>
              </w:rPr>
              <w:t>FORM OF COMPLIANCE CERTIFICATE</w:t>
            </w:r>
          </w:p>
        </w:tc>
      </w:tr>
      <w:tr>
        <w:trPr>
          <w:trHeight w:val="432"/>
        </w:trPr>
        <w:tc>
          <w:tcPr>
            <w:tcW w:w="540" w:type="dxa"/>
            <w:vAlign w:val="bottom"/>
          </w:tcPr>
          <w:p>
            <w:pPr>
              <w:spacing w:after="0"/>
              <w:rPr>
                <w:sz w:val="24"/>
                <w:szCs w:val="24"/>
                <w:color w:val="auto"/>
              </w:rPr>
            </w:pPr>
          </w:p>
        </w:tc>
        <w:tc>
          <w:tcPr>
            <w:tcW w:w="10480" w:type="dxa"/>
            <w:vAlign w:val="bottom"/>
            <w:gridSpan w:val="35"/>
          </w:tcPr>
          <w:p>
            <w:pPr>
              <w:ind w:left="8860"/>
              <w:spacing w:after="0"/>
              <w:rPr>
                <w:sz w:val="20"/>
                <w:szCs w:val="20"/>
                <w:color w:val="auto"/>
              </w:rPr>
            </w:pPr>
            <w:r>
              <w:rPr>
                <w:rFonts w:ascii="Arial" w:cs="Arial" w:eastAsia="Arial" w:hAnsi="Arial"/>
                <w:sz w:val="18"/>
                <w:szCs w:val="18"/>
                <w:color w:val="auto"/>
                <w:w w:val="88"/>
              </w:rPr>
              <w:t>_____________, 20__</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To:</w:t>
            </w:r>
          </w:p>
        </w:tc>
        <w:tc>
          <w:tcPr>
            <w:tcW w:w="10480" w:type="dxa"/>
            <w:vAlign w:val="bottom"/>
            <w:gridSpan w:val="35"/>
          </w:tcPr>
          <w:p>
            <w:pPr>
              <w:spacing w:after="0"/>
              <w:rPr>
                <w:sz w:val="20"/>
                <w:szCs w:val="20"/>
                <w:color w:val="auto"/>
              </w:rPr>
            </w:pPr>
            <w:r>
              <w:rPr>
                <w:rFonts w:ascii="Arial" w:cs="Arial" w:eastAsia="Arial" w:hAnsi="Arial"/>
                <w:sz w:val="18"/>
                <w:szCs w:val="18"/>
                <w:color w:val="auto"/>
              </w:rPr>
              <w:t>JPMorgan Chase Bank, N.A., as Administrative Agent under the Credit Agreements referred to below</w:t>
            </w:r>
          </w:p>
        </w:tc>
      </w:tr>
      <w:tr>
        <w:trPr>
          <w:trHeight w:val="323"/>
        </w:trPr>
        <w:tc>
          <w:tcPr>
            <w:tcW w:w="540" w:type="dxa"/>
            <w:vAlign w:val="bottom"/>
          </w:tcPr>
          <w:p>
            <w:pPr>
              <w:spacing w:after="0"/>
              <w:rPr>
                <w:sz w:val="20"/>
                <w:szCs w:val="20"/>
                <w:color w:val="auto"/>
              </w:rPr>
            </w:pPr>
            <w:r>
              <w:rPr>
                <w:rFonts w:ascii="Arial" w:cs="Arial" w:eastAsia="Arial" w:hAnsi="Arial"/>
                <w:sz w:val="18"/>
                <w:szCs w:val="18"/>
                <w:color w:val="auto"/>
              </w:rPr>
              <w:t>Re:</w:t>
            </w:r>
          </w:p>
        </w:tc>
        <w:tc>
          <w:tcPr>
            <w:tcW w:w="10480" w:type="dxa"/>
            <w:vAlign w:val="bottom"/>
            <w:gridSpan w:val="35"/>
          </w:tcPr>
          <w:p>
            <w:pPr>
              <w:spacing w:after="0"/>
              <w:rPr>
                <w:sz w:val="20"/>
                <w:szCs w:val="20"/>
                <w:color w:val="auto"/>
              </w:rPr>
            </w:pPr>
            <w:r>
              <w:rPr>
                <w:rFonts w:ascii="Arial" w:cs="Arial" w:eastAsia="Arial" w:hAnsi="Arial"/>
                <w:sz w:val="18"/>
                <w:szCs w:val="18"/>
                <w:color w:val="auto"/>
                <w:w w:val="91"/>
              </w:rPr>
              <w:t>(i) the Fifth Amended and Restated Three Year Revolving Credit Agreement, dated as of March 31, 2023 (as amended, restated, amended and</w:t>
            </w:r>
          </w:p>
        </w:tc>
      </w:tr>
      <w:tr>
        <w:trPr>
          <w:trHeight w:val="190"/>
        </w:trPr>
        <w:tc>
          <w:tcPr>
            <w:tcW w:w="540" w:type="dxa"/>
            <w:vAlign w:val="bottom"/>
          </w:tcPr>
          <w:p>
            <w:pPr>
              <w:spacing w:after="0"/>
              <w:rPr>
                <w:sz w:val="16"/>
                <w:szCs w:val="16"/>
                <w:color w:val="auto"/>
              </w:rPr>
            </w:pPr>
          </w:p>
        </w:tc>
        <w:tc>
          <w:tcPr>
            <w:tcW w:w="10480" w:type="dxa"/>
            <w:vAlign w:val="bottom"/>
            <w:gridSpan w:val="35"/>
          </w:tcPr>
          <w:p>
            <w:pPr>
              <w:spacing w:after="0" w:line="190" w:lineRule="exact"/>
              <w:rPr>
                <w:sz w:val="20"/>
                <w:szCs w:val="20"/>
                <w:color w:val="auto"/>
              </w:rPr>
            </w:pPr>
            <w:r>
              <w:rPr>
                <w:rFonts w:ascii="Arial" w:cs="Arial" w:eastAsia="Arial" w:hAnsi="Arial"/>
                <w:sz w:val="18"/>
                <w:szCs w:val="18"/>
                <w:color w:val="auto"/>
                <w:w w:val="94"/>
              </w:rPr>
              <w:t>restated, renewed, supplemented or modified from time to time, the “3-Year Credit Agreement”), among General Motors Company (together</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7"/>
              </w:rPr>
              <w:t>with its successors and permitted assigns, the “Company”), General Motors Financial Company, Inc., a Texas corporation (“GMF”), the</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2"/>
              </w:rPr>
              <w:t>Subsidiary Borrowers from time to time party thereto, the lenders from time to time party thereto, as lenders (the “3-Year Lenders”), JPMorgan</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6"/>
              </w:rPr>
              <w:t>Chase Bank, N.A. (“JPM”), as administrative agent for the 3-Year Lenders (in such capacity, together with any successor thereto in such</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5"/>
              </w:rPr>
              <w:t>capacity, the “3-Year Administrative Agent”), Citibank, N.A., as syndication agent (in such capacity, the “Syndication Agent”), and the other</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480" w:type="dxa"/>
            <w:vAlign w:val="bottom"/>
            <w:gridSpan w:val="35"/>
          </w:tcPr>
          <w:p>
            <w:pPr>
              <w:spacing w:after="0"/>
              <w:rPr>
                <w:sz w:val="20"/>
                <w:szCs w:val="20"/>
                <w:color w:val="auto"/>
              </w:rPr>
            </w:pPr>
            <w:r>
              <w:rPr>
                <w:rFonts w:ascii="Arial" w:cs="Arial" w:eastAsia="Arial" w:hAnsi="Arial"/>
                <w:sz w:val="18"/>
                <w:szCs w:val="18"/>
                <w:color w:val="auto"/>
                <w:w w:val="92"/>
              </w:rPr>
              <w:t>agents party thereto, (ii) the Fourth Amended and Restated Five Year Revolving Credit Agreement, dated as of March 31, 2023 (as amended,</w:t>
            </w:r>
          </w:p>
        </w:tc>
      </w:tr>
      <w:tr>
        <w:trPr>
          <w:trHeight w:val="190"/>
        </w:trPr>
        <w:tc>
          <w:tcPr>
            <w:tcW w:w="540" w:type="dxa"/>
            <w:vAlign w:val="bottom"/>
          </w:tcPr>
          <w:p>
            <w:pPr>
              <w:spacing w:after="0"/>
              <w:rPr>
                <w:sz w:val="16"/>
                <w:szCs w:val="16"/>
                <w:color w:val="auto"/>
              </w:rPr>
            </w:pPr>
          </w:p>
        </w:tc>
        <w:tc>
          <w:tcPr>
            <w:tcW w:w="10480" w:type="dxa"/>
            <w:vAlign w:val="bottom"/>
            <w:gridSpan w:val="35"/>
          </w:tcPr>
          <w:p>
            <w:pPr>
              <w:spacing w:after="0" w:line="190" w:lineRule="exact"/>
              <w:rPr>
                <w:sz w:val="20"/>
                <w:szCs w:val="20"/>
                <w:color w:val="auto"/>
              </w:rPr>
            </w:pPr>
            <w:r>
              <w:rPr>
                <w:rFonts w:ascii="Arial" w:cs="Arial" w:eastAsia="Arial" w:hAnsi="Arial"/>
                <w:sz w:val="18"/>
                <w:szCs w:val="18"/>
                <w:color w:val="auto"/>
                <w:w w:val="92"/>
              </w:rPr>
              <w:t>restated, amended and restated, renewed, supplemented or modified from time to time, the “5-Year Credit Agreement”), among the Company,</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3"/>
              </w:rPr>
              <w:t>GMF, the Subsidiary Borrowers from time to time party thereto, the lenders from time to time party thereto, as lenders (the “5-Year Lenders”),</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6"/>
              </w:rPr>
              <w:t>JPM, as administrative agent for the 5-Year Lenders (in such capacity, together with any successor thereto in such capacity, the “5-Year</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6"/>
              </w:rPr>
              <w:t>Administrative Agent”), the Syndication Agent, the Co-Syndication Agent, and the other agents party thereto, (iii) the Fifth Amended and</w:t>
            </w:r>
          </w:p>
        </w:tc>
      </w:tr>
      <w:tr>
        <w:trPr>
          <w:trHeight w:val="20"/>
        </w:trPr>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480" w:type="dxa"/>
            <w:vAlign w:val="bottom"/>
            <w:gridSpan w:val="35"/>
          </w:tcPr>
          <w:p>
            <w:pPr>
              <w:spacing w:after="0"/>
              <w:rPr>
                <w:sz w:val="20"/>
                <w:szCs w:val="20"/>
                <w:color w:val="auto"/>
              </w:rPr>
            </w:pPr>
            <w:r>
              <w:rPr>
                <w:rFonts w:ascii="Arial" w:cs="Arial" w:eastAsia="Arial" w:hAnsi="Arial"/>
                <w:sz w:val="18"/>
                <w:szCs w:val="18"/>
                <w:color w:val="auto"/>
                <w:w w:val="98"/>
              </w:rPr>
              <w:t>Restated 364-Day Revolving Credit Agreement, dated as of March 31, 2023 (as amended, restated, amended and restated, renewed,</w:t>
            </w:r>
          </w:p>
        </w:tc>
      </w:tr>
      <w:tr>
        <w:trPr>
          <w:trHeight w:val="190"/>
        </w:trPr>
        <w:tc>
          <w:tcPr>
            <w:tcW w:w="540" w:type="dxa"/>
            <w:vAlign w:val="bottom"/>
          </w:tcPr>
          <w:p>
            <w:pPr>
              <w:spacing w:after="0"/>
              <w:rPr>
                <w:sz w:val="16"/>
                <w:szCs w:val="16"/>
                <w:color w:val="auto"/>
              </w:rPr>
            </w:pPr>
          </w:p>
        </w:tc>
        <w:tc>
          <w:tcPr>
            <w:tcW w:w="10480" w:type="dxa"/>
            <w:vAlign w:val="bottom"/>
            <w:gridSpan w:val="35"/>
          </w:tcPr>
          <w:p>
            <w:pPr>
              <w:spacing w:after="0" w:line="190" w:lineRule="exact"/>
              <w:rPr>
                <w:sz w:val="20"/>
                <w:szCs w:val="20"/>
                <w:color w:val="auto"/>
              </w:rPr>
            </w:pPr>
            <w:r>
              <w:rPr>
                <w:rFonts w:ascii="Arial" w:cs="Arial" w:eastAsia="Arial" w:hAnsi="Arial"/>
                <w:sz w:val="18"/>
                <w:szCs w:val="18"/>
                <w:color w:val="auto"/>
                <w:w w:val="92"/>
              </w:rPr>
              <w:t>supplemented or modified from time to time, the “2023 364-Day Credit Agreement” among the Company, GMF, the Subsidiary Borrowers from</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5"/>
              </w:rPr>
              <w:t>time to time party thereto, the lenders from time to time party thereto, as lenders (the “2023 364-Day Lenders”), JPM as the Administrative</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2"/>
              </w:rPr>
              <w:t>Agent for the 2023 364-Day Lenders (in such capacity, together with any successor thereto in such capacity, the “2023 364-Day Administrative</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8"/>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0"/>
              </w:rPr>
              <w:t>Agent”), and (iv) the 364-Day Revolving Credit Agreement, dated as of October 3, 2023 (as amended, restated, amended and restated, renewed,</w:t>
            </w:r>
          </w:p>
        </w:tc>
      </w:tr>
      <w:tr>
        <w:trPr>
          <w:trHeight w:val="20"/>
        </w:trPr>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1"/>
              </w:rPr>
              <w:t>supplemented or modified from time to time, the “364-Day Credit Agreement” and together with the 3-Year Credit Agreement, the 5-Year Credit</w:t>
            </w:r>
          </w:p>
        </w:tc>
      </w:tr>
      <w:tr>
        <w:trPr>
          <w:trHeight w:val="20"/>
        </w:trPr>
        <w:tc>
          <w:tcPr>
            <w:tcW w:w="5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6"/>
              </w:rPr>
              <w:t>Agreement and the 2023 364-Day Credit Agreement, the “Credit Agreements” and each a “Credit Agreement”), among the Company, the</w:t>
            </w:r>
          </w:p>
        </w:tc>
      </w:tr>
      <w:tr>
        <w:trPr>
          <w:trHeight w:val="20"/>
        </w:trPr>
        <w:tc>
          <w:tcPr>
            <w:tcW w:w="5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3"/>
              </w:rPr>
              <w:t>lenders from time to time party thereto, as lenders (the “364-Day Lenders” and together with the 3-Year Lenders, the 5-Year Lenders and the</w:t>
            </w:r>
          </w:p>
        </w:tc>
      </w:tr>
      <w:tr>
        <w:trPr>
          <w:trHeight w:val="20"/>
        </w:trPr>
        <w:tc>
          <w:tcPr>
            <w:tcW w:w="5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Borders>
              <w:right w:val="single" w:sz="8" w:color="auto"/>
            </w:tcBorders>
            <w:gridSpan w:val="4"/>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780" w:type="dxa"/>
            <w:vAlign w:val="bottom"/>
            <w:gridSpan w:val="17"/>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1"/>
              </w:rPr>
              <w:t>2023 364-Day Lenders, the “Lenders”), JPM as the Administrative Agent for the 364-Day Lenders (in such capacity, together with any successor</w:t>
            </w:r>
          </w:p>
        </w:tc>
      </w:tr>
      <w:tr>
        <w:trPr>
          <w:trHeight w:val="20"/>
        </w:trPr>
        <w:tc>
          <w:tcPr>
            <w:tcW w:w="540" w:type="dxa"/>
            <w:vAlign w:val="bottom"/>
          </w:tcPr>
          <w:p>
            <w:pPr>
              <w:spacing w:after="0" w:line="20" w:lineRule="exact"/>
              <w:rPr>
                <w:sz w:val="1"/>
                <w:szCs w:val="1"/>
                <w:color w:val="auto"/>
              </w:rPr>
            </w:pPr>
          </w:p>
        </w:tc>
        <w:tc>
          <w:tcPr>
            <w:tcW w:w="2120" w:type="dxa"/>
            <w:vAlign w:val="bottom"/>
            <w:tcBorders>
              <w:right w:val="single" w:sz="8" w:color="auto"/>
            </w:tcBorders>
            <w:gridSpan w:val="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780" w:type="dxa"/>
            <w:vAlign w:val="bottom"/>
            <w:gridSpan w:val="17"/>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5"/>
              </w:rPr>
              <w:t>thereto in such capacity, the “364-Day Administrative Agent” and together with the 3-Year Administrative Agent, the 5-Year Administrative</w:t>
            </w:r>
          </w:p>
        </w:tc>
      </w:tr>
      <w:tr>
        <w:trPr>
          <w:trHeight w:val="20"/>
        </w:trPr>
        <w:tc>
          <w:tcPr>
            <w:tcW w:w="5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2000" w:type="dxa"/>
            <w:vAlign w:val="bottom"/>
            <w:gridSpan w:val="6"/>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780" w:type="dxa"/>
            <w:vAlign w:val="bottom"/>
            <w:gridSpan w:val="17"/>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480" w:type="dxa"/>
            <w:vAlign w:val="bottom"/>
            <w:gridSpan w:val="35"/>
          </w:tcPr>
          <w:p>
            <w:pPr>
              <w:spacing w:after="0" w:line="196" w:lineRule="exact"/>
              <w:rPr>
                <w:sz w:val="20"/>
                <w:szCs w:val="20"/>
                <w:color w:val="auto"/>
              </w:rPr>
            </w:pPr>
            <w:r>
              <w:rPr>
                <w:rFonts w:ascii="Arial" w:cs="Arial" w:eastAsia="Arial" w:hAnsi="Arial"/>
                <w:sz w:val="18"/>
                <w:szCs w:val="18"/>
                <w:color w:val="auto"/>
                <w:w w:val="95"/>
              </w:rPr>
              <w:t>Agent and the 2023 364-Day Administrative Agent, the “Administrative Agent”), the Syndication Agent, and the other agents party thereto.</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9" w:name="page150"/>
    <w:bookmarkEnd w:id="149"/>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Compliance Certificate (this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is furnished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49" w:lineRule="exact"/>
        <w:rPr>
          <w:sz w:val="20"/>
          <w:szCs w:val="20"/>
          <w:color w:val="auto"/>
        </w:rPr>
      </w:pPr>
    </w:p>
    <w:p>
      <w:pPr>
        <w:ind w:left="620" w:hanging="184"/>
        <w:spacing w:after="0"/>
        <w:tabs>
          <w:tab w:leader="none" w:pos="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5" w:lineRule="exact"/>
        <w:rPr>
          <w:rFonts w:ascii="Arial" w:cs="Arial" w:eastAsia="Arial" w:hAnsi="Arial"/>
          <w:sz w:val="18"/>
          <w:szCs w:val="18"/>
          <w:color w:val="auto"/>
        </w:rPr>
      </w:pPr>
    </w:p>
    <w:p>
      <w:pPr>
        <w:ind w:right="20" w:firstLine="436"/>
        <w:spacing w:after="0" w:line="277" w:lineRule="auto"/>
        <w:tabs>
          <w:tab w:leader="none" w:pos="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To the best of my knowledge, no Default or Event of Default has occurred and is continuing as of the date hereof [, except as set forth in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160" w:firstLine="436"/>
        <w:spacing w:after="0" w:line="308" w:lineRule="auto"/>
        <w:tabs>
          <w:tab w:leader="none" w:pos="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 and</w:t>
      </w:r>
    </w:p>
    <w:p>
      <w:pPr>
        <w:spacing w:after="0" w:line="146" w:lineRule="exact"/>
        <w:rPr>
          <w:rFonts w:ascii="Arial" w:cs="Arial" w:eastAsia="Arial" w:hAnsi="Arial"/>
          <w:sz w:val="17"/>
          <w:szCs w:val="17"/>
          <w:color w:val="auto"/>
        </w:rPr>
      </w:pPr>
    </w:p>
    <w:p>
      <w:pPr>
        <w:ind w:right="80" w:firstLine="436"/>
        <w:spacing w:after="0" w:line="308" w:lineRule="auto"/>
        <w:tabs>
          <w:tab w:leader="none" w:pos="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80"/>
          </w:cols>
          <w:pgMar w:left="440" w:top="274" w:right="479" w:bottom="1440" w:gutter="0" w:footer="0" w:header="0"/>
        </w:sectPr>
      </w:pPr>
    </w:p>
    <w:bookmarkStart w:id="150" w:name="page151"/>
    <w:bookmarkEnd w:id="15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5715</wp:posOffset>
            </wp:positionV>
            <wp:extent cx="24599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5715</wp:posOffset>
            </wp:positionV>
            <wp:extent cx="24599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920"/>
          </w:cols>
          <w:pgMar w:left="440" w:top="274" w:right="539" w:bottom="1440" w:gutter="0" w:footer="0" w:header="0"/>
        </w:sectPr>
      </w:pPr>
    </w:p>
    <w:bookmarkStart w:id="151" w:name="page152"/>
    <w:bookmarkEnd w:id="151"/>
    <w:p>
      <w:pPr>
        <w:jc w:val="center"/>
        <w:ind w:left="9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7"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00"/>
        <w:spacing w:after="0"/>
        <w:rPr>
          <w:sz w:val="20"/>
          <w:szCs w:val="20"/>
          <w:color w:val="auto"/>
        </w:rPr>
      </w:pPr>
      <w:r>
        <w:rPr>
          <w:rFonts w:ascii="Arial" w:cs="Arial" w:eastAsia="Arial" w:hAnsi="Arial"/>
          <w:sz w:val="16"/>
          <w:szCs w:val="16"/>
          <w:b w:val="1"/>
          <w:bCs w:val="1"/>
          <w:color w:val="auto"/>
        </w:rPr>
        <w:t>Compliance Certificate</w:t>
      </w:r>
    </w:p>
    <w:p>
      <w:pPr>
        <w:spacing w:after="0" w:line="247" w:lineRule="exact"/>
        <w:rPr>
          <w:sz w:val="20"/>
          <w:szCs w:val="20"/>
          <w:color w:val="auto"/>
        </w:rPr>
      </w:pPr>
    </w:p>
    <w:p>
      <w:pPr>
        <w:ind w:left="2364"/>
        <w:spacing w:after="0"/>
        <w:rPr>
          <w:sz w:val="20"/>
          <w:szCs w:val="20"/>
          <w:color w:val="auto"/>
        </w:rPr>
      </w:pPr>
      <w:r>
        <w:rPr>
          <w:rFonts w:ascii="Arial" w:cs="Arial" w:eastAsia="Arial" w:hAnsi="Arial"/>
          <w:sz w:val="18"/>
          <w:szCs w:val="18"/>
          <w:u w:val="single" w:color="auto"/>
          <w:color w:val="auto"/>
        </w:rPr>
        <w:t>Consolidated Domestic Liquidity as of _____________, 20__(the “Calculation Date”)</w:t>
      </w:r>
      <w:r>
        <w:rPr>
          <w:rFonts w:ascii="Arial" w:cs="Arial" w:eastAsia="Arial" w:hAnsi="Arial"/>
          <w:sz w:val="26"/>
          <w:szCs w:val="26"/>
          <w:u w:val="single" w:color="auto"/>
          <w:color w:val="auto"/>
          <w:vertAlign w:val="superscript"/>
        </w:rPr>
        <w:t>1</w:t>
      </w:r>
    </w:p>
    <w:p>
      <w:pPr>
        <w:spacing w:after="0" w:line="160" w:lineRule="exact"/>
        <w:rPr>
          <w:sz w:val="20"/>
          <w:szCs w:val="20"/>
          <w:color w:val="auto"/>
        </w:rPr>
      </w:pPr>
    </w:p>
    <w:p>
      <w:pPr>
        <w:ind w:left="4" w:right="5640" w:hanging="4"/>
        <w:spacing w:after="0" w:line="277" w:lineRule="auto"/>
        <w:tabs>
          <w:tab w:leader="none" w:pos="2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640" w:hanging="4"/>
        <w:spacing w:after="0" w:line="277" w:lineRule="auto"/>
        <w:tabs>
          <w:tab w:leader="none" w:pos="2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color w:val="auto"/>
        </w:rPr>
        <w:t>PLUS</w:t>
      </w:r>
    </w:p>
    <w:p>
      <w:pPr>
        <w:spacing w:after="0" w:line="225" w:lineRule="exact"/>
        <w:rPr>
          <w:sz w:val="20"/>
          <w:szCs w:val="20"/>
          <w:color w:val="auto"/>
        </w:rPr>
      </w:pPr>
    </w:p>
    <w:p>
      <w:pPr>
        <w:ind w:left="4" w:right="5940" w:hanging="4"/>
        <w:spacing w:after="0" w:line="277" w:lineRule="auto"/>
        <w:tabs>
          <w:tab w:leader="none" w:pos="28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Total Available Commitments under the 2023 364-Day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480" w:hanging="4"/>
        <w:spacing w:after="0" w:line="277" w:lineRule="auto"/>
        <w:tabs>
          <w:tab w:leader="none" w:pos="29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540" w:hanging="4"/>
        <w:spacing w:after="0" w:line="323" w:lineRule="auto"/>
        <w:tabs>
          <w:tab w:leader="none" w:pos="27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total available commitments (after giving effect to any applicable borrowing base limitations) under other effective committed credit facilities of the Company or any Domestic Subsidiary</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as of the Calculation Date.</w:t>
      </w:r>
    </w:p>
    <w:p>
      <w:pPr>
        <w:spacing w:after="0" w:line="13"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540" w:hanging="4"/>
        <w:spacing w:after="0" w:line="284" w:lineRule="auto"/>
        <w:tabs>
          <w:tab w:leader="none" w:pos="26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5" w:lineRule="exact"/>
        <w:rPr>
          <w:sz w:val="20"/>
          <w:szCs w:val="20"/>
          <w:color w:val="auto"/>
        </w:rPr>
      </w:pPr>
    </w:p>
    <w:p>
      <w:pPr>
        <w:ind w:left="424" w:hanging="424"/>
        <w:spacing w:after="0"/>
        <w:tabs>
          <w:tab w:leader="none" w:pos="424" w:val="left"/>
        </w:tabs>
        <w:numPr>
          <w:ilvl w:val="0"/>
          <w:numId w:val="116"/>
        </w:numPr>
        <w:rPr>
          <w:rFonts w:ascii="Arial" w:cs="Arial" w:eastAsia="Arial" w:hAnsi="Arial"/>
          <w:sz w:val="26"/>
          <w:szCs w:val="26"/>
          <w:color w:val="auto"/>
          <w:vertAlign w:val="superscript"/>
        </w:rPr>
      </w:pPr>
      <w:r>
        <w:rPr>
          <w:rFonts w:ascii="Arial" w:cs="Arial" w:eastAsia="Arial" w:hAnsi="Arial"/>
          <w:sz w:val="17"/>
          <w:szCs w:val="17"/>
          <w:color w:val="auto"/>
        </w:rPr>
        <w:t>The last day of the most recent fiscal period covered by the financial statements of the Company delivered or deemed delivered pursuant to</w:t>
      </w:r>
    </w:p>
    <w:p>
      <w:pPr>
        <w:spacing w:after="0" w:line="122" w:lineRule="exact"/>
        <w:rPr>
          <w:sz w:val="20"/>
          <w:szCs w:val="20"/>
          <w:color w:val="auto"/>
        </w:rPr>
      </w:pPr>
    </w:p>
    <w:p>
      <w:pPr>
        <w:ind w:left="424" w:hanging="424"/>
        <w:spacing w:after="0"/>
        <w:tabs>
          <w:tab w:leader="none" w:pos="424" w:val="left"/>
        </w:tabs>
        <w:numPr>
          <w:ilvl w:val="0"/>
          <w:numId w:val="117"/>
        </w:numPr>
        <w:rPr>
          <w:rFonts w:ascii="Arial" w:cs="Arial" w:eastAsia="Arial" w:hAnsi="Arial"/>
          <w:sz w:val="27"/>
          <w:szCs w:val="27"/>
          <w:color w:val="auto"/>
          <w:vertAlign w:val="superscript"/>
        </w:rPr>
      </w:pPr>
      <w:r>
        <w:rPr>
          <w:rFonts w:ascii="Arial" w:cs="Arial" w:eastAsia="Arial" w:hAnsi="Arial"/>
          <w:sz w:val="18"/>
          <w:szCs w:val="18"/>
          <w:color w:val="auto"/>
        </w:rPr>
        <w:t>Excluding any warehouse facilities of GMF.</w:t>
      </w:r>
    </w:p>
    <w:p>
      <w:pPr>
        <w:sectPr>
          <w:pgSz w:w="11900" w:h="16838" w:orient="portrait"/>
          <w:cols w:equalWidth="0" w:num="1">
            <w:col w:w="11004"/>
          </w:cols>
          <w:pgMar w:left="436" w:top="270" w:right="459" w:bottom="1440" w:gutter="0" w:footer="0" w:header="0"/>
        </w:sectPr>
      </w:pPr>
    </w:p>
    <w:bookmarkStart w:id="152" w:name="page153"/>
    <w:bookmarkEnd w:id="152"/>
    <w:p>
      <w:pPr>
        <w:spacing w:after="0" w:line="277" w:lineRule="auto"/>
        <w:rPr>
          <w:sz w:val="20"/>
          <w:szCs w:val="20"/>
          <w:color w:val="auto"/>
        </w:rPr>
      </w:pPr>
      <w:r>
        <w:rPr>
          <w:rFonts w:ascii="Arial" w:cs="Arial" w:eastAsia="Arial" w:hAnsi="Arial"/>
          <w:sz w:val="18"/>
          <w:szCs w:val="18"/>
          <w:u w:val="single" w:color="auto"/>
          <w:color w:val="auto"/>
        </w:rPr>
        <w:t>Sum of (A) plus (B) plus (C) plus (D) plus (E) plus (F): Consolidated Domestic Liquidity: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-338455</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4980" w:space="640"/>
            <w:col w:w="4399"/>
          </w:cols>
          <w:pgMar w:left="440" w:top="274" w:right="1440" w:bottom="1440" w:gutter="0" w:footer="0" w:header="0"/>
        </w:sectPr>
      </w:pPr>
    </w:p>
    <w:bookmarkStart w:id="153" w:name="page154"/>
    <w:bookmarkEnd w:id="153"/>
    <w:p>
      <w:pPr>
        <w:jc w:val="center"/>
        <w:ind w:left="9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7"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00"/>
        <w:spacing w:after="0"/>
        <w:rPr>
          <w:sz w:val="20"/>
          <w:szCs w:val="20"/>
          <w:color w:val="auto"/>
        </w:rPr>
      </w:pPr>
      <w:r>
        <w:rPr>
          <w:rFonts w:ascii="Arial" w:cs="Arial" w:eastAsia="Arial" w:hAnsi="Arial"/>
          <w:sz w:val="16"/>
          <w:szCs w:val="16"/>
          <w:b w:val="1"/>
          <w:bCs w:val="1"/>
          <w:color w:val="auto"/>
        </w:rPr>
        <w:t>Compliance Certificate</w:t>
      </w:r>
    </w:p>
    <w:p>
      <w:pPr>
        <w:spacing w:after="0" w:line="247" w:lineRule="exact"/>
        <w:rPr>
          <w:sz w:val="20"/>
          <w:szCs w:val="20"/>
          <w:color w:val="auto"/>
        </w:rPr>
      </w:pPr>
    </w:p>
    <w:p>
      <w:pPr>
        <w:ind w:left="2464"/>
        <w:spacing w:after="0"/>
        <w:rPr>
          <w:sz w:val="20"/>
          <w:szCs w:val="20"/>
          <w:color w:val="auto"/>
        </w:rPr>
      </w:pPr>
      <w:r>
        <w:rPr>
          <w:rFonts w:ascii="Arial" w:cs="Arial" w:eastAsia="Arial" w:hAnsi="Arial"/>
          <w:sz w:val="18"/>
          <w:szCs w:val="18"/>
          <w:u w:val="single" w:color="auto"/>
          <w:color w:val="auto"/>
        </w:rPr>
        <w:t>Consolidated Global Liquidity as of _____________, 20__(the “Calculation Date”)</w:t>
      </w:r>
      <w:r>
        <w:rPr>
          <w:rFonts w:ascii="Arial" w:cs="Arial" w:eastAsia="Arial" w:hAnsi="Arial"/>
          <w:sz w:val="26"/>
          <w:szCs w:val="26"/>
          <w:u w:val="single" w:color="auto"/>
          <w:color w:val="auto"/>
          <w:vertAlign w:val="superscript"/>
        </w:rPr>
        <w:t>1</w:t>
      </w:r>
    </w:p>
    <w:p>
      <w:pPr>
        <w:spacing w:after="0" w:line="160" w:lineRule="exact"/>
        <w:rPr>
          <w:sz w:val="20"/>
          <w:szCs w:val="20"/>
          <w:color w:val="auto"/>
        </w:rPr>
      </w:pPr>
    </w:p>
    <w:p>
      <w:pPr>
        <w:ind w:left="4" w:right="5640" w:hanging="4"/>
        <w:spacing w:after="0" w:line="277" w:lineRule="auto"/>
        <w:tabs>
          <w:tab w:leader="none" w:pos="29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640" w:hanging="4"/>
        <w:spacing w:after="0" w:line="277" w:lineRule="auto"/>
        <w:tabs>
          <w:tab w:leader="none" w:pos="28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940" w:hanging="4"/>
        <w:spacing w:after="0" w:line="277" w:lineRule="auto"/>
        <w:tabs>
          <w:tab w:leader="none" w:pos="28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Total Available Commitments under the 2023 364-Day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480" w:hanging="4"/>
        <w:spacing w:after="0" w:line="277" w:lineRule="auto"/>
        <w:tabs>
          <w:tab w:leader="none" w:pos="29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170"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540" w:hanging="4"/>
        <w:spacing w:after="0" w:line="323" w:lineRule="auto"/>
        <w:tabs>
          <w:tab w:leader="none" w:pos="27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total available commitments (after giving effect to any applicable borrowing base limitations) under other effective committed credit facilities of the Company or any of its Subsidiaries</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as of the Calculation Date.</w:t>
      </w:r>
    </w:p>
    <w:p>
      <w:pPr>
        <w:spacing w:after="0" w:line="13"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left="4" w:right="5520" w:hanging="4"/>
        <w:spacing w:after="0" w:line="296" w:lineRule="auto"/>
        <w:tabs>
          <w:tab w:leader="none" w:pos="26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715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6" w:lineRule="exact"/>
        <w:rPr>
          <w:sz w:val="20"/>
          <w:szCs w:val="20"/>
          <w:color w:val="auto"/>
        </w:rPr>
      </w:pPr>
    </w:p>
    <w:p>
      <w:pPr>
        <w:ind w:left="424" w:hanging="424"/>
        <w:spacing w:after="0"/>
        <w:tabs>
          <w:tab w:leader="none" w:pos="424" w:val="left"/>
        </w:tabs>
        <w:numPr>
          <w:ilvl w:val="0"/>
          <w:numId w:val="124"/>
        </w:numPr>
        <w:rPr>
          <w:rFonts w:ascii="Arial" w:cs="Arial" w:eastAsia="Arial" w:hAnsi="Arial"/>
          <w:sz w:val="26"/>
          <w:szCs w:val="26"/>
          <w:color w:val="auto"/>
          <w:vertAlign w:val="superscript"/>
        </w:rPr>
      </w:pPr>
      <w:r>
        <w:rPr>
          <w:rFonts w:ascii="Arial" w:cs="Arial" w:eastAsia="Arial" w:hAnsi="Arial"/>
          <w:sz w:val="17"/>
          <w:szCs w:val="17"/>
          <w:color w:val="auto"/>
        </w:rPr>
        <w:t>The last day of the most recent fiscal period covered by the financial statements of the Company delivered or deemed delivered pursuant to</w:t>
      </w:r>
    </w:p>
    <w:p>
      <w:pPr>
        <w:spacing w:after="0" w:line="122" w:lineRule="exact"/>
        <w:rPr>
          <w:sz w:val="20"/>
          <w:szCs w:val="20"/>
          <w:color w:val="auto"/>
        </w:rPr>
      </w:pPr>
    </w:p>
    <w:p>
      <w:pPr>
        <w:ind w:left="424" w:hanging="424"/>
        <w:spacing w:after="0"/>
        <w:tabs>
          <w:tab w:leader="none" w:pos="424" w:val="left"/>
        </w:tabs>
        <w:numPr>
          <w:ilvl w:val="0"/>
          <w:numId w:val="125"/>
        </w:numPr>
        <w:rPr>
          <w:rFonts w:ascii="Arial" w:cs="Arial" w:eastAsia="Arial" w:hAnsi="Arial"/>
          <w:sz w:val="27"/>
          <w:szCs w:val="27"/>
          <w:color w:val="auto"/>
          <w:vertAlign w:val="superscript"/>
        </w:rPr>
      </w:pPr>
      <w:r>
        <w:rPr>
          <w:rFonts w:ascii="Arial" w:cs="Arial" w:eastAsia="Arial" w:hAnsi="Arial"/>
          <w:sz w:val="18"/>
          <w:szCs w:val="18"/>
          <w:color w:val="auto"/>
        </w:rPr>
        <w:t>Excluding any warehouse facilities of GMF.</w:t>
      </w:r>
    </w:p>
    <w:p>
      <w:pPr>
        <w:sectPr>
          <w:pgSz w:w="11900" w:h="16838" w:orient="portrait"/>
          <w:cols w:equalWidth="0" w:num="1">
            <w:col w:w="11004"/>
          </w:cols>
          <w:pgMar w:left="436" w:top="270" w:right="459" w:bottom="1440" w:gutter="0" w:footer="0" w:header="0"/>
        </w:sectPr>
      </w:pPr>
    </w:p>
    <w:bookmarkStart w:id="154" w:name="page155"/>
    <w:bookmarkEnd w:id="154"/>
    <w:p>
      <w:pPr>
        <w:spacing w:after="0" w:line="277" w:lineRule="auto"/>
        <w:rPr>
          <w:sz w:val="20"/>
          <w:szCs w:val="20"/>
          <w:color w:val="auto"/>
        </w:rPr>
      </w:pPr>
      <w:r>
        <w:rPr>
          <w:rFonts w:ascii="Arial" w:cs="Arial" w:eastAsia="Arial" w:hAnsi="Arial"/>
          <w:sz w:val="18"/>
          <w:szCs w:val="18"/>
          <w:u w:val="single" w:color="auto"/>
          <w:color w:val="auto"/>
        </w:rPr>
        <w:t>Sum of (A) plus (B) plus (C) plus (D) plus (E) plus (F): Consolidated Global Liquidity: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-338455</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4980" w:space="640"/>
            <w:col w:w="4399"/>
          </w:cols>
          <w:pgMar w:left="440" w:top="274" w:right="1440" w:bottom="1440" w:gutter="0" w:footer="0" w:header="0"/>
        </w:sectPr>
      </w:pPr>
    </w:p>
    <w:bookmarkStart w:id="155" w:name="page156"/>
    <w:bookmarkEnd w:id="155"/>
    <w:p>
      <w:pPr>
        <w:jc w:val="center"/>
        <w:ind w:left="9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27"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00"/>
        <w:spacing w:after="0"/>
        <w:rPr>
          <w:sz w:val="20"/>
          <w:szCs w:val="20"/>
          <w:color w:val="auto"/>
        </w:rPr>
      </w:pPr>
      <w:r>
        <w:rPr>
          <w:rFonts w:ascii="Arial" w:cs="Arial" w:eastAsia="Arial" w:hAnsi="Arial"/>
          <w:sz w:val="16"/>
          <w:szCs w:val="16"/>
          <w:b w:val="1"/>
          <w:bCs w:val="1"/>
          <w:color w:val="auto"/>
        </w:rPr>
        <w:t>Compliance Certificate</w:t>
      </w:r>
    </w:p>
    <w:p>
      <w:pPr>
        <w:spacing w:after="0" w:line="24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[Defaults/Events of Default that have occurred and are continuing]</w:t>
      </w:r>
    </w:p>
    <w:p>
      <w:pPr>
        <w:sectPr>
          <w:pgSz w:w="11900" w:h="16838" w:orient="portrait"/>
          <w:cols w:equalWidth="0" w:num="1">
            <w:col w:w="10000"/>
          </w:cols>
          <w:pgMar w:left="1440" w:top="270" w:right="459" w:bottom="1440" w:gutter="0" w:footer="0" w:header="0"/>
        </w:sectPr>
      </w:pPr>
    </w:p>
    <w:bookmarkStart w:id="156" w:name="page157"/>
    <w:bookmarkEnd w:id="156"/>
    <w:p>
      <w:pPr>
        <w:jc w:val="center"/>
        <w:ind w:left="9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K</w:t>
      </w:r>
    </w:p>
    <w:p>
      <w:pPr>
        <w:spacing w:after="0" w:line="27"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580"/>
        <w:spacing w:after="0"/>
        <w:rPr>
          <w:sz w:val="20"/>
          <w:szCs w:val="20"/>
          <w:color w:val="auto"/>
        </w:rPr>
      </w:pPr>
      <w:r>
        <w:rPr>
          <w:rFonts w:ascii="Arial" w:cs="Arial" w:eastAsia="Arial" w:hAnsi="Arial"/>
          <w:sz w:val="17"/>
          <w:szCs w:val="17"/>
          <w:b w:val="1"/>
          <w:bCs w:val="1"/>
          <w:color w:val="auto"/>
        </w:rPr>
        <w:t>Credit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80" w:type="dxa"/>
            <w:vAlign w:val="bottom"/>
          </w:tcPr>
          <w:p>
            <w:pPr>
              <w:jc w:val="right"/>
              <w:spacing w:after="0"/>
              <w:rPr>
                <w:sz w:val="20"/>
                <w:szCs w:val="20"/>
                <w:color w:val="auto"/>
              </w:rPr>
            </w:pPr>
            <w:r>
              <w:rPr>
                <w:rFonts w:ascii="Arial" w:cs="Arial" w:eastAsia="Arial" w:hAnsi="Arial"/>
                <w:sz w:val="18"/>
                <w:szCs w:val="18"/>
                <w:color w:val="auto"/>
              </w:rPr>
              <w:t>New York, New York</w:t>
            </w:r>
          </w:p>
        </w:tc>
      </w:tr>
      <w:tr>
        <w:trPr>
          <w:trHeight w:val="190"/>
        </w:trPr>
        <w:tc>
          <w:tcPr>
            <w:tcW w:w="1340" w:type="dxa"/>
            <w:vAlign w:val="bottom"/>
            <w:gridSpan w:val="2"/>
          </w:tcPr>
          <w:p>
            <w:pPr>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xml:space="preserve">       </w:t>
            </w:r>
          </w:p>
        </w:tc>
        <w:tc>
          <w:tcPr>
            <w:tcW w:w="9680" w:type="dxa"/>
            <w:vAlign w:val="bottom"/>
          </w:tcPr>
          <w:p>
            <w:pPr>
              <w:jc w:val="right"/>
              <w:spacing w:after="0" w:line="190" w:lineRule="exact"/>
              <w:rPr>
                <w:sz w:val="20"/>
                <w:szCs w:val="20"/>
                <w:color w:val="auto"/>
              </w:rPr>
            </w:pPr>
            <w:r>
              <w:rPr>
                <w:rFonts w:ascii="Arial" w:cs="Arial" w:eastAsia="Arial" w:hAnsi="Arial"/>
                <w:sz w:val="18"/>
                <w:szCs w:val="18"/>
                <w:color w:val="auto"/>
              </w:rPr>
              <w:t>____________, 20__</w:t>
            </w:r>
          </w:p>
        </w:tc>
      </w:tr>
      <w:tr>
        <w:trPr>
          <w:trHeight w:val="20"/>
        </w:trPr>
        <w:tc>
          <w:tcPr>
            <w:tcW w:w="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40"/>
        <w:spacing w:after="0" w:line="291" w:lineRule="auto"/>
        <w:rPr>
          <w:sz w:val="20"/>
          <w:szCs w:val="20"/>
          <w:color w:val="auto"/>
        </w:rPr>
      </w:pPr>
      <w:r>
        <w:rPr>
          <w:rFonts w:ascii="Arial" w:cs="Arial" w:eastAsia="Arial" w:hAnsi="Arial"/>
          <w:sz w:val="16"/>
          <w:szCs w:val="16"/>
          <w:color w:val="auto"/>
        </w:rPr>
        <w:t>FOR VALUE RECEIVED, the undersigned,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hereby unconditionally promises to pay to 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w:t>
      </w:r>
    </w:p>
    <w:p>
      <w:pPr>
        <w:jc w:val="both"/>
        <w:ind w:right="20"/>
        <w:spacing w:after="0" w:line="281" w:lineRule="auto"/>
        <w:rPr>
          <w:sz w:val="20"/>
          <w:szCs w:val="20"/>
          <w:color w:val="auto"/>
        </w:rPr>
      </w:pPr>
      <w:r>
        <w:rPr>
          <w:rFonts w:ascii="Arial" w:cs="Arial" w:eastAsia="Arial" w:hAnsi="Arial"/>
          <w:sz w:val="16"/>
          <w:szCs w:val="16"/>
          <w:color w:val="auto"/>
        </w:rPr>
        <w:t>Termination Date specified in the Credit Agreement (as hereinafter defined) at the Funding Office specified in such Credit Agreement, in the currency of such Loans and in immediately available funds, the principal amount of (a) ___________________ (__________), or, if less, (b) the unpaid principal</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amount of the Loans of the Lender outstanding under the Credit Agreement. The Company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holder of this Note is authorized to endorse on the schedules annexed hereto and made a part hereof or on a continuation thereof which shall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 attached hereto and made a part hereof the date, Type and amount of each Loan evidenced hereby, and the date and amount of each payment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prepayment of principal with respect thereto, each conversion of all or a portion thereof to another Type, each continuation of all or a portion thereof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same Type and, in the case of Term Benchmark Loans, the length of each Interest Period with respect thereto. Subject to the provisions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of the Credit Agreement, each such endorsement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endorsed.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failure to make any such endorsement or any error in any such endorsement shall not affect the obligations of the Company in respect of the Loans.</w:t>
      </w:r>
    </w:p>
    <w:p>
      <w:pPr>
        <w:spacing w:after="0" w:line="234"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This Note (a) is one of the Notes referred to in the 364-Day Revolving Credit Agreement, dated as of October 3, 2023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Lender, the other lenders from time to time party thereto, JPMorgan Chase Bank, N.A., as Administrative Agent, Citibank, N.A., as 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ectPr>
          <w:pgSz w:w="11900" w:h="16838" w:orient="portrait"/>
          <w:cols w:equalWidth="0" w:num="1">
            <w:col w:w="11020"/>
          </w:cols>
          <w:pgMar w:left="440" w:top="270" w:right="439" w:bottom="1440" w:gutter="0" w:footer="0" w:header="0"/>
        </w:sectPr>
      </w:pPr>
    </w:p>
    <w:bookmarkStart w:id="157" w:name="page158"/>
    <w:bookmarkEnd w:id="157"/>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5715</wp:posOffset>
            </wp:positionV>
            <wp:extent cx="24599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5715</wp:posOffset>
            </wp:positionV>
            <wp:extent cx="24599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880"/>
          </w:cols>
          <w:pgMar w:left="440" w:top="274" w:right="579" w:bottom="1440" w:gutter="0" w:footer="0" w:header="0"/>
        </w:sectPr>
      </w:pPr>
    </w:p>
    <w:bookmarkStart w:id="158" w:name="page159"/>
    <w:bookmarkEnd w:id="158"/>
    <w:p>
      <w:pPr>
        <w:jc w:val="center"/>
        <w:ind w:left="9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7"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Note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Amount of</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Amount of ABR</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Amount</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Principal</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Loans Converted to</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Unpaid Principal</w:t>
            </w:r>
          </w:p>
        </w:tc>
        <w:tc>
          <w:tcPr>
            <w:tcW w:w="1320" w:type="dxa"/>
            <w:vAlign w:val="bottom"/>
          </w:tcPr>
          <w:p>
            <w:pPr>
              <w:spacing w:after="0"/>
              <w:rPr>
                <w:sz w:val="12"/>
                <w:szCs w:val="12"/>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Amount of</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Converted to</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of ABR Loans</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Term Benchmark</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Balance</w:t>
            </w:r>
          </w:p>
        </w:tc>
        <w:tc>
          <w:tcPr>
            <w:tcW w:w="1320" w:type="dxa"/>
            <w:vAlign w:val="bottom"/>
          </w:tcPr>
          <w:p>
            <w:pPr>
              <w:spacing w:after="0"/>
              <w:rPr>
                <w:sz w:val="12"/>
                <w:szCs w:val="12"/>
                <w:color w:val="auto"/>
              </w:rPr>
            </w:pPr>
          </w:p>
        </w:tc>
      </w:tr>
      <w:tr>
        <w:trPr>
          <w:trHeight w:val="181"/>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Repaid</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of ABR Loans</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Made By</w:t>
            </w:r>
          </w:p>
        </w:tc>
      </w:tr>
    </w:tbl>
    <w:p>
      <w:pPr>
        <w:sectPr>
          <w:pgSz w:w="11900" w:h="16838" w:orient="portrait"/>
          <w:cols w:equalWidth="0" w:num="1">
            <w:col w:w="11020"/>
          </w:cols>
          <w:pgMar w:left="440" w:top="270" w:right="439" w:bottom="1440" w:gutter="0" w:footer="0" w:header="0"/>
        </w:sectPr>
      </w:pPr>
    </w:p>
    <w:bookmarkStart w:id="159" w:name="page160"/>
    <w:bookmarkEnd w:id="159"/>
    <w:p>
      <w:pPr>
        <w:jc w:val="center"/>
        <w:ind w:left="9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7"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Note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TERM BENCHMARK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Amount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Amount</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Principal</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Amount of Term</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Unpaid Principal</w:t>
            </w:r>
          </w:p>
        </w:tc>
        <w:tc>
          <w:tcPr>
            <w:tcW w:w="1100" w:type="dxa"/>
            <w:vAlign w:val="bottom"/>
          </w:tcPr>
          <w:p>
            <w:pPr>
              <w:spacing w:after="0"/>
              <w:rPr>
                <w:sz w:val="12"/>
                <w:szCs w:val="12"/>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Amount 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Converted to</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of Term</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Benchmark</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Balance</w:t>
            </w:r>
          </w:p>
        </w:tc>
        <w:tc>
          <w:tcPr>
            <w:tcW w:w="1100" w:type="dxa"/>
            <w:vAlign w:val="bottom"/>
          </w:tcPr>
          <w:p>
            <w:pPr>
              <w:spacing w:after="0"/>
              <w:rPr>
                <w:sz w:val="12"/>
                <w:szCs w:val="12"/>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Term</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Term</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Benchmark</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Loans Converted</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of Term</w:t>
            </w:r>
          </w:p>
        </w:tc>
        <w:tc>
          <w:tcPr>
            <w:tcW w:w="1100" w:type="dxa"/>
            <w:vAlign w:val="bottom"/>
          </w:tcPr>
          <w:p>
            <w:pPr>
              <w:spacing w:after="0"/>
              <w:rPr>
                <w:sz w:val="12"/>
                <w:szCs w:val="12"/>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Interest</w:t>
            </w: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Benchmark</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Benchmark</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Loans</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to</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Benchmark</w:t>
            </w:r>
          </w:p>
        </w:tc>
        <w:tc>
          <w:tcPr>
            <w:tcW w:w="1100" w:type="dxa"/>
            <w:vAlign w:val="bottom"/>
          </w:tcPr>
          <w:p>
            <w:pPr>
              <w:spacing w:after="0"/>
              <w:rPr>
                <w:sz w:val="12"/>
                <w:szCs w:val="12"/>
                <w:color w:val="auto"/>
              </w:rPr>
            </w:pPr>
          </w:p>
        </w:tc>
      </w:tr>
      <w:tr>
        <w:trPr>
          <w:trHeight w:val="181"/>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Period</w:t>
            </w:r>
          </w:p>
        </w:tc>
        <w:tc>
          <w:tcPr>
            <w:tcW w:w="1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Repaid</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100" w:type="dxa"/>
            <w:vAlign w:val="bottom"/>
          </w:tcPr>
          <w:p>
            <w:pPr>
              <w:spacing w:after="0"/>
              <w:rPr>
                <w:sz w:val="15"/>
                <w:szCs w:val="15"/>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Made By</w:t>
            </w:r>
          </w:p>
        </w:tc>
      </w:tr>
    </w:tbl>
    <w:p>
      <w:pPr>
        <w:sectPr>
          <w:pgSz w:w="11900" w:h="16838" w:orient="portrait"/>
          <w:cols w:equalWidth="0" w:num="1">
            <w:col w:w="11020"/>
          </w:cols>
          <w:pgMar w:left="440" w:top="270" w:right="439" w:bottom="1440" w:gutter="0" w:footer="0" w:header="0"/>
        </w:sectPr>
      </w:pPr>
    </w:p>
    <w:bookmarkStart w:id="160" w:name="page161"/>
    <w:bookmarkEnd w:id="160"/>
    <w:p>
      <w:pPr>
        <w:jc w:val="center"/>
        <w:ind w:left="9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7"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580"/>
        <w:spacing w:after="0"/>
        <w:rPr>
          <w:sz w:val="20"/>
          <w:szCs w:val="20"/>
          <w:color w:val="auto"/>
        </w:rPr>
      </w:pPr>
      <w:r>
        <w:rPr>
          <w:rFonts w:ascii="Arial" w:cs="Arial" w:eastAsia="Arial" w:hAnsi="Arial"/>
          <w:sz w:val="18"/>
          <w:szCs w:val="18"/>
          <w:b w:val="1"/>
          <w:bCs w:val="1"/>
          <w:color w:val="auto"/>
        </w:rPr>
        <w:t>Note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DAILY SIMPLE SOFR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Amount of</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Amount</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Principal</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Amount of Daily</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Unpaid Principal</w:t>
            </w:r>
          </w:p>
        </w:tc>
        <w:tc>
          <w:tcPr>
            <w:tcW w:w="1100" w:type="dxa"/>
            <w:vAlign w:val="bottom"/>
          </w:tcPr>
          <w:p>
            <w:pPr>
              <w:spacing w:after="0"/>
              <w:rPr>
                <w:sz w:val="12"/>
                <w:szCs w:val="12"/>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Amount of</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Converted to</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of Daily Simple</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Simple SOFR</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Balance</w:t>
            </w:r>
          </w:p>
        </w:tc>
        <w:tc>
          <w:tcPr>
            <w:tcW w:w="110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Daily Simple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Daily Simple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SOFR Loans</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Loans Converted to</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of Daily Simple</w:t>
            </w:r>
          </w:p>
        </w:tc>
        <w:tc>
          <w:tcPr>
            <w:tcW w:w="1100" w:type="dxa"/>
            <w:vAlign w:val="bottom"/>
          </w:tcPr>
          <w:p>
            <w:pPr>
              <w:spacing w:after="0"/>
              <w:rPr>
                <w:sz w:val="12"/>
                <w:szCs w:val="12"/>
                <w:color w:val="auto"/>
              </w:rPr>
            </w:pPr>
          </w:p>
        </w:tc>
      </w:t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w:t>
            </w:r>
          </w:p>
        </w:tc>
        <w:tc>
          <w:tcPr>
            <w:tcW w:w="100" w:type="dxa"/>
            <w:vAlign w:val="bottom"/>
          </w:tcPr>
          <w:p>
            <w:pPr>
              <w:spacing w:after="0"/>
              <w:rPr>
                <w:sz w:val="15"/>
                <w:szCs w:val="15"/>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Facility</w:t>
            </w:r>
          </w:p>
        </w:tc>
        <w:tc>
          <w:tcPr>
            <w:tcW w:w="120" w:type="dxa"/>
            <w:vAlign w:val="bottom"/>
          </w:tcPr>
          <w:p>
            <w:pPr>
              <w:spacing w:after="0"/>
              <w:rPr>
                <w:sz w:val="15"/>
                <w:szCs w:val="15"/>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SOFR Loans</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SOFR Loans</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Repaid</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SOFR Loans</w:t>
            </w:r>
          </w:p>
        </w:tc>
        <w:tc>
          <w:tcPr>
            <w:tcW w:w="120" w:type="dxa"/>
            <w:vAlign w:val="bottom"/>
          </w:tcPr>
          <w:p>
            <w:pPr>
              <w:spacing w:after="0"/>
              <w:rPr>
                <w:sz w:val="15"/>
                <w:szCs w:val="15"/>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Made By</w:t>
            </w:r>
          </w:p>
        </w:tc>
      </w:tr>
    </w:tbl>
    <w:p>
      <w:pPr>
        <w:sectPr>
          <w:pgSz w:w="11900" w:h="16838" w:orient="portrait"/>
          <w:cols w:equalWidth="0" w:num="1">
            <w:col w:w="11020"/>
          </w:cols>
          <w:pgMar w:left="440" w:top="270" w:right="439" w:bottom="1440" w:gutter="0" w:footer="0" w:header="0"/>
        </w:sectPr>
      </w:pPr>
    </w:p>
    <w:bookmarkStart w:id="161" w:name="page162"/>
    <w:bookmarkEnd w:id="161"/>
    <w:p>
      <w:pPr>
        <w:jc w:val="center"/>
        <w:ind w:left="9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L</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laura.delgadillo@jpmorgan.com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 302-634-3228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Laura Delgadillo</w:t>
      </w:r>
    </w:p>
    <w:p>
      <w:pPr>
        <w:spacing w:after="0" w:line="211" w:lineRule="exact"/>
        <w:rPr>
          <w:sz w:val="20"/>
          <w:szCs w:val="20"/>
          <w:color w:val="auto"/>
        </w:rPr>
      </w:pPr>
    </w:p>
    <w:p>
      <w:pPr>
        <w:ind w:left="9764"/>
        <w:spacing w:after="0"/>
        <w:rPr>
          <w:sz w:val="20"/>
          <w:szCs w:val="20"/>
          <w:color w:val="auto"/>
        </w:rPr>
      </w:pPr>
      <w:r>
        <w:rPr>
          <w:rFonts w:ascii="Arial" w:cs="Arial" w:eastAsia="Arial" w:hAnsi="Arial"/>
          <w:sz w:val="16"/>
          <w:szCs w:val="16"/>
          <w:color w:val="auto"/>
        </w:rPr>
        <w:t>_________, 20__</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left="4" w:right="40" w:firstLine="991"/>
        <w:spacing w:after="0" w:line="272" w:lineRule="auto"/>
        <w:rPr>
          <w:sz w:val="20"/>
          <w:szCs w:val="20"/>
          <w:color w:val="auto"/>
        </w:rPr>
      </w:pPr>
      <w:r>
        <w:rPr>
          <w:rFonts w:ascii="Arial" w:cs="Arial" w:eastAsia="Arial" w:hAnsi="Arial"/>
          <w:sz w:val="17"/>
          <w:szCs w:val="17"/>
          <w:color w:val="auto"/>
        </w:rPr>
        <w:t>The undersigned,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refers to the 364-Day Revolving Credit Agreement, dated as of October 3, 2023, as amended, restated, amended and restated, renewed, supplemented or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and the other agents named therein. Capitalized terms used herein and not otherwise defined herein shall have the meanings assigned to such terms in the Credit Agreement. The Company hereby gives you notice pursuant to Section 2.2 of the Credit Agreement that it requests an Extension of Credit under the Credit Agreement, and in connection sets forth below the terms on which such Extension of Credit is requested to be made:</w:t>
      </w:r>
    </w:p>
    <w:p>
      <w:pPr>
        <w:spacing w:after="0" w:line="204" w:lineRule="exact"/>
        <w:rPr>
          <w:sz w:val="20"/>
          <w:szCs w:val="20"/>
          <w:color w:val="auto"/>
        </w:rPr>
      </w:pPr>
    </w:p>
    <w:p>
      <w:pPr>
        <w:ind w:left="1124" w:hanging="557"/>
        <w:spacing w:after="0"/>
        <w:tabs>
          <w:tab w:leader="none" w:pos="112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23" w:lineRule="exact"/>
        <w:rPr>
          <w:rFonts w:ascii="Arial" w:cs="Arial" w:eastAsia="Arial" w:hAnsi="Arial"/>
          <w:sz w:val="18"/>
          <w:szCs w:val="18"/>
          <w:color w:val="auto"/>
        </w:rPr>
      </w:pPr>
    </w:p>
    <w:p>
      <w:pPr>
        <w:ind w:left="1124" w:hanging="1124"/>
        <w:spacing w:after="0"/>
        <w:tabs>
          <w:tab w:leader="none" w:pos="11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5812155</wp:posOffset>
            </wp:positionH>
            <wp:positionV relativeFrom="paragraph">
              <wp:posOffset>-43180</wp:posOffset>
            </wp:positionV>
            <wp:extent cx="11830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wp:posOffset>
            </wp:positionV>
            <wp:extent cx="7715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9" w:lineRule="exact"/>
        <w:rPr>
          <w:sz w:val="20"/>
          <w:szCs w:val="20"/>
          <w:color w:val="auto"/>
        </w:rPr>
      </w:pPr>
    </w:p>
    <w:p>
      <w:pPr>
        <w:ind w:left="424" w:right="100" w:hanging="424"/>
        <w:spacing w:after="0" w:line="226" w:lineRule="auto"/>
        <w:tabs>
          <w:tab w:leader="none" w:pos="424" w:val="left"/>
        </w:tabs>
        <w:numPr>
          <w:ilvl w:val="0"/>
          <w:numId w:val="127"/>
        </w:numPr>
        <w:rPr>
          <w:rFonts w:ascii="Arial" w:cs="Arial" w:eastAsia="Arial" w:hAnsi="Arial"/>
          <w:sz w:val="27"/>
          <w:szCs w:val="27"/>
          <w:color w:val="auto"/>
          <w:vertAlign w:val="superscript"/>
        </w:rPr>
      </w:pPr>
      <w:r>
        <w:rPr>
          <w:rFonts w:ascii="Arial" w:cs="Arial" w:eastAsia="Arial" w:hAnsi="Arial"/>
          <w:sz w:val="18"/>
          <w:szCs w:val="18"/>
          <w:color w:val="auto"/>
        </w:rPr>
        <w:t>Borrowing Request to be delivered to the Administrative Agent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w:t>
      </w:r>
    </w:p>
    <w:p>
      <w:pPr>
        <w:sectPr>
          <w:pgSz w:w="11900" w:h="16838" w:orient="portrait"/>
          <w:cols w:equalWidth="0" w:num="1">
            <w:col w:w="11024"/>
          </w:cols>
          <w:pgMar w:left="436" w:top="270" w:right="439" w:bottom="1440" w:gutter="0" w:footer="0" w:header="0"/>
        </w:sectPr>
      </w:pPr>
    </w:p>
    <w:bookmarkStart w:id="162" w:name="page163"/>
    <w:bookmarkEnd w:id="162"/>
    <w:p>
      <w:pPr>
        <w:ind w:left="564" w:hanging="564"/>
        <w:spacing w:after="0"/>
        <w:tabs>
          <w:tab w:leader="none" w:pos="564"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Aggregate Amount of Extension of Credit </w:t>
      </w:r>
      <w:r>
        <w:rPr>
          <w:rFonts w:ascii="Arial" w:cs="Arial" w:eastAsia="Arial" w:hAnsi="Arial"/>
          <w:sz w:val="26"/>
          <w:szCs w:val="26"/>
          <w:color w:val="auto"/>
          <w:vertAlign w:val="superscript"/>
        </w:rPr>
        <w:t>2</w:t>
      </w:r>
    </w:p>
    <w:p>
      <w:pPr>
        <w:spacing w:after="0" w:line="41" w:lineRule="exact"/>
        <w:rPr>
          <w:rFonts w:ascii="Arial" w:cs="Arial" w:eastAsia="Arial" w:hAnsi="Arial"/>
          <w:sz w:val="18"/>
          <w:szCs w:val="18"/>
          <w:color w:val="auto"/>
        </w:rPr>
      </w:pPr>
    </w:p>
    <w:p>
      <w:pPr>
        <w:ind w:left="1124" w:hanging="557"/>
        <w:spacing w:after="0"/>
        <w:tabs>
          <w:tab w:leader="none" w:pos="11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Type of Extension of Credit </w:t>
      </w:r>
      <w:r>
        <w:rPr>
          <w:rFonts w:ascii="Arial" w:cs="Arial" w:eastAsia="Arial" w:hAnsi="Arial"/>
          <w:sz w:val="26"/>
          <w:szCs w:val="26"/>
          <w:color w:val="auto"/>
          <w:vertAlign w:val="superscript"/>
        </w:rPr>
        <w:t>3</w:t>
      </w:r>
    </w:p>
    <w:p>
      <w:pPr>
        <w:spacing w:after="0" w:line="25" w:lineRule="exact"/>
        <w:rPr>
          <w:rFonts w:ascii="Arial" w:cs="Arial" w:eastAsia="Arial" w:hAnsi="Arial"/>
          <w:sz w:val="18"/>
          <w:szCs w:val="18"/>
          <w:color w:val="auto"/>
        </w:rPr>
      </w:pPr>
    </w:p>
    <w:p>
      <w:pPr>
        <w:ind w:left="1124" w:hanging="557"/>
        <w:spacing w:after="0"/>
        <w:tabs>
          <w:tab w:leader="none" w:pos="11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26"/>
          <w:szCs w:val="26"/>
          <w:color w:val="auto"/>
          <w:vertAlign w:val="superscript"/>
        </w:rPr>
        <w:t>4</w:t>
      </w:r>
    </w:p>
    <w:p>
      <w:pPr>
        <w:spacing w:after="0" w:line="25" w:lineRule="exact"/>
        <w:rPr>
          <w:rFonts w:ascii="Arial" w:cs="Arial" w:eastAsia="Arial" w:hAnsi="Arial"/>
          <w:sz w:val="18"/>
          <w:szCs w:val="18"/>
          <w:color w:val="auto"/>
        </w:rPr>
      </w:pPr>
    </w:p>
    <w:p>
      <w:pPr>
        <w:ind w:left="1124" w:hanging="557"/>
        <w:spacing w:after="0"/>
        <w:tabs>
          <w:tab w:leader="none" w:pos="11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Funds are requested to be disbursed to the Company’s account with _____________</w:t>
      </w:r>
    </w:p>
    <w:p>
      <w:pPr>
        <w:spacing w:after="0" w:line="7"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color w:val="auto"/>
        </w:rPr>
        <w:t>(Account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5812155</wp:posOffset>
            </wp:positionH>
            <wp:positionV relativeFrom="paragraph">
              <wp:posOffset>5715</wp:posOffset>
            </wp:positionV>
            <wp:extent cx="11830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-336550</wp:posOffset>
            </wp:positionV>
            <wp:extent cx="11830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-542290</wp:posOffset>
            </wp:positionV>
            <wp:extent cx="11830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-748030</wp:posOffset>
            </wp:positionV>
            <wp:extent cx="11830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4"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24"/>
          <w:szCs w:val="24"/>
          <w:color w:val="auto"/>
          <w:vertAlign w:val="superscript"/>
        </w:rPr>
      </w:pPr>
      <w:r>
        <w:rPr>
          <w:rFonts w:ascii="Arial" w:cs="Arial" w:eastAsia="Arial" w:hAnsi="Arial"/>
          <w:sz w:val="16"/>
          <w:szCs w:val="16"/>
          <w:color w:val="auto"/>
        </w:rPr>
        <w:t>Each borrowing shall be in an amount equal to $25 million (or, if the Total Available Commitments at such time are less than $25 million, such</w:t>
      </w:r>
    </w:p>
    <w:p>
      <w:pPr>
        <w:spacing w:after="0" w:line="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lesser amount) or a whole multiple of $5 million in excess thereof.</w:t>
      </w:r>
    </w:p>
    <w:p>
      <w:pPr>
        <w:ind w:left="424" w:hanging="424"/>
        <w:spacing w:after="0" w:line="186" w:lineRule="auto"/>
        <w:tabs>
          <w:tab w:leader="none" w:pos="424" w:val="left"/>
        </w:tabs>
        <w:numPr>
          <w:ilvl w:val="0"/>
          <w:numId w:val="130"/>
        </w:numPr>
        <w:rPr>
          <w:rFonts w:ascii="Arial" w:cs="Arial" w:eastAsia="Arial" w:hAnsi="Arial"/>
          <w:sz w:val="25"/>
          <w:szCs w:val="25"/>
          <w:color w:val="auto"/>
          <w:vertAlign w:val="superscript"/>
        </w:rPr>
      </w:pPr>
      <w:r>
        <w:rPr>
          <w:rFonts w:ascii="Arial" w:cs="Arial" w:eastAsia="Arial" w:hAnsi="Arial"/>
          <w:sz w:val="17"/>
          <w:szCs w:val="17"/>
          <w:color w:val="auto"/>
        </w:rPr>
        <w:t>Specify Term Benchmark Borrowing, Daily Simple SOFR or ABR Borrowing.</w:t>
      </w:r>
    </w:p>
    <w:p>
      <w:pPr>
        <w:ind w:left="424" w:hanging="424"/>
        <w:spacing w:after="0" w:line="180" w:lineRule="auto"/>
        <w:tabs>
          <w:tab w:leader="none" w:pos="424" w:val="left"/>
        </w:tabs>
        <w:numPr>
          <w:ilvl w:val="0"/>
          <w:numId w:val="131"/>
        </w:numPr>
        <w:rPr>
          <w:rFonts w:ascii="Arial" w:cs="Arial" w:eastAsia="Arial" w:hAnsi="Arial"/>
          <w:sz w:val="25"/>
          <w:szCs w:val="25"/>
          <w:color w:val="auto"/>
          <w:vertAlign w:val="superscript"/>
        </w:rPr>
      </w:pPr>
      <w:r>
        <w:rPr>
          <w:rFonts w:ascii="Arial" w:cs="Arial" w:eastAsia="Arial" w:hAnsi="Arial"/>
          <w:sz w:val="17"/>
          <w:szCs w:val="17"/>
          <w:color w:val="auto"/>
        </w:rPr>
        <w:t>Which shall be subject to the definition of “Interest Period” and end on or before the Termination Date.</w:t>
      </w:r>
    </w:p>
    <w:p>
      <w:pPr>
        <w:sectPr>
          <w:pgSz w:w="11900" w:h="16838" w:orient="portrait"/>
          <w:cols w:equalWidth="0" w:num="1">
            <w:col w:w="10744"/>
          </w:cols>
          <w:pgMar w:left="436" w:top="382" w:right="719" w:bottom="1440" w:gutter="0" w:footer="0" w:header="0"/>
        </w:sectPr>
      </w:pPr>
    </w:p>
    <w:bookmarkStart w:id="163" w:name="page164"/>
    <w:bookmarkEnd w:id="163"/>
    <w:p>
      <w:pPr>
        <w:ind w:left="4" w:firstLine="991"/>
        <w:spacing w:after="0" w:line="31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w:t>
      </w:r>
      <w:r>
        <w:rPr>
          <w:rFonts w:ascii="Arial" w:cs="Arial" w:eastAsia="Arial" w:hAnsi="Arial"/>
          <w:sz w:val="25"/>
          <w:szCs w:val="25"/>
          <w:color w:val="auto"/>
          <w:vertAlign w:val="superscript"/>
        </w:rPr>
        <w:t>5</w:t>
      </w:r>
      <w:r>
        <w:rPr>
          <w:rFonts w:ascii="Arial" w:cs="Arial" w:eastAsia="Arial" w:hAnsi="Arial"/>
          <w:sz w:val="17"/>
          <w:szCs w:val="17"/>
          <w:color w:val="auto"/>
        </w:rPr>
        <w:t>] 5.2 of the Credit Agreement have been satisfied.</w:t>
      </w:r>
    </w:p>
    <w:p>
      <w:pPr>
        <w:spacing w:after="0" w:line="4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27"/>
          <w:szCs w:val="27"/>
          <w:color w:val="auto"/>
          <w:vertAlign w:val="superscript"/>
        </w:rPr>
      </w:pPr>
      <w:r>
        <w:rPr>
          <w:rFonts w:ascii="Arial" w:cs="Arial" w:eastAsia="Arial" w:hAnsi="Arial"/>
          <w:sz w:val="18"/>
          <w:szCs w:val="18"/>
          <w:color w:val="auto"/>
        </w:rPr>
        <w:t>[Insert for Borrowing on the Closing Date.]</w:t>
      </w:r>
    </w:p>
    <w:sectPr>
      <w:pgSz w:w="11900" w:h="16838" w:orient="portrait"/>
      <w:cols w:equalWidth="0" w:num="1">
        <w:col w:w="10764"/>
      </w:cols>
      <w:pgMar w:left="436"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lowerRoman"/>
      <w:start w:val="2"/>
    </w:lvl>
  </w:abstractNum>
  <w:abstractNum w:abstractNumId="3">
    <w:nsid w:val="5DB70AE5"/>
    <w:multiLevelType w:val="hybridMultilevel"/>
    <w:lvl w:ilvl="0">
      <w:lvlJc w:val="left"/>
      <w:lvlText w:val="(%1)"/>
      <w:numFmt w:val="lowerRoman"/>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1)"/>
      <w:numFmt w:val="decimal"/>
      <w:start w:val="2"/>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1)"/>
      <w:numFmt w:val="lowerRoman"/>
      <w:start w:val="1"/>
    </w:lvl>
  </w:abstractNum>
  <w:abstractNum w:abstractNumId="8">
    <w:nsid w:val="98A3148"/>
    <w:multiLevelType w:val="hybridMultilevel"/>
    <w:lvl w:ilvl="0">
      <w:lvlJc w:val="left"/>
      <w:lvlText w:val="(%1)"/>
      <w:numFmt w:val="lowerLetter"/>
      <w:start w:val="2"/>
    </w:lvl>
  </w:abstractNum>
  <w:abstractNum w:abstractNumId="9">
    <w:nsid w:val="799D0247"/>
    <w:multiLevelType w:val="hybridMultilevel"/>
    <w:lvl w:ilvl="0">
      <w:lvlJc w:val="left"/>
      <w:lvlText w:val="(%1)"/>
      <w:numFmt w:val="lowerRoman"/>
      <w:start w:val="6"/>
    </w:lvl>
  </w:abstractNum>
  <w:abstractNum w:abstractNumId="10">
    <w:nsid w:val="6B94764"/>
    <w:multiLevelType w:val="hybridMultilevel"/>
    <w:lvl w:ilvl="0">
      <w:lvlJc w:val="left"/>
      <w:lvlText w:val="(%1)"/>
      <w:numFmt w:val="lowerRoman"/>
      <w:start w:val="1"/>
    </w:lvl>
  </w:abstractNum>
  <w:abstractNum w:abstractNumId="11">
    <w:nsid w:val="42C296BD"/>
    <w:multiLevelType w:val="hybridMultilevel"/>
    <w:lvl w:ilvl="0">
      <w:lvlJc w:val="left"/>
      <w:lvlText w:val="(%1)"/>
      <w:numFmt w:val="lowerLetter"/>
      <w:start w:val="1"/>
    </w:lvl>
  </w:abstractNum>
  <w:abstractNum w:abstractNumId="12">
    <w:nsid w:val="168E121F"/>
    <w:multiLevelType w:val="hybridMultilevel"/>
    <w:lvl w:ilvl="0">
      <w:lvlJc w:val="left"/>
      <w:lvlText w:val="(%1)"/>
      <w:numFmt w:val="lowerLetter"/>
      <w:start w:val="6"/>
    </w:lvl>
  </w:abstractNum>
  <w:abstractNum w:abstractNumId="13">
    <w:nsid w:val="1EBA5D23"/>
    <w:multiLevelType w:val="hybridMultilevel"/>
    <w:lvl w:ilvl="0">
      <w:lvlJc w:val="left"/>
      <w:lvlText w:val="(%1)"/>
      <w:numFmt w:val="upperLetter"/>
      <w:start w:val="1"/>
    </w:lvl>
  </w:abstractNum>
  <w:abstractNum w:abstractNumId="14">
    <w:nsid w:val="661E3F1E"/>
    <w:multiLevelType w:val="hybridMultilevel"/>
    <w:lvl w:ilvl="0">
      <w:lvlJc w:val="left"/>
      <w:lvlText w:val="(%1)"/>
      <w:numFmt w:val="lowerLetter"/>
      <w:start w:val="2"/>
    </w:lvl>
  </w:abstractNum>
  <w:abstractNum w:abstractNumId="15">
    <w:nsid w:val="5DC79EA8"/>
    <w:multiLevelType w:val="hybridMultilevel"/>
    <w:lvl w:ilvl="0">
      <w:lvlJc w:val="left"/>
      <w:lvlText w:val="(%1)"/>
      <w:numFmt w:val="lowerLetter"/>
      <w:start w:val="1"/>
    </w:lvl>
  </w:abstractNum>
  <w:abstractNum w:abstractNumId="16">
    <w:nsid w:val="540A471C"/>
    <w:multiLevelType w:val="hybridMultilevel"/>
    <w:lvl w:ilvl="0">
      <w:lvlJc w:val="left"/>
      <w:lvlText w:val="(%1)"/>
      <w:numFmt w:val="lowerLetter"/>
      <w:start w:val="7"/>
    </w:lvl>
  </w:abstractNum>
  <w:abstractNum w:abstractNumId="17">
    <w:nsid w:val="7BD3EE7B"/>
    <w:multiLevelType w:val="hybridMultilevel"/>
    <w:lvl w:ilvl="0">
      <w:lvlJc w:val="left"/>
      <w:lvlText w:val="%1"/>
      <w:numFmt w:val="lowerRoman"/>
      <w:start w:val="1"/>
    </w:lvl>
    <w:lvl w:ilvl="1">
      <w:lvlJc w:val="left"/>
      <w:lvlText w:val="(%2)"/>
      <w:numFmt w:val="lowerLetter"/>
      <w:start w:val="14"/>
    </w:lvl>
  </w:abstractNum>
  <w:abstractNum w:abstractNumId="18">
    <w:nsid w:val="51D9C564"/>
    <w:multiLevelType w:val="hybridMultilevel"/>
    <w:lvl w:ilvl="0">
      <w:lvlJc w:val="left"/>
      <w:lvlText w:val="(%1)"/>
      <w:numFmt w:val="lowerRoman"/>
      <w:start w:val="8"/>
    </w:lvl>
    <w:lvl w:ilvl="1">
      <w:lvlJc w:val="left"/>
      <w:lvlText w:val="(%2)"/>
      <w:numFmt w:val="lowerLetter"/>
      <w:start w:val="18"/>
    </w:lvl>
  </w:abstractNum>
  <w:abstractNum w:abstractNumId="19">
    <w:nsid w:val="613EFDC5"/>
    <w:multiLevelType w:val="hybridMultilevel"/>
    <w:lvl w:ilvl="0">
      <w:lvlJc w:val="left"/>
      <w:lvlText w:val="(%1)"/>
      <w:numFmt w:val="lowerLetter"/>
      <w:start w:val="25"/>
    </w:lvl>
  </w:abstractNum>
  <w:abstractNum w:abstractNumId="20">
    <w:nsid w:val="BF72B14"/>
    <w:multiLevelType w:val="hybridMultilevel"/>
    <w:lvl w:ilvl="0">
      <w:lvlJc w:val="left"/>
      <w:lvlText w:val="(%1)"/>
      <w:numFmt w:val="decimal"/>
      <w:start w:val="5"/>
    </w:lvl>
  </w:abstractNum>
  <w:abstractNum w:abstractNumId="21">
    <w:nsid w:val="11447B73"/>
    <w:multiLevelType w:val="hybridMultilevel"/>
    <w:lvl w:ilvl="0">
      <w:lvlJc w:val="left"/>
      <w:lvlText w:val="%1"/>
      <w:numFmt w:val="lowerLetter"/>
      <w:start w:val="1"/>
    </w:lvl>
    <w:lvl w:ilvl="1">
      <w:lvlJc w:val="left"/>
      <w:lvlText w:val="(%2)"/>
      <w:numFmt w:val="lowerLetter"/>
      <w:start w:val="1"/>
    </w:lvl>
  </w:abstractNum>
  <w:abstractNum w:abstractNumId="22">
    <w:nsid w:val="42963E5A"/>
    <w:multiLevelType w:val="hybridMultilevel"/>
    <w:lvl w:ilvl="0">
      <w:lvlJc w:val="left"/>
      <w:lvlText w:val="(%1)"/>
      <w:numFmt w:val="lowerLetter"/>
      <w:start w:val="9"/>
    </w:lvl>
    <w:lvl w:ilvl="1">
      <w:lvlJc w:val="left"/>
      <w:lvlText w:val="(%2)"/>
      <w:numFmt w:val="lowerLetter"/>
      <w:start w:val="2"/>
    </w:lvl>
  </w:abstractNum>
  <w:abstractNum w:abstractNumId="23">
    <w:nsid w:val="A0382C5"/>
    <w:multiLevelType w:val="hybridMultilevel"/>
    <w:lvl w:ilvl="0">
      <w:lvlJc w:val="left"/>
      <w:lvlText w:val="(%1)"/>
      <w:numFmt w:val="lowerLetter"/>
      <w:start w:val="1"/>
    </w:lvl>
  </w:abstractNum>
  <w:abstractNum w:abstractNumId="24">
    <w:nsid w:val="8F2B15E"/>
    <w:multiLevelType w:val="hybridMultilevel"/>
    <w:lvl w:ilvl="0">
      <w:lvlJc w:val="left"/>
      <w:lvlText w:val="(%1)"/>
      <w:numFmt w:val="lowerLetter"/>
      <w:start w:val="2"/>
    </w:lvl>
  </w:abstractNum>
  <w:abstractNum w:abstractNumId="25">
    <w:nsid w:val="1A32234B"/>
    <w:multiLevelType w:val="hybridMultilevel"/>
    <w:lvl w:ilvl="0">
      <w:lvlJc w:val="left"/>
      <w:lvlText w:val="(%1)"/>
      <w:numFmt w:val="lowerRoman"/>
      <w:start w:val="2"/>
    </w:lvl>
  </w:abstractNum>
  <w:abstractNum w:abstractNumId="26">
    <w:nsid w:val="3B0FD379"/>
    <w:multiLevelType w:val="hybridMultilevel"/>
    <w:lvl w:ilvl="0">
      <w:lvlJc w:val="left"/>
      <w:lvlText w:val="(%1)"/>
      <w:numFmt w:val="lowerLetter"/>
      <w:start w:val="2"/>
    </w:lvl>
  </w:abstractNum>
  <w:abstractNum w:abstractNumId="27">
    <w:nsid w:val="68EB2F63"/>
    <w:multiLevelType w:val="hybridMultilevel"/>
    <w:lvl w:ilvl="0">
      <w:lvlJc w:val="left"/>
      <w:lvlText w:val="(%1)"/>
      <w:numFmt w:val="lowerLetter"/>
      <w:start w:val="24"/>
    </w:lvl>
    <w:lvl w:ilvl="1">
      <w:lvlJc w:val="left"/>
      <w:lvlText w:val="(%2)"/>
      <w:numFmt w:val="lowerLetter"/>
      <w:start w:val="2"/>
    </w:lvl>
  </w:abstractNum>
  <w:abstractNum w:abstractNumId="28">
    <w:nsid w:val="4962813B"/>
    <w:multiLevelType w:val="hybridMultilevel"/>
    <w:lvl w:ilvl="0">
      <w:lvlJc w:val="left"/>
      <w:lvlText w:val="(%1)"/>
      <w:numFmt w:val="lowerLetter"/>
      <w:start w:val="2"/>
    </w:lvl>
  </w:abstractNum>
  <w:abstractNum w:abstractNumId="29">
    <w:nsid w:val="60B6DF70"/>
    <w:multiLevelType w:val="hybridMultilevel"/>
    <w:lvl w:ilvl="0">
      <w:lvlJc w:val="left"/>
      <w:lvlText w:val="(%1)"/>
      <w:numFmt w:val="lowerLetter"/>
      <w:start w:val="3"/>
    </w:lvl>
  </w:abstractNum>
  <w:abstractNum w:abstractNumId="30">
    <w:nsid w:val="6A5EE64"/>
    <w:multiLevelType w:val="hybridMultilevel"/>
    <w:lvl w:ilvl="0">
      <w:lvlJc w:val="left"/>
      <w:lvlText w:val="%1"/>
      <w:numFmt w:val="upperLetter"/>
      <w:start w:val="1"/>
    </w:lvl>
    <w:lvl w:ilvl="1">
      <w:lvlJc w:val="left"/>
      <w:lvlText w:val="(%2)"/>
      <w:numFmt w:val="lowerRoman"/>
      <w:start w:val="1"/>
    </w:lvl>
  </w:abstractNum>
  <w:abstractNum w:abstractNumId="31">
    <w:nsid w:val="14330624"/>
    <w:multiLevelType w:val="hybridMultilevel"/>
    <w:lvl w:ilvl="0">
      <w:lvlJc w:val="left"/>
      <w:lvlText w:val="(%1)"/>
      <w:numFmt w:val="upperLetter"/>
      <w:start w:val="2"/>
    </w:lvl>
    <w:lvl w:ilvl="1">
      <w:lvlJc w:val="left"/>
      <w:lvlText w:val="(%2)"/>
      <w:numFmt w:val="lowerRoman"/>
      <w:start w:val="2"/>
    </w:lvl>
  </w:abstractNum>
  <w:abstractNum w:abstractNumId="32">
    <w:nsid w:val="7FFFCA11"/>
    <w:multiLevelType w:val="hybridMultilevel"/>
    <w:lvl w:ilvl="0">
      <w:lvlJc w:val="left"/>
      <w:lvlText w:val="%1"/>
      <w:numFmt w:val="lowerLetter"/>
      <w:start w:val="1"/>
    </w:lvl>
    <w:lvl w:ilvl="1">
      <w:lvlJc w:val="left"/>
      <w:lvlText w:val="(%2)"/>
      <w:numFmt w:val="lowerLetter"/>
      <w:start w:val="2"/>
    </w:lvl>
  </w:abstractNum>
  <w:abstractNum w:abstractNumId="33">
    <w:nsid w:val="1A27709E"/>
    <w:multiLevelType w:val="hybridMultilevel"/>
    <w:lvl w:ilvl="0">
      <w:lvlJc w:val="left"/>
      <w:lvlText w:val="(%1)"/>
      <w:numFmt w:val="lowerLetter"/>
      <w:start w:val="35"/>
    </w:lvl>
    <w:lvl w:ilvl="1">
      <w:lvlJc w:val="left"/>
      <w:lvlText w:val="%2"/>
      <w:numFmt w:val="lowerLetter"/>
      <w:start w:val="1"/>
    </w:lvl>
  </w:abstractNum>
  <w:abstractNum w:abstractNumId="34">
    <w:nsid w:val="71EA1109"/>
    <w:multiLevelType w:val="hybridMultilevel"/>
    <w:lvl w:ilvl="0">
      <w:lvlJc w:val="left"/>
      <w:lvlText w:val="%1"/>
      <w:numFmt w:val="decimal"/>
      <w:start w:val="1"/>
    </w:lvl>
    <w:lvl w:ilvl="1">
      <w:lvlJc w:val="left"/>
      <w:lvlText w:val="(%2)"/>
      <w:numFmt w:val="lowerLetter"/>
      <w:start w:val="5"/>
    </w:lvl>
  </w:abstractNum>
  <w:abstractNum w:abstractNumId="35">
    <w:nsid w:val="100F59DC"/>
    <w:multiLevelType w:val="hybridMultilevel"/>
    <w:lvl w:ilvl="0">
      <w:lvlJc w:val="left"/>
      <w:lvlText w:val="(%1)"/>
      <w:numFmt w:val="decimal"/>
      <w:start w:val="2"/>
    </w:lvl>
    <w:lvl w:ilvl="1">
      <w:lvlJc w:val="left"/>
      <w:lvlText w:val="%2"/>
      <w:numFmt w:val="lowerLetter"/>
      <w:start w:val="1"/>
    </w:lvl>
  </w:abstractNum>
  <w:abstractNum w:abstractNumId="36">
    <w:nsid w:val="7FB7E0AA"/>
    <w:multiLevelType w:val="hybridMultilevel"/>
    <w:lvl w:ilvl="0">
      <w:lvlJc w:val="left"/>
      <w:lvlText w:val="(%1)"/>
      <w:numFmt w:val="lowerLetter"/>
      <w:start w:val="1"/>
    </w:lvl>
    <w:lvl w:ilvl="1">
      <w:lvlJc w:val="left"/>
      <w:lvlText w:val="(%2)"/>
      <w:numFmt w:val="lowerLetter"/>
      <w:start w:val="2"/>
    </w:lvl>
  </w:abstractNum>
  <w:abstractNum w:abstractNumId="37">
    <w:nsid w:val="6EB5BD4"/>
    <w:multiLevelType w:val="hybridMultilevel"/>
    <w:lvl w:ilvl="0">
      <w:lvlJc w:val="left"/>
      <w:lvlText w:val="%1"/>
      <w:numFmt w:val="lowerLetter"/>
      <w:start w:val="1"/>
    </w:lvl>
    <w:lvl w:ilvl="1">
      <w:lvlJc w:val="left"/>
      <w:lvlText w:val="(%2)"/>
      <w:numFmt w:val="lowerLetter"/>
      <w:start w:val="3"/>
    </w:lvl>
  </w:abstractNum>
  <w:abstractNum w:abstractNumId="38">
    <w:nsid w:val="6F6DD9AC"/>
    <w:multiLevelType w:val="hybridMultilevel"/>
    <w:lvl w:ilvl="0">
      <w:lvlJc w:val="left"/>
      <w:lvlText w:val="(%1)"/>
      <w:numFmt w:val="lowerLetter"/>
      <w:start w:val="9"/>
    </w:lvl>
    <w:lvl w:ilvl="1">
      <w:lvlJc w:val="left"/>
      <w:lvlText w:val="(%2)"/>
      <w:numFmt w:val="lowerLetter"/>
      <w:start w:val="5"/>
    </w:lvl>
  </w:abstractNum>
  <w:abstractNum w:abstractNumId="39">
    <w:nsid w:val="94211F2"/>
    <w:multiLevelType w:val="hybridMultilevel"/>
    <w:lvl w:ilvl="0">
      <w:lvlJc w:val="left"/>
      <w:lvlText w:val="(%1)"/>
      <w:numFmt w:val="lowerLetter"/>
      <w:start w:val="7"/>
    </w:lvl>
  </w:abstractNum>
  <w:abstractNum w:abstractNumId="40">
    <w:nsid w:val="885E1B"/>
    <w:multiLevelType w:val="hybridMultilevel"/>
    <w:lvl w:ilvl="0">
      <w:lvlJc w:val="left"/>
      <w:lvlText w:val="(%1)"/>
      <w:numFmt w:val="lowerRoman"/>
      <w:start w:val="1"/>
    </w:lvl>
  </w:abstractNum>
  <w:abstractNum w:abstractNumId="41">
    <w:nsid w:val="76272110"/>
    <w:multiLevelType w:val="hybridMultilevel"/>
    <w:lvl w:ilvl="0">
      <w:lvlJc w:val="left"/>
      <w:lvlText w:val="(%1)"/>
      <w:numFmt w:val="lowerLetter"/>
      <w:start w:val="2"/>
    </w:lvl>
  </w:abstractNum>
  <w:abstractNum w:abstractNumId="42">
    <w:nsid w:val="4C04A8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43">
    <w:nsid w:val="1716703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4"/>
    </w:lvl>
    <w:lvl w:ilvl="3">
      <w:lvlJc w:val="left"/>
      <w:lvlText w:val="(%4)"/>
      <w:numFmt w:val="lowerLetter"/>
      <w:start w:val="35"/>
    </w:lvl>
  </w:abstractNum>
  <w:abstractNum w:abstractNumId="44">
    <w:nsid w:val="14E17E33"/>
    <w:multiLevelType w:val="hybridMultilevel"/>
    <w:lvl w:ilvl="0">
      <w:lvlJc w:val="left"/>
      <w:lvlText w:val="(%1)"/>
      <w:numFmt w:val="upperLetter"/>
      <w:start w:val="1"/>
    </w:lvl>
  </w:abstractNum>
  <w:abstractNum w:abstractNumId="45">
    <w:nsid w:val="3222E7CD"/>
    <w:multiLevelType w:val="hybridMultilevel"/>
    <w:lvl w:ilvl="0">
      <w:lvlJc w:val="left"/>
      <w:lvlText w:val="(%1)"/>
      <w:numFmt w:val="lowerLetter"/>
      <w:start w:val="5"/>
    </w:lvl>
  </w:abstractNum>
  <w:abstractNum w:abstractNumId="46">
    <w:nsid w:val="74DE0EE3"/>
    <w:multiLevelType w:val="hybridMultilevel"/>
    <w:lvl w:ilvl="0">
      <w:lvlJc w:val="left"/>
      <w:lvlText w:val="(%1)"/>
      <w:numFmt w:val="lowerRoman"/>
      <w:start w:val="2"/>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lowerLetter"/>
      <w:start w:val="4"/>
    </w:lvl>
  </w:abstractNum>
  <w:abstractNum w:abstractNumId="49">
    <w:nsid w:val="46B7D447"/>
    <w:multiLevelType w:val="hybridMultilevel"/>
    <w:lvl w:ilvl="0">
      <w:lvlJc w:val="left"/>
      <w:lvlText w:val="%1"/>
      <w:numFmt w:val="lowerLetter"/>
      <w:start w:val="1"/>
    </w:lvl>
    <w:lvl w:ilvl="1">
      <w:lvlJc w:val="left"/>
      <w:lvlText w:val="(%2)"/>
      <w:numFmt w:val="lowerLetter"/>
      <w:start w:val="1"/>
    </w:lvl>
  </w:abstractNum>
  <w:abstractNum w:abstractNumId="50">
    <w:nsid w:val="4A2AC315"/>
    <w:multiLevelType w:val="hybridMultilevel"/>
    <w:lvl w:ilvl="0">
      <w:lvlJc w:val="left"/>
      <w:lvlText w:val="(%1)"/>
      <w:numFmt w:val="lowerLetter"/>
      <w:start w:val="9"/>
    </w:lvl>
    <w:lvl w:ilvl="1">
      <w:lvlJc w:val="left"/>
      <w:lvlText w:val="(%2)"/>
      <w:numFmt w:val="lowerLetter"/>
      <w:start w:val="4"/>
    </w:lvl>
  </w:abstractNum>
  <w:abstractNum w:abstractNumId="51">
    <w:nsid w:val="39EE015C"/>
    <w:multiLevelType w:val="hybridMultilevel"/>
    <w:lvl w:ilvl="0">
      <w:lvlJc w:val="left"/>
      <w:lvlText w:val="(%1)"/>
      <w:numFmt w:val="lowerLetter"/>
      <w:start w:val="35"/>
    </w:lvl>
    <w:lvl w:ilvl="1">
      <w:lvlJc w:val="left"/>
      <w:lvlText w:val="(%2)"/>
      <w:numFmt w:val="lowerLetter"/>
      <w:start w:val="5"/>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2"/>
    </w:lvl>
  </w:abstractNum>
  <w:abstractNum w:abstractNumId="54">
    <w:nsid w:val="43F18422"/>
    <w:multiLevelType w:val="hybridMultilevel"/>
    <w:lvl w:ilvl="0">
      <w:lvlJc w:val="left"/>
      <w:lvlText w:val="(%1)"/>
      <w:numFmt w:val="lowerLetter"/>
      <w:start w:val="1"/>
    </w:lvl>
  </w:abstractNum>
  <w:abstractNum w:abstractNumId="55">
    <w:nsid w:val="60EF0119"/>
    <w:multiLevelType w:val="hybridMultilevel"/>
    <w:lvl w:ilvl="0">
      <w:lvlJc w:val="left"/>
      <w:lvlText w:val="%1"/>
      <w:numFmt w:val="upperLetter"/>
      <w:start w:val="1"/>
    </w:lvl>
    <w:lvl w:ilvl="1">
      <w:lvlJc w:val="left"/>
      <w:lvlText w:val="(%2)"/>
      <w:numFmt w:val="lowerLetter"/>
      <w:start w:val="1"/>
    </w:lvl>
  </w:abstractNum>
  <w:abstractNum w:abstractNumId="56">
    <w:nsid w:val="26F324BA"/>
    <w:multiLevelType w:val="hybridMultilevel"/>
    <w:lvl w:ilvl="0">
      <w:lvlJc w:val="left"/>
      <w:lvlText w:val="(%1)"/>
      <w:numFmt w:val="upperLetter"/>
      <w:start w:val="2"/>
    </w:lvl>
    <w:lvl w:ilvl="1">
      <w:lvlJc w:val="left"/>
      <w:lvlText w:val="%2"/>
      <w:numFmt w:val="lowerLetter"/>
      <w:start w:val="1"/>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lowerLetter"/>
      <w:start w:val="6"/>
    </w:lvl>
  </w:abstractNum>
  <w:abstractNum w:abstractNumId="59">
    <w:nsid w:val="7055A5F5"/>
    <w:multiLevelType w:val="hybridMultilevel"/>
    <w:lvl w:ilvl="0">
      <w:lvlJc w:val="left"/>
      <w:lvlText w:val="(%1)"/>
      <w:numFmt w:val="lowerRoman"/>
      <w:start w:val="2"/>
    </w:lvl>
  </w:abstractNum>
  <w:abstractNum w:abstractNumId="60">
    <w:nsid w:val="5FB8370B"/>
    <w:multiLevelType w:val="hybridMultilevel"/>
    <w:lvl w:ilvl="0">
      <w:lvlJc w:val="left"/>
      <w:lvlText w:val="(%1)"/>
      <w:numFmt w:val="lowerLetter"/>
      <w:start w:val="25"/>
    </w:lvl>
    <w:lvl w:ilvl="1">
      <w:lvlJc w:val="left"/>
      <w:lvlText w:val="(%2)"/>
      <w:numFmt w:val="lowerRoman"/>
      <w:start w:val="1"/>
    </w:lvl>
  </w:abstractNum>
  <w:abstractNum w:abstractNumId="61">
    <w:nsid w:val="50801EE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62">
    <w:nsid w:val="488AC1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3">
    <w:nsid w:val="5FB8011C"/>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64">
    <w:nsid w:val="6AA78F7F"/>
    <w:multiLevelType w:val="hybridMultilevel"/>
    <w:lvl w:ilvl="0">
      <w:lvlJc w:val="left"/>
      <w:lvlText w:val="%1"/>
      <w:numFmt w:val="lowerLetter"/>
      <w:start w:val="1"/>
    </w:lvl>
    <w:lvl w:ilvl="1">
      <w:lvlJc w:val="left"/>
      <w:lvlText w:val="(%2)"/>
      <w:numFmt w:val="lowerLetter"/>
      <w:start w:val="1"/>
    </w:lvl>
  </w:abstractNum>
  <w:abstractNum w:abstractNumId="65">
    <w:nsid w:val="7672BD23"/>
    <w:multiLevelType w:val="hybridMultilevel"/>
    <w:lvl w:ilvl="0">
      <w:lvlJc w:val="left"/>
      <w:lvlText w:val="(%1)"/>
      <w:numFmt w:val="lowerLetter"/>
      <w:start w:val="61"/>
    </w:lvl>
    <w:lvl w:ilvl="1">
      <w:lvlJc w:val="left"/>
      <w:lvlText w:val="(%2)"/>
      <w:numFmt w:val="lowerLetter"/>
      <w:start w:val="2"/>
    </w:lvl>
  </w:abstractNum>
  <w:abstractNum w:abstractNumId="66">
    <w:nsid w:val="6FC75AF8"/>
    <w:multiLevelType w:val="hybridMultilevel"/>
    <w:lvl w:ilvl="0">
      <w:lvlJc w:val="left"/>
      <w:lvlText w:val="(%1)"/>
      <w:numFmt w:val="lowerLetter"/>
      <w:start w:val="3"/>
    </w:lvl>
  </w:abstractNum>
  <w:abstractNum w:abstractNumId="67">
    <w:nsid w:val="6A5F7029"/>
    <w:multiLevelType w:val="hybridMultilevel"/>
    <w:lvl w:ilvl="0">
      <w:lvlJc w:val="left"/>
      <w:lvlText w:val="(%1)"/>
      <w:numFmt w:val="lowerRoman"/>
      <w:start w:val="2"/>
    </w:lvl>
  </w:abstractNum>
  <w:abstractNum w:abstractNumId="68">
    <w:nsid w:val="7D5E18F8"/>
    <w:multiLevelType w:val="hybridMultilevel"/>
    <w:lvl w:ilvl="0">
      <w:lvlJc w:val="left"/>
      <w:lvlText w:val="(%1)"/>
      <w:numFmt w:val="upperLetter"/>
      <w:start w:val="1"/>
    </w:lvl>
  </w:abstractNum>
  <w:abstractNum w:abstractNumId="69">
    <w:nsid w:val="5F3534A4"/>
    <w:multiLevelType w:val="hybridMultilevel"/>
    <w:lvl w:ilvl="0">
      <w:lvlJc w:val="left"/>
      <w:lvlText w:val="(%1)"/>
      <w:numFmt w:val="upperLetter"/>
      <w:start w:val="9"/>
    </w:lvl>
  </w:abstractNum>
  <w:abstractNum w:abstractNumId="70">
    <w:nsid w:val="73A1821B"/>
    <w:multiLevelType w:val="hybridMultilevel"/>
    <w:lvl w:ilvl="0">
      <w:lvlJc w:val="left"/>
      <w:lvlText w:val="(%1)"/>
      <w:numFmt w:val="lowerLetter"/>
      <w:start w:val="2"/>
    </w:lvl>
  </w:abstractNum>
  <w:abstractNum w:abstractNumId="71">
    <w:nsid w:val="7DE67713"/>
    <w:multiLevelType w:val="hybridMultilevel"/>
    <w:lvl w:ilvl="0">
      <w:lvlJc w:val="left"/>
      <w:lvlText w:val="(%1)"/>
      <w:numFmt w:val="lowerLetter"/>
      <w:start w:val="2"/>
    </w:lvl>
  </w:abstractNum>
  <w:abstractNum w:abstractNumId="72">
    <w:nsid w:val="555C55B5"/>
    <w:multiLevelType w:val="hybridMultilevel"/>
    <w:lvl w:ilvl="0">
      <w:lvlJc w:val="left"/>
      <w:lvlText w:val="(%1)"/>
      <w:numFmt w:val="lowerLetter"/>
      <w:start w:val="1"/>
    </w:lvl>
  </w:abstractNum>
  <w:abstractNum w:abstractNumId="73">
    <w:nsid w:val="3FA62ACA"/>
    <w:multiLevelType w:val="hybridMultilevel"/>
    <w:lvl w:ilvl="0">
      <w:lvlJc w:val="left"/>
      <w:lvlText w:val="(%1)"/>
      <w:numFmt w:val="lowerLetter"/>
      <w:start w:val="4"/>
    </w:lvl>
  </w:abstractNum>
  <w:abstractNum w:abstractNumId="74">
    <w:nsid w:val="14FCE74E"/>
    <w:multiLevelType w:val="hybridMultilevel"/>
    <w:lvl w:ilvl="0">
      <w:lvlJc w:val="left"/>
      <w:lvlText w:val="(%1)"/>
      <w:numFmt w:val="lowerLetter"/>
      <w:start w:val="2"/>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lowerLetter"/>
      <w:start w:val="25"/>
    </w:lvl>
  </w:abstractNum>
  <w:abstractNum w:abstractNumId="77">
    <w:nsid w:val="9DAF632"/>
    <w:multiLevelType w:val="hybridMultilevel"/>
    <w:lvl w:ilvl="0">
      <w:lvlJc w:val="left"/>
      <w:lvlText w:val="(%1)"/>
      <w:numFmt w:val="lowerRoman"/>
      <w:start w:val="2"/>
    </w:lvl>
    <w:lvl w:ilvl="1">
      <w:lvlJc w:val="left"/>
      <w:lvlText w:val="(%2)"/>
      <w:numFmt w:val="upperLetter"/>
      <w:start w:val="1"/>
    </w:lvl>
  </w:abstractNum>
  <w:abstractNum w:abstractNumId="78">
    <w:nsid w:val="53299938"/>
    <w:multiLevelType w:val="hybridMultilevel"/>
    <w:lvl w:ilvl="0">
      <w:lvlJc w:val="left"/>
      <w:lvlText w:val="(%1)"/>
      <w:numFmt w:val="lowerRoman"/>
      <w:start w:val="4"/>
    </w:lvl>
    <w:lvl w:ilvl="1">
      <w:lvlJc w:val="left"/>
      <w:lvlText w:val="(%2)"/>
      <w:numFmt w:val="lowerLetter"/>
      <w:start w:val="3"/>
    </w:lvl>
  </w:abstractNum>
  <w:abstractNum w:abstractNumId="79">
    <w:nsid w:val="1FBFE8E0"/>
    <w:multiLevelType w:val="hybridMultilevel"/>
    <w:lvl w:ilvl="0">
      <w:lvlJc w:val="left"/>
      <w:lvlText w:val="(%1)"/>
      <w:numFmt w:val="lowerLetter"/>
      <w:start w:val="35"/>
    </w:lvl>
    <w:lvl w:ilvl="1">
      <w:lvlJc w:val="left"/>
      <w:lvlText w:val="(%2)"/>
      <w:numFmt w:val="lowerLetter"/>
      <w:start w:val="4"/>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1)"/>
      <w:numFmt w:val="lowerRoman"/>
      <w:start w:val="1"/>
    </w:lvl>
  </w:abstractNum>
  <w:abstractNum w:abstractNumId="82">
    <w:nsid w:val="59ADEA3D"/>
    <w:multiLevelType w:val="hybridMultilevel"/>
    <w:lvl w:ilvl="0">
      <w:lvlJc w:val="left"/>
      <w:lvlText w:val="(%1)"/>
      <w:numFmt w:val="lowerLetter"/>
      <w:start w:val="1"/>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lowerLetter"/>
      <w:start w:val="8"/>
    </w:lvl>
  </w:abstractNum>
  <w:abstractNum w:abstractNumId="85">
    <w:nsid w:val="1D9F6E5F"/>
    <w:multiLevelType w:val="hybridMultilevel"/>
    <w:lvl w:ilvl="0">
      <w:lvlJc w:val="left"/>
      <w:lvlText w:val="%1"/>
      <w:numFmt w:val="lowerRoman"/>
      <w:start w:val="1"/>
    </w:lvl>
    <w:lvl w:ilvl="1">
      <w:lvlJc w:val="left"/>
      <w:lvlText w:val="(%2)"/>
      <w:numFmt w:val="lowerLetter"/>
      <w:start w:val="1"/>
    </w:lvl>
  </w:abstractNum>
  <w:abstractNum w:abstractNumId="86">
    <w:nsid w:val="97E1B4E"/>
    <w:multiLevelType w:val="hybridMultilevel"/>
    <w:lvl w:ilvl="0">
      <w:lvlJc w:val="left"/>
      <w:lvlText w:val="(%1)"/>
      <w:numFmt w:val="lowerRoman"/>
      <w:start w:val="1"/>
    </w:lvl>
    <w:lvl w:ilvl="1">
      <w:lvlJc w:val="left"/>
      <w:lvlText w:val="%2"/>
      <w:numFmt w:val="lowerLetter"/>
      <w:start w:val="1"/>
    </w:lvl>
  </w:abstractNum>
  <w:abstractNum w:abstractNumId="87">
    <w:nsid w:val="51088277"/>
    <w:multiLevelType w:val="hybridMultilevel"/>
    <w:lvl w:ilvl="0">
      <w:lvlJc w:val="left"/>
      <w:lvlText w:val="(%1)"/>
      <w:numFmt w:val="lowerLetter"/>
      <w:start w:val="1"/>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3"/>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1)"/>
      <w:numFmt w:val="lowerLetter"/>
      <w:start w:val="4"/>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decimal"/>
      <w:start w:val="1"/>
    </w:lvl>
  </w:abstractNum>
  <w:abstractNum w:abstractNumId="96">
    <w:nsid w:val="3C5991AA"/>
    <w:multiLevelType w:val="hybridMultilevel"/>
    <w:lvl w:ilvl="0">
      <w:lvlJc w:val="left"/>
      <w:lvlText w:val="%1."/>
      <w:numFmt w:val="decimal"/>
      <w:start w:val="1"/>
    </w:lvl>
  </w:abstractNum>
  <w:abstractNum w:abstractNumId="97">
    <w:nsid w:val="4BD8591A"/>
    <w:multiLevelType w:val="hybridMultilevel"/>
    <w:lvl w:ilvl="0">
      <w:lvlJc w:val="left"/>
      <w:lvlText w:val="%1."/>
      <w:numFmt w:val="decimal"/>
      <w:start w:val="4"/>
    </w:lvl>
  </w:abstractNum>
  <w:abstractNum w:abstractNumId="98">
    <w:nsid w:val="78DF6A55"/>
    <w:multiLevelType w:val="hybridMultilevel"/>
    <w:lvl w:ilvl="0">
      <w:lvlJc w:val="left"/>
      <w:lvlText w:val="%1"/>
      <w:numFmt w:val="decimal"/>
      <w:start w:val="1"/>
    </w:lvl>
    <w:lvl w:ilvl="1">
      <w:lvlJc w:val="left"/>
      <w:lvlText w:val="%2."/>
      <w:numFmt w:val="decimal"/>
      <w:start w:val="1"/>
    </w:lvl>
  </w:abstractNum>
  <w:abstractNum w:abstractNumId="99">
    <w:nsid w:val="39B7AAA2"/>
    <w:multiLevelType w:val="hybridMultilevel"/>
    <w:lvl w:ilvl="0">
      <w:lvlJc w:val="left"/>
      <w:lvlText w:val="%1."/>
      <w:numFmt w:val="decimal"/>
      <w:start w:val="2"/>
    </w:lvl>
    <w:lvl w:ilvl="1">
      <w:lvlJc w:val="left"/>
      <w:lvlText w:val="%2"/>
      <w:numFmt w:val="decimal"/>
      <w:start w:val="1"/>
    </w:lvl>
  </w:abstractNum>
  <w:abstractNum w:abstractNumId="100">
    <w:nsid w:val="2B0D8DBE"/>
    <w:multiLevelType w:val="hybridMultilevel"/>
    <w:lvl w:ilvl="0">
      <w:lvlJc w:val="left"/>
      <w:lvlText w:val="1"/>
      <w:numFmt w:val="bullet"/>
      <w:start w:val="1"/>
    </w:lvl>
  </w:abstractNum>
  <w:abstractNum w:abstractNumId="101">
    <w:nsid w:val="6C80EC70"/>
    <w:multiLevelType w:val="hybridMultilevel"/>
    <w:lvl w:ilvl="0">
      <w:lvlJc w:val="left"/>
      <w:lvlText w:val="%1."/>
      <w:numFmt w:val="decimal"/>
      <w:start w:val="3"/>
    </w:lvl>
  </w:abstractNum>
  <w:abstractNum w:abstractNumId="102">
    <w:nsid w:val="379E21B5"/>
    <w:multiLevelType w:val="hybridMultilevel"/>
    <w:lvl w:ilvl="0">
      <w:lvlJc w:val="left"/>
      <w:lvlText w:val="2"/>
      <w:numFmt w:val="bullet"/>
      <w:start w:val="1"/>
    </w:lvl>
  </w:abstractNum>
  <w:abstractNum w:abstractNumId="103">
    <w:nsid w:val="69E373"/>
    <w:multiLevelType w:val="hybridMultilevel"/>
    <w:lvl w:ilvl="0">
      <w:lvlJc w:val="left"/>
      <w:lvlText w:val="3"/>
      <w:numFmt w:val="bullet"/>
      <w:start w:val="1"/>
    </w:lvl>
  </w:abstractNum>
  <w:abstractNum w:abstractNumId="104">
    <w:nsid w:val="2C27173B"/>
    <w:multiLevelType w:val="hybridMultilevel"/>
    <w:lvl w:ilvl="0">
      <w:lvlJc w:val="left"/>
      <w:lvlText w:val="%1."/>
      <w:numFmt w:val="decimal"/>
      <w:start w:val="1"/>
    </w:lvl>
  </w:abstractNum>
  <w:abstractNum w:abstractNumId="105">
    <w:nsid w:val="4C9B0904"/>
    <w:multiLevelType w:val="hybridMultilevel"/>
    <w:lvl w:ilvl="0">
      <w:lvlJc w:val="left"/>
      <w:lvlText w:val="(%1)"/>
      <w:numFmt w:val="lowerRoman"/>
      <w:start w:val="2"/>
    </w:lvl>
  </w:abstractNum>
  <w:abstractNum w:abstractNumId="106">
    <w:nsid w:val="6AA7B75C"/>
    <w:multiLevelType w:val="hybridMultilevel"/>
    <w:lvl w:ilvl="0">
      <w:lvlJc w:val="left"/>
      <w:lvlText w:val="%1."/>
      <w:numFmt w:val="decimal"/>
      <w:start w:val="2"/>
    </w:lvl>
  </w:abstractNum>
  <w:abstractNum w:abstractNumId="107">
    <w:nsid w:val="1DF029D3"/>
    <w:multiLevelType w:val="hybridMultilevel"/>
    <w:lvl w:ilvl="0">
      <w:lvlJc w:val="left"/>
      <w:lvlText w:val="(%1)"/>
      <w:numFmt w:val="lowerRoman"/>
      <w:start w:val="2"/>
    </w:lvl>
  </w:abstractNum>
  <w:abstractNum w:abstractNumId="108">
    <w:nsid w:val="5675FF36"/>
    <w:multiLevelType w:val="hybridMultilevel"/>
    <w:lvl w:ilvl="0">
      <w:lvlJc w:val="left"/>
      <w:lvlText w:val="%1"/>
      <w:numFmt w:val="decimal"/>
      <w:start w:val="1"/>
    </w:lvl>
    <w:lvl w:ilvl="1">
      <w:lvlJc w:val="left"/>
      <w:lvlText w:val="%2."/>
      <w:numFmt w:val="decimal"/>
      <w:start w:val="1"/>
    </w:lvl>
  </w:abstractNum>
  <w:abstractNum w:abstractNumId="109">
    <w:nsid w:val="3DD15094"/>
    <w:multiLevelType w:val="hybridMultilevel"/>
    <w:lvl w:ilvl="0">
      <w:lvlJc w:val="left"/>
      <w:lvlText w:val="(%1)"/>
      <w:numFmt w:val="upperLetter"/>
      <w:start w:val="1"/>
    </w:lvl>
  </w:abstractNum>
  <w:abstractNum w:abstractNumId="110">
    <w:nsid w:val="3DB012B3"/>
    <w:multiLevelType w:val="hybridMultilevel"/>
    <w:lvl w:ilvl="0">
      <w:lvlJc w:val="left"/>
      <w:lvlText w:val="(%1)"/>
      <w:numFmt w:val="upperLetter"/>
      <w:start w:val="2"/>
    </w:lvl>
  </w:abstractNum>
  <w:abstractNum w:abstractNumId="111">
    <w:nsid w:val="2708C9AF"/>
    <w:multiLevelType w:val="hybridMultilevel"/>
    <w:lvl w:ilvl="0">
      <w:lvlJc w:val="left"/>
      <w:lvlText w:val="(%1)"/>
      <w:numFmt w:val="upperLetter"/>
      <w:start w:val="3"/>
    </w:lvl>
  </w:abstractNum>
  <w:abstractNum w:abstractNumId="112">
    <w:nsid w:val="5B25ACE2"/>
    <w:multiLevelType w:val="hybridMultilevel"/>
    <w:lvl w:ilvl="0">
      <w:lvlJc w:val="left"/>
      <w:lvlText w:val="(%1)"/>
      <w:numFmt w:val="upperLetter"/>
      <w:start w:val="4"/>
    </w:lvl>
  </w:abstractNum>
  <w:abstractNum w:abstractNumId="113">
    <w:nsid w:val="175DFCF0"/>
    <w:multiLevelType w:val="hybridMultilevel"/>
    <w:lvl w:ilvl="0">
      <w:lvlJc w:val="left"/>
      <w:lvlText w:val="(%1)"/>
      <w:numFmt w:val="upperLetter"/>
      <w:start w:val="5"/>
    </w:lvl>
  </w:abstractNum>
  <w:abstractNum w:abstractNumId="114">
    <w:nsid w:val="4F97E3E4"/>
    <w:multiLevelType w:val="hybridMultilevel"/>
    <w:lvl w:ilvl="0">
      <w:lvlJc w:val="left"/>
      <w:lvlText w:val="(%1)"/>
      <w:numFmt w:val="upperLetter"/>
      <w:start w:val="6"/>
    </w:lvl>
  </w:abstractNum>
  <w:abstractNum w:abstractNumId="115">
    <w:nsid w:val="53B0A9E"/>
    <w:multiLevelType w:val="hybridMultilevel"/>
    <w:lvl w:ilvl="0">
      <w:lvlJc w:val="left"/>
      <w:lvlText w:val="1"/>
      <w:numFmt w:val="bullet"/>
      <w:start w:val="1"/>
    </w:lvl>
  </w:abstractNum>
  <w:abstractNum w:abstractNumId="116">
    <w:nsid w:val="34FD6B4F"/>
    <w:multiLevelType w:val="hybridMultilevel"/>
    <w:lvl w:ilvl="0">
      <w:lvlJc w:val="left"/>
      <w:lvlText w:val="2"/>
      <w:numFmt w:val="bullet"/>
      <w:start w:val="1"/>
    </w:lvl>
  </w:abstractNum>
  <w:abstractNum w:abstractNumId="117">
    <w:nsid w:val="5915FF32"/>
    <w:multiLevelType w:val="hybridMultilevel"/>
    <w:lvl w:ilvl="0">
      <w:lvlJc w:val="left"/>
      <w:lvlText w:val="(%1)"/>
      <w:numFmt w:val="upperLetter"/>
      <w:start w:val="1"/>
    </w:lvl>
  </w:abstractNum>
  <w:abstractNum w:abstractNumId="118">
    <w:nsid w:val="56438D15"/>
    <w:multiLevelType w:val="hybridMultilevel"/>
    <w:lvl w:ilvl="0">
      <w:lvlJc w:val="left"/>
      <w:lvlText w:val="(%1)"/>
      <w:numFmt w:val="upperLetter"/>
      <w:start w:val="2"/>
    </w:lvl>
  </w:abstractNum>
  <w:abstractNum w:abstractNumId="119">
    <w:nsid w:val="519E3149"/>
    <w:multiLevelType w:val="hybridMultilevel"/>
    <w:lvl w:ilvl="0">
      <w:lvlJc w:val="left"/>
      <w:lvlText w:val="(%1)"/>
      <w:numFmt w:val="upperLetter"/>
      <w:start w:val="3"/>
    </w:lvl>
  </w:abstractNum>
  <w:abstractNum w:abstractNumId="120">
    <w:nsid w:val="2C6E4AFD"/>
    <w:multiLevelType w:val="hybridMultilevel"/>
    <w:lvl w:ilvl="0">
      <w:lvlJc w:val="left"/>
      <w:lvlText w:val="(%1)"/>
      <w:numFmt w:val="upperLetter"/>
      <w:start w:val="4"/>
    </w:lvl>
  </w:abstractNum>
  <w:abstractNum w:abstractNumId="121">
    <w:nsid w:val="17A1B582"/>
    <w:multiLevelType w:val="hybridMultilevel"/>
    <w:lvl w:ilvl="0">
      <w:lvlJc w:val="left"/>
      <w:lvlText w:val="(%1)"/>
      <w:numFmt w:val="upperLetter"/>
      <w:start w:val="5"/>
    </w:lvl>
  </w:abstractNum>
  <w:abstractNum w:abstractNumId="122">
    <w:nsid w:val="4DF72E4E"/>
    <w:multiLevelType w:val="hybridMultilevel"/>
    <w:lvl w:ilvl="0">
      <w:lvlJc w:val="left"/>
      <w:lvlText w:val="(%1)"/>
      <w:numFmt w:val="upperLetter"/>
      <w:start w:val="6"/>
    </w:lvl>
  </w:abstractNum>
  <w:abstractNum w:abstractNumId="123">
    <w:nsid w:val="5046B5A9"/>
    <w:multiLevelType w:val="hybridMultilevel"/>
    <w:lvl w:ilvl="0">
      <w:lvlJc w:val="left"/>
      <w:lvlText w:val="1"/>
      <w:numFmt w:val="bullet"/>
      <w:start w:val="1"/>
    </w:lvl>
  </w:abstractNum>
  <w:abstractNum w:abstractNumId="124">
    <w:nsid w:val="5D888A08"/>
    <w:multiLevelType w:val="hybridMultilevel"/>
    <w:lvl w:ilvl="0">
      <w:lvlJc w:val="left"/>
      <w:lvlText w:val="2"/>
      <w:numFmt w:val="bullet"/>
      <w:start w:val="1"/>
    </w:lvl>
  </w:abstractNum>
  <w:abstractNum w:abstractNumId="125">
    <w:nsid w:val="2A082C70"/>
    <w:multiLevelType w:val="hybridMultilevel"/>
    <w:lvl w:ilvl="0">
      <w:lvlJc w:val="left"/>
      <w:lvlText w:val="  "/>
      <w:numFmt w:val="bullet"/>
      <w:start w:val="1"/>
    </w:lvl>
    <w:lvl w:ilvl="1">
      <w:lvlJc w:val="left"/>
      <w:lvlText w:val="(%2)"/>
      <w:numFmt w:val="upperLetter"/>
      <w:start w:val="1"/>
    </w:lvl>
  </w:abstractNum>
  <w:abstractNum w:abstractNumId="126">
    <w:nsid w:val="5EC6AFD4"/>
    <w:multiLevelType w:val="hybridMultilevel"/>
    <w:lvl w:ilvl="0">
      <w:lvlJc w:val="left"/>
      <w:lvlText w:val="1"/>
      <w:numFmt w:val="bullet"/>
      <w:start w:val="1"/>
    </w:lvl>
  </w:abstractNum>
  <w:abstractNum w:abstractNumId="127">
    <w:nsid w:val="19E21BB2"/>
    <w:multiLevelType w:val="hybridMultilevel"/>
    <w:lvl w:ilvl="0">
      <w:lvlJc w:val="left"/>
      <w:lvlText w:val="  "/>
      <w:numFmt w:val="bullet"/>
      <w:start w:val="1"/>
    </w:lvl>
    <w:lvl w:ilvl="1">
      <w:lvlJc w:val="left"/>
      <w:lvlText w:val="(%2)"/>
      <w:numFmt w:val="upperLetter"/>
      <w:start w:val="3"/>
    </w:lvl>
  </w:abstractNum>
  <w:abstractNum w:abstractNumId="128">
    <w:nsid w:val="75E0858A"/>
    <w:multiLevelType w:val="hybridMultilevel"/>
    <w:lvl w:ilvl="0">
      <w:lvlJc w:val="left"/>
      <w:lvlText w:val="2"/>
      <w:numFmt w:val="bullet"/>
      <w:start w:val="1"/>
    </w:lvl>
  </w:abstractNum>
  <w:abstractNum w:abstractNumId="129">
    <w:nsid w:val="57A61A29"/>
    <w:multiLevelType w:val="hybridMultilevel"/>
    <w:lvl w:ilvl="0">
      <w:lvlJc w:val="left"/>
      <w:lvlText w:val="3"/>
      <w:numFmt w:val="bullet"/>
      <w:start w:val="1"/>
    </w:lvl>
  </w:abstractNum>
  <w:abstractNum w:abstractNumId="130">
    <w:nsid w:val="5399C654"/>
    <w:multiLevelType w:val="hybridMultilevel"/>
    <w:lvl w:ilvl="0">
      <w:lvlJc w:val="left"/>
      <w:lvlText w:val="4"/>
      <w:numFmt w:val="bullet"/>
      <w:start w:val="1"/>
    </w:lvl>
  </w:abstractNum>
  <w:abstractNum w:abstractNumId="131">
    <w:nsid w:val="20EE1348"/>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2023-10-04T05:39:51Z</dcterms:created>
  <dcterms:modified xsi:type="dcterms:W3CDTF">2023-10-04T05:39:51Z</dcterms:modified>
</cp:coreProperties>
</file>