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001-34960</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incorporation)</w:t>
            </w: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32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320" w:type="dxa"/>
            <w:vAlign w:val="bottom"/>
            <w:gridSpan w:val="2"/>
          </w:tcPr>
          <w:p>
            <w:pPr>
              <w:jc w:val="center"/>
              <w:ind w:right="245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1, 2012 (“Closing Date”) the General Motors Retirement Program for Salaried Employees (“SRP”), a pension plan sponsored by General Motors LLC (“GM LLC”), a wholly-owned subsidiary of General Motors Company (“Company”), purchased a Group Annuity Contract from The Prudential Insurance Company of America (“Prudential Insurance”) (“Contract”). Under the Contract, Prudential Insurance agreed to unconditionally and irrevocably guarantee the full payment of all annuity payments to certain of GM LLC's salaried retirees, and assume all investment risk associated with the assets that were delivered as the group annuity contract premium. The Contract is held by an SRP pension trust and State Street Bank and Trust Company, as Directed Trustee, executed the Contract on behalf of the SRP and the pension trust.</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Prudential Insurance had an existing annuity contract with the SRP valued at approximately $1 billion that was amended on the Closing Date so that all but a de minimis amount of the assets and obligations under that annuity contract are governed by the terms of the Contract.</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total group annuity premium paid to Prudential Insurance on the Closing Date was $25.1 billion and is subject to customary data and mortality-related true-ups. The true-ups are not expected to be significant and will be substantially complete by December 31, 2012. Through the transactions contemplated in the Contract, including the settlement of other previously guaranteed obligations, and the previously announced lump-sum distributions to SRP participants, the Company is expecting to settle approximately $29 billion of pension obligations under U.S. generally accepted accounting principles.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order for the SRP to purchase the Contract and settle other previously guaranteed obligations, GM LLC expects to make approximately $2.6 billion in cash contributions to the SRP. In addition, the Company expects to record a pre-tax charge to earnings of approximately $2.9 billion in the fourth quarter of 2012 as a special item.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Contract does not purport to be complete and is qualified in its entirety by the provisions of the Contract, which will be filed by the Company with a subsequent Form 8-K.</w:t>
      </w:r>
    </w:p>
    <w:p>
      <w:pPr>
        <w:sectPr>
          <w:pgSz w:w="11900" w:h="16838" w:orient="portrait"/>
          <w:cols w:equalWidth="0" w:num="1">
            <w:col w:w="11380"/>
          </w:cols>
          <w:pgMar w:left="240" w:top="796" w:right="2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Date: November 7, 2012</w:t>
            </w:r>
          </w:p>
        </w:tc>
        <w:tc>
          <w:tcPr>
            <w:tcW w:w="2100" w:type="dxa"/>
            <w:vAlign w:val="bottom"/>
            <w:vMerge w:val="restart"/>
          </w:tcPr>
          <w:p>
            <w:pPr>
              <w:ind w:left="15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24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2019-12-09T19:40:26Z</dcterms:created>
  <dcterms:modified xsi:type="dcterms:W3CDTF">2019-12-09T19:40:26Z</dcterms:modified>
</cp:coreProperties>
</file>