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460"/>
        <w:spacing w:after="0"/>
        <w:rPr>
          <w:sz w:val="20"/>
          <w:szCs w:val="20"/>
          <w:color w:val="auto"/>
        </w:rPr>
      </w:pPr>
      <w:r>
        <w:rPr>
          <w:rFonts w:ascii="Arial" w:cs="Arial" w:eastAsia="Arial" w:hAnsi="Arial"/>
          <w:sz w:val="22"/>
          <w:szCs w:val="22"/>
          <w:b w:val="1"/>
          <w:bCs w:val="1"/>
          <w:color w:val="auto"/>
        </w:rPr>
        <w:t>Date of Report (Date of earliest event reported) September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301"/>
              <w:spacing w:after="0"/>
              <w:rPr>
                <w:sz w:val="20"/>
                <w:szCs w:val="20"/>
                <w:color w:val="auto"/>
              </w:rPr>
            </w:pPr>
            <w:r>
              <w:rPr>
                <w:rFonts w:ascii="Arial" w:cs="Arial" w:eastAsia="Arial" w:hAnsi="Arial"/>
                <w:sz w:val="18"/>
                <w:szCs w:val="18"/>
                <w:b w:val="1"/>
                <w:bCs w:val="1"/>
                <w:color w:val="auto"/>
                <w:w w:val="98"/>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001-34960</w:t>
            </w:r>
          </w:p>
        </w:tc>
        <w:tc>
          <w:tcPr>
            <w:tcW w:w="244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4000" w:type="dxa"/>
            <w:vAlign w:val="bottom"/>
          </w:tcPr>
          <w:p>
            <w:pPr>
              <w:jc w:val="center"/>
              <w:ind w:right="22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301"/>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320" w:type="dxa"/>
            <w:vAlign w:val="bottom"/>
            <w:gridSpan w:val="2"/>
          </w:tcPr>
          <w:p>
            <w:pPr>
              <w:jc w:val="center"/>
              <w:ind w:right="962"/>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44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48265-3000</w:t>
            </w:r>
          </w:p>
        </w:tc>
      </w:tr>
      <w:tr>
        <w:trPr>
          <w:trHeight w:val="186"/>
        </w:trPr>
        <w:tc>
          <w:tcPr>
            <w:tcW w:w="4000" w:type="dxa"/>
            <w:vAlign w:val="bottom"/>
          </w:tcPr>
          <w:p>
            <w:pPr>
              <w:jc w:val="center"/>
              <w:ind w:left="11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(313) 667-1500</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ind w:left="1316" w:right="900" w:hanging="1309"/>
        <w:spacing w:after="0" w:line="282" w:lineRule="auto"/>
        <w:tabs>
          <w:tab w:leader="none" w:pos="1296"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firstLine="4"/>
        <w:spacing w:after="0" w:line="255" w:lineRule="auto"/>
        <w:tabs>
          <w:tab w:leader="none" w:pos="421"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Motors Company (“GM”) has promoted Christopher T. Hatto to Vice President, Controller and Chief Accounting Officer of GM, effective September 1, 2018. Mr. Hatto, age 48, joined GM in September 2007, and he most recently served as GM’s Chief Financial Officer for U.S. Sales Operations since January 2016, and, before that, Chief Financial Officer for North American Customer Care and Aftersales from August 2013 to December 2015. Prior to that time, he served in various regional controllership positions at GM. Mr. Hatto will continue to participate in GM’s incentive compensation plans that have been previously disclosed or filed by GM. Other than his employment with GM, he has no other reportable relationships with GM or its affiliates.</w:t>
      </w:r>
    </w:p>
    <w:p>
      <w:pPr>
        <w:sectPr>
          <w:pgSz w:w="11900" w:h="16838" w:orient="portrait"/>
          <w:cols w:equalWidth="0" w:num="1">
            <w:col w:w="11016"/>
          </w:cols>
          <w:pgMar w:left="444" w:top="270" w:right="4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98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Rick E. Hansen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Assistant 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2018</w:t>
      </w:r>
    </w:p>
    <w:sectPr>
      <w:pgSz w:w="11900" w:h="16838" w:orient="portrait"/>
      <w:cols w:equalWidth="0" w:num="1">
        <w:col w:w="10780"/>
      </w:cols>
      <w:pgMar w:left="440"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2019-12-07T16:14:53Z</dcterms:created>
  <dcterms:modified xsi:type="dcterms:W3CDTF">2019-12-07T16:14:53Z</dcterms:modified>
</cp:coreProperties>
</file>