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December 31, 2015</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440" w:type="dxa"/>
        <w:tblCellMar>
          <w:top w:w="0" w:type="dxa"/>
          <w:left w:w="0" w:type="dxa"/>
          <w:bottom w:w="0" w:type="dxa"/>
          <w:right w:w="0" w:type="dxa"/>
        </w:tblCellMar>
      </w:tblPr>
      <w:tr>
        <w:trPr>
          <w:trHeight w:val="186"/>
        </w:trPr>
        <w:tc>
          <w:tcPr>
            <w:tcW w:w="1880" w:type="dxa"/>
            <w:vAlign w:val="bottom"/>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1880" w:type="dxa"/>
            <w:vAlign w:val="bottom"/>
            <w:gridSpan w:val="2"/>
          </w:tcPr>
          <w:p>
            <w:pPr>
              <w:jc w:val="center"/>
              <w:ind w:right="728"/>
              <w:spacing w:after="0"/>
              <w:rPr>
                <w:sz w:val="20"/>
                <w:szCs w:val="20"/>
                <w:color w:val="auto"/>
              </w:rPr>
            </w:pPr>
            <w:r>
              <w:rPr>
                <w:rFonts w:ascii="Arial" w:cs="Arial" w:eastAsia="Arial" w:hAnsi="Arial"/>
                <w:sz w:val="14"/>
                <w:szCs w:val="14"/>
                <w:b w:val="1"/>
                <w:bCs w:val="1"/>
                <w:color w:val="auto"/>
                <w:w w:val="90"/>
              </w:rPr>
              <w:t>to</w:t>
            </w:r>
          </w:p>
        </w:tc>
        <w:tc>
          <w:tcPr>
            <w:tcW w:w="3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24"/>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80" w:type="dxa"/>
            <w:vAlign w:val="bottom"/>
            <w:gridSpan w:val="3"/>
          </w:tcPr>
          <w:p>
            <w:pPr>
              <w:jc w:val="center"/>
              <w:ind w:right="2860"/>
              <w:spacing w:after="0"/>
              <w:rPr>
                <w:sz w:val="20"/>
                <w:szCs w:val="20"/>
                <w:color w:val="auto"/>
              </w:rPr>
            </w:pPr>
            <w:r>
              <w:rPr>
                <w:rFonts w:ascii="Arial" w:cs="Arial" w:eastAsia="Arial" w:hAnsi="Arial"/>
                <w:sz w:val="14"/>
                <w:szCs w:val="14"/>
                <w:b w:val="1"/>
                <w:bCs w:val="1"/>
                <w:color w:val="auto"/>
                <w:w w:val="93"/>
              </w:rPr>
              <w:t>Commission file number 001-34960</w:t>
            </w:r>
          </w:p>
        </w:tc>
      </w:tr>
      <w:tr>
        <w:trPr>
          <w:trHeight w:val="466"/>
        </w:trPr>
        <w:tc>
          <w:tcPr>
            <w:tcW w:w="1880" w:type="dxa"/>
            <w:vAlign w:val="bottom"/>
          </w:tcPr>
          <w:p>
            <w:pPr>
              <w:spacing w:after="0"/>
              <w:rPr>
                <w:sz w:val="24"/>
                <w:szCs w:val="24"/>
                <w:color w:val="auto"/>
              </w:rPr>
            </w:pPr>
          </w:p>
        </w:tc>
        <w:tc>
          <w:tcPr>
            <w:tcW w:w="7760" w:type="dxa"/>
            <w:vAlign w:val="bottom"/>
            <w:gridSpan w:val="5"/>
          </w:tcPr>
          <w:p>
            <w:pPr>
              <w:jc w:val="center"/>
              <w:ind w:right="980"/>
              <w:spacing w:after="0"/>
              <w:rPr>
                <w:sz w:val="20"/>
                <w:szCs w:val="20"/>
                <w:color w:val="auto"/>
              </w:rPr>
            </w:pPr>
            <w:r>
              <w:rPr>
                <w:rFonts w:ascii="Arial" w:cs="Arial" w:eastAsia="Arial" w:hAnsi="Arial"/>
                <w:sz w:val="32"/>
                <w:szCs w:val="32"/>
                <w:b w:val="1"/>
                <w:bCs w:val="1"/>
                <w:color w:val="auto"/>
              </w:rPr>
              <w:t>GENERAL MOTORS COMPANY</w:t>
            </w:r>
          </w:p>
        </w:tc>
      </w:tr>
      <w:tr>
        <w:trPr>
          <w:trHeight w:val="182"/>
        </w:trPr>
        <w:tc>
          <w:tcPr>
            <w:tcW w:w="1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80" w:type="dxa"/>
            <w:vAlign w:val="bottom"/>
            <w:gridSpan w:val="3"/>
          </w:tcPr>
          <w:p>
            <w:pPr>
              <w:jc w:val="center"/>
              <w:ind w:right="2860"/>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24"/>
        </w:trPr>
        <w:tc>
          <w:tcPr>
            <w:tcW w:w="3760" w:type="dxa"/>
            <w:vAlign w:val="bottom"/>
            <w:gridSpan w:val="3"/>
          </w:tcPr>
          <w:p>
            <w:pPr>
              <w:jc w:val="center"/>
              <w:ind w:left="1028"/>
              <w:spacing w:after="0"/>
              <w:rPr>
                <w:sz w:val="20"/>
                <w:szCs w:val="20"/>
                <w:color w:val="auto"/>
              </w:rPr>
            </w:pPr>
            <w:r>
              <w:rPr>
                <w:rFonts w:ascii="Arial" w:cs="Arial" w:eastAsia="Arial" w:hAnsi="Arial"/>
                <w:sz w:val="14"/>
                <w:szCs w:val="14"/>
                <w:b w:val="1"/>
                <w:bCs w:val="1"/>
                <w:color w:val="auto"/>
                <w:w w:val="99"/>
              </w:rPr>
              <w:t>STATE OF DELAWARE</w:t>
            </w:r>
          </w:p>
        </w:tc>
        <w:tc>
          <w:tcPr>
            <w:tcW w:w="5700" w:type="dxa"/>
            <w:vAlign w:val="bottom"/>
            <w:gridSpan w:val="2"/>
          </w:tcPr>
          <w:p>
            <w:pPr>
              <w:jc w:val="center"/>
              <w:ind w:left="2968"/>
              <w:spacing w:after="0"/>
              <w:rPr>
                <w:sz w:val="20"/>
                <w:szCs w:val="20"/>
                <w:color w:val="auto"/>
              </w:rPr>
            </w:pPr>
            <w:r>
              <w:rPr>
                <w:rFonts w:ascii="Arial" w:cs="Arial" w:eastAsia="Arial" w:hAnsi="Arial"/>
                <w:sz w:val="14"/>
                <w:szCs w:val="14"/>
                <w:b w:val="1"/>
                <w:bCs w:val="1"/>
                <w:color w:val="auto"/>
                <w:w w:val="93"/>
              </w:rPr>
              <w:t>27-0756180</w:t>
            </w:r>
          </w:p>
        </w:tc>
        <w:tc>
          <w:tcPr>
            <w:tcW w:w="180" w:type="dxa"/>
            <w:vAlign w:val="bottom"/>
          </w:tcPr>
          <w:p>
            <w:pPr>
              <w:spacing w:after="0"/>
              <w:rPr>
                <w:sz w:val="24"/>
                <w:szCs w:val="24"/>
                <w:color w:val="auto"/>
              </w:rPr>
            </w:pPr>
          </w:p>
        </w:tc>
      </w:tr>
      <w:tr>
        <w:trPr>
          <w:trHeight w:val="169"/>
        </w:trPr>
        <w:tc>
          <w:tcPr>
            <w:tcW w:w="3760" w:type="dxa"/>
            <w:vAlign w:val="bottom"/>
            <w:gridSpan w:val="3"/>
          </w:tcPr>
          <w:p>
            <w:pPr>
              <w:jc w:val="center"/>
              <w:ind w:left="1008"/>
              <w:spacing w:after="0"/>
              <w:rPr>
                <w:sz w:val="20"/>
                <w:szCs w:val="20"/>
                <w:color w:val="auto"/>
              </w:rPr>
            </w:pPr>
            <w:r>
              <w:rPr>
                <w:rFonts w:ascii="Arial" w:cs="Arial" w:eastAsia="Arial" w:hAnsi="Arial"/>
                <w:sz w:val="14"/>
                <w:szCs w:val="14"/>
                <w:i w:val="1"/>
                <w:iCs w:val="1"/>
                <w:color w:val="auto"/>
                <w:w w:val="95"/>
              </w:rPr>
              <w:t>(State or other jurisdiction of</w:t>
            </w:r>
          </w:p>
        </w:tc>
        <w:tc>
          <w:tcPr>
            <w:tcW w:w="3040" w:type="dxa"/>
            <w:vAlign w:val="bottom"/>
          </w:tcPr>
          <w:p>
            <w:pPr>
              <w:spacing w:after="0"/>
              <w:rPr>
                <w:sz w:val="14"/>
                <w:szCs w:val="14"/>
                <w:color w:val="auto"/>
              </w:rPr>
            </w:pPr>
          </w:p>
        </w:tc>
        <w:tc>
          <w:tcPr>
            <w:tcW w:w="284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3760" w:type="dxa"/>
            <w:vAlign w:val="bottom"/>
            <w:gridSpan w:val="3"/>
          </w:tcPr>
          <w:p>
            <w:pPr>
              <w:jc w:val="center"/>
              <w:ind w:left="1028"/>
              <w:spacing w:after="0"/>
              <w:rPr>
                <w:sz w:val="20"/>
                <w:szCs w:val="20"/>
                <w:color w:val="auto"/>
              </w:rPr>
            </w:pPr>
            <w:r>
              <w:rPr>
                <w:rFonts w:ascii="Arial" w:cs="Arial" w:eastAsia="Arial" w:hAnsi="Arial"/>
                <w:sz w:val="14"/>
                <w:szCs w:val="14"/>
                <w:i w:val="1"/>
                <w:iCs w:val="1"/>
                <w:color w:val="auto"/>
                <w:w w:val="97"/>
              </w:rPr>
              <w:t>incorporation or organization)</w:t>
            </w:r>
          </w:p>
        </w:tc>
        <w:tc>
          <w:tcPr>
            <w:tcW w:w="3040" w:type="dxa"/>
            <w:vAlign w:val="bottom"/>
          </w:tcPr>
          <w:p>
            <w:pPr>
              <w:spacing w:after="0"/>
              <w:rPr>
                <w:sz w:val="15"/>
                <w:szCs w:val="15"/>
                <w:color w:val="auto"/>
              </w:rPr>
            </w:pPr>
          </w:p>
        </w:tc>
        <w:tc>
          <w:tcPr>
            <w:tcW w:w="284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w w:val="97"/>
              </w:rPr>
              <w:t>Identification No.)</w:t>
            </w:r>
          </w:p>
        </w:tc>
      </w:tr>
      <w:tr>
        <w:trPr>
          <w:trHeight w:val="338"/>
        </w:trPr>
        <w:tc>
          <w:tcPr>
            <w:tcW w:w="3760" w:type="dxa"/>
            <w:vAlign w:val="bottom"/>
            <w:gridSpan w:val="3"/>
          </w:tcPr>
          <w:p>
            <w:pPr>
              <w:jc w:val="center"/>
              <w:ind w:left="1028"/>
              <w:spacing w:after="0"/>
              <w:rPr>
                <w:sz w:val="20"/>
                <w:szCs w:val="20"/>
                <w:color w:val="auto"/>
              </w:rPr>
            </w:pPr>
            <w:r>
              <w:rPr>
                <w:rFonts w:ascii="Arial" w:cs="Arial" w:eastAsia="Arial" w:hAnsi="Arial"/>
                <w:sz w:val="14"/>
                <w:szCs w:val="14"/>
                <w:b w:val="1"/>
                <w:bCs w:val="1"/>
                <w:color w:val="auto"/>
                <w:w w:val="92"/>
              </w:rPr>
              <w:t>300 Renaissance Center, Detroit, Michigan</w:t>
            </w:r>
          </w:p>
        </w:tc>
        <w:tc>
          <w:tcPr>
            <w:tcW w:w="5700" w:type="dxa"/>
            <w:vAlign w:val="bottom"/>
            <w:gridSpan w:val="2"/>
          </w:tcPr>
          <w:p>
            <w:pPr>
              <w:jc w:val="center"/>
              <w:ind w:left="2968"/>
              <w:spacing w:after="0"/>
              <w:rPr>
                <w:sz w:val="20"/>
                <w:szCs w:val="20"/>
                <w:color w:val="auto"/>
              </w:rPr>
            </w:pPr>
            <w:r>
              <w:rPr>
                <w:rFonts w:ascii="Arial" w:cs="Arial" w:eastAsia="Arial" w:hAnsi="Arial"/>
                <w:sz w:val="14"/>
                <w:szCs w:val="14"/>
                <w:b w:val="1"/>
                <w:bCs w:val="1"/>
                <w:color w:val="auto"/>
                <w:w w:val="93"/>
              </w:rPr>
              <w:t>48265-3000</w:t>
            </w:r>
          </w:p>
        </w:tc>
        <w:tc>
          <w:tcPr>
            <w:tcW w:w="180" w:type="dxa"/>
            <w:vAlign w:val="bottom"/>
          </w:tcPr>
          <w:p>
            <w:pPr>
              <w:spacing w:after="0"/>
              <w:rPr>
                <w:sz w:val="24"/>
                <w:szCs w:val="24"/>
                <w:color w:val="auto"/>
              </w:rPr>
            </w:pPr>
          </w:p>
        </w:tc>
      </w:tr>
      <w:tr>
        <w:trPr>
          <w:trHeight w:val="192"/>
        </w:trPr>
        <w:tc>
          <w:tcPr>
            <w:tcW w:w="3760" w:type="dxa"/>
            <w:vAlign w:val="bottom"/>
            <w:gridSpan w:val="3"/>
          </w:tcPr>
          <w:p>
            <w:pPr>
              <w:jc w:val="center"/>
              <w:ind w:left="100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3040" w:type="dxa"/>
            <w:vAlign w:val="bottom"/>
          </w:tcPr>
          <w:p>
            <w:pPr>
              <w:spacing w:after="0"/>
              <w:rPr>
                <w:sz w:val="16"/>
                <w:szCs w:val="16"/>
                <w:color w:val="auto"/>
              </w:rPr>
            </w:pPr>
          </w:p>
        </w:tc>
        <w:tc>
          <w:tcPr>
            <w:tcW w:w="284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w w:val="93"/>
              </w:rPr>
              <w:t>(Zip Code)</w:t>
            </w:r>
          </w:p>
        </w:tc>
      </w:tr>
      <w:tr>
        <w:trPr>
          <w:trHeight w:val="162"/>
        </w:trPr>
        <w:tc>
          <w:tcPr>
            <w:tcW w:w="1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8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1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3"/>
              </w:rPr>
              <w:t>(313) 556-5000</w:t>
            </w: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70"/>
        </w:trPr>
        <w:tc>
          <w:tcPr>
            <w:tcW w:w="1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8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96"/>
        </w:trPr>
        <w:tc>
          <w:tcPr>
            <w:tcW w:w="1880" w:type="dxa"/>
            <w:vAlign w:val="bottom"/>
          </w:tcPr>
          <w:p>
            <w:pPr>
              <w:spacing w:after="0"/>
              <w:rPr>
                <w:sz w:val="24"/>
                <w:szCs w:val="24"/>
                <w:color w:val="auto"/>
              </w:rPr>
            </w:pPr>
          </w:p>
        </w:tc>
        <w:tc>
          <w:tcPr>
            <w:tcW w:w="1880" w:type="dxa"/>
            <w:vAlign w:val="bottom"/>
            <w:gridSpan w:val="2"/>
          </w:tcPr>
          <w:p>
            <w:pPr>
              <w:jc w:val="center"/>
              <w:ind w:right="728"/>
              <w:spacing w:after="0"/>
              <w:rPr>
                <w:sz w:val="20"/>
                <w:szCs w:val="20"/>
                <w:color w:val="auto"/>
              </w:rPr>
            </w:pPr>
            <w:r>
              <w:rPr>
                <w:rFonts w:ascii="Arial" w:cs="Arial" w:eastAsia="Arial" w:hAnsi="Arial"/>
                <w:sz w:val="14"/>
                <w:szCs w:val="14"/>
                <w:b w:val="1"/>
                <w:bCs w:val="1"/>
                <w:color w:val="auto"/>
                <w:w w:val="89"/>
              </w:rPr>
              <w:t>Title of each class</w:t>
            </w:r>
          </w:p>
        </w:tc>
        <w:tc>
          <w:tcPr>
            <w:tcW w:w="3040" w:type="dxa"/>
            <w:vAlign w:val="bottom"/>
          </w:tcPr>
          <w:p>
            <w:pPr>
              <w:spacing w:after="0"/>
              <w:rPr>
                <w:sz w:val="24"/>
                <w:szCs w:val="24"/>
                <w:color w:val="auto"/>
              </w:rPr>
            </w:pPr>
          </w:p>
        </w:tc>
        <w:tc>
          <w:tcPr>
            <w:tcW w:w="2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8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18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Common Stock</w:t>
            </w:r>
          </w:p>
        </w:tc>
        <w:tc>
          <w:tcPr>
            <w:tcW w:w="800" w:type="dxa"/>
            <w:vAlign w:val="bottom"/>
          </w:tcPr>
          <w:p>
            <w:pPr>
              <w:spacing w:after="0"/>
              <w:rPr>
                <w:sz w:val="18"/>
                <w:szCs w:val="18"/>
                <w:color w:val="auto"/>
              </w:rPr>
            </w:pPr>
          </w:p>
        </w:tc>
        <w:tc>
          <w:tcPr>
            <w:tcW w:w="5880" w:type="dxa"/>
            <w:vAlign w:val="bottom"/>
            <w:gridSpan w:val="3"/>
          </w:tcPr>
          <w:p>
            <w:pPr>
              <w:jc w:val="center"/>
              <w:ind w:left="2788"/>
              <w:spacing w:after="0"/>
              <w:rPr>
                <w:sz w:val="20"/>
                <w:szCs w:val="20"/>
                <w:color w:val="auto"/>
              </w:rPr>
            </w:pPr>
            <w:r>
              <w:rPr>
                <w:rFonts w:ascii="Arial" w:cs="Arial" w:eastAsia="Arial" w:hAnsi="Arial"/>
                <w:sz w:val="14"/>
                <w:szCs w:val="14"/>
                <w:color w:val="auto"/>
                <w:w w:val="93"/>
              </w:rPr>
              <w:t>New York Stock Exchange/Toronto Stock Exchange</w:t>
            </w:r>
          </w:p>
        </w:tc>
      </w:tr>
      <w:tr>
        <w:trPr>
          <w:trHeight w:val="203"/>
        </w:trPr>
        <w:tc>
          <w:tcPr>
            <w:tcW w:w="3760" w:type="dxa"/>
            <w:vAlign w:val="bottom"/>
            <w:gridSpan w:val="3"/>
          </w:tcPr>
          <w:p>
            <w:pPr>
              <w:jc w:val="center"/>
              <w:ind w:left="1028"/>
              <w:spacing w:after="0"/>
              <w:rPr>
                <w:sz w:val="20"/>
                <w:szCs w:val="20"/>
                <w:color w:val="auto"/>
              </w:rPr>
            </w:pPr>
            <w:r>
              <w:rPr>
                <w:rFonts w:ascii="Arial" w:cs="Arial" w:eastAsia="Arial" w:hAnsi="Arial"/>
                <w:sz w:val="14"/>
                <w:szCs w:val="14"/>
                <w:color w:val="auto"/>
                <w:w w:val="94"/>
              </w:rPr>
              <w:t>Warrants (expiring July 10, 2016)</w:t>
            </w:r>
          </w:p>
        </w:tc>
        <w:tc>
          <w:tcPr>
            <w:tcW w:w="3040" w:type="dxa"/>
            <w:vAlign w:val="bottom"/>
          </w:tcPr>
          <w:p>
            <w:pPr>
              <w:spacing w:after="0"/>
              <w:rPr>
                <w:sz w:val="17"/>
                <w:szCs w:val="17"/>
                <w:color w:val="auto"/>
              </w:rPr>
            </w:pPr>
          </w:p>
        </w:tc>
        <w:tc>
          <w:tcPr>
            <w:tcW w:w="28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New York Stock Exchange</w:t>
            </w:r>
          </w:p>
        </w:tc>
      </w:tr>
      <w:tr>
        <w:trPr>
          <w:trHeight w:val="203"/>
        </w:trPr>
        <w:tc>
          <w:tcPr>
            <w:tcW w:w="3760" w:type="dxa"/>
            <w:vAlign w:val="bottom"/>
            <w:gridSpan w:val="3"/>
          </w:tcPr>
          <w:p>
            <w:pPr>
              <w:jc w:val="center"/>
              <w:ind w:left="1028"/>
              <w:spacing w:after="0"/>
              <w:rPr>
                <w:sz w:val="20"/>
                <w:szCs w:val="20"/>
                <w:color w:val="auto"/>
              </w:rPr>
            </w:pPr>
            <w:r>
              <w:rPr>
                <w:rFonts w:ascii="Arial" w:cs="Arial" w:eastAsia="Arial" w:hAnsi="Arial"/>
                <w:sz w:val="14"/>
                <w:szCs w:val="14"/>
                <w:color w:val="auto"/>
                <w:w w:val="94"/>
              </w:rPr>
              <w:t>Warrants (expiring July 10, 2019)</w:t>
            </w:r>
          </w:p>
        </w:tc>
        <w:tc>
          <w:tcPr>
            <w:tcW w:w="3040" w:type="dxa"/>
            <w:vAlign w:val="bottom"/>
          </w:tcPr>
          <w:p>
            <w:pPr>
              <w:spacing w:after="0"/>
              <w:rPr>
                <w:sz w:val="17"/>
                <w:szCs w:val="17"/>
                <w:color w:val="auto"/>
              </w:rPr>
            </w:pPr>
          </w:p>
        </w:tc>
        <w:tc>
          <w:tcPr>
            <w:tcW w:w="28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New York Stock Exchange</w:t>
            </w:r>
          </w:p>
        </w:tc>
      </w:tr>
    </w:tbl>
    <w:p>
      <w:pPr>
        <w:spacing w:after="0" w:line="97"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Securities registered pursuant to Section 12 (g) of the Act: None</w:t>
      </w:r>
    </w:p>
    <w:p>
      <w:pPr>
        <w:spacing w:after="0" w:line="86"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20" w:firstLine="10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10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firstLine="10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10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39" w:lineRule="exact"/>
        <w:rPr>
          <w:sz w:val="24"/>
          <w:szCs w:val="24"/>
          <w:color w:val="auto"/>
        </w:rPr>
      </w:pPr>
    </w:p>
    <w:p>
      <w:pPr>
        <w:ind w:left="2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p>
    <w:p>
      <w:pPr>
        <w:spacing w:after="0" w:line="136"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Do not check if a smaller reporting company</w:t>
      </w:r>
    </w:p>
    <w:p>
      <w:pPr>
        <w:spacing w:after="0" w:line="82"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160" w:firstLine="108"/>
        <w:spacing w:after="0" w:line="273" w:lineRule="auto"/>
        <w:rPr>
          <w:sz w:val="20"/>
          <w:szCs w:val="20"/>
          <w:color w:val="auto"/>
        </w:rPr>
      </w:pPr>
      <w:r>
        <w:rPr>
          <w:rFonts w:ascii="Arial" w:cs="Arial" w:eastAsia="Arial" w:hAnsi="Arial"/>
          <w:sz w:val="14"/>
          <w:szCs w:val="14"/>
          <w:color w:val="auto"/>
        </w:rPr>
        <w:t>The aggregate market value of the voting stock held by non-affiliates of the registrant (assuming only for purposes of this computation that directors and executive officers may be affiliates) was approximately $52.4 billion as of June 30, 2015.</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As of January 27, 2016 the number of shares outstanding of common stock was 1,544,492,608 shares.</w:t>
      </w:r>
    </w:p>
    <w:p>
      <w:pPr>
        <w:spacing w:after="0" w:line="213"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left="80"/>
        <w:spacing w:after="0"/>
        <w:rPr>
          <w:sz w:val="20"/>
          <w:szCs w:val="20"/>
          <w:color w:val="auto"/>
        </w:rPr>
      </w:pPr>
      <w:r>
        <w:rPr>
          <w:rFonts w:ascii="Arial" w:cs="Arial" w:eastAsia="Arial" w:hAnsi="Arial"/>
          <w:sz w:val="14"/>
          <w:szCs w:val="14"/>
          <w:color w:val="auto"/>
        </w:rPr>
        <w:t>Portions of the registrant's definitive Proxy Statement related to the Annual Stockholders Meeting to be filed subsequently are incorporated by reference into Part III of this Form 10-K.</w:t>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w w:val="98"/>
              </w:rPr>
              <w:t>PART I</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22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Business</w:t>
            </w:r>
          </w:p>
        </w:tc>
        <w:tc>
          <w:tcPr>
            <w:tcW w:w="8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w w:val="93"/>
              </w:rPr>
              <w:t>Risk Factors</w:t>
            </w:r>
          </w:p>
        </w:tc>
        <w:tc>
          <w:tcPr>
            <w:tcW w:w="8720" w:type="dxa"/>
            <w:vAlign w:val="bottom"/>
          </w:tcPr>
          <w:p>
            <w:pPr>
              <w:spacing w:after="0"/>
              <w:rPr>
                <w:sz w:val="17"/>
                <w:szCs w:val="17"/>
                <w:color w:val="auto"/>
              </w:rPr>
            </w:pP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rPr>
              <w:t>Properties</w:t>
            </w:r>
          </w:p>
        </w:tc>
        <w:tc>
          <w:tcPr>
            <w:tcW w:w="8720" w:type="dxa"/>
            <w:vAlign w:val="bottom"/>
          </w:tcPr>
          <w:p>
            <w:pPr>
              <w:spacing w:after="0"/>
              <w:rPr>
                <w:sz w:val="17"/>
                <w:szCs w:val="17"/>
                <w:color w:val="auto"/>
              </w:rPr>
            </w:pP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jc w:val="center"/>
              <w:ind w:right="1490"/>
              <w:spacing w:after="0"/>
              <w:rPr>
                <w:sz w:val="20"/>
                <w:szCs w:val="20"/>
                <w:color w:val="auto"/>
              </w:rPr>
            </w:pPr>
            <w:r>
              <w:rPr>
                <w:rFonts w:ascii="Arial" w:cs="Arial" w:eastAsia="Arial" w:hAnsi="Arial"/>
                <w:sz w:val="18"/>
                <w:szCs w:val="18"/>
                <w:b w:val="1"/>
                <w:bCs w:val="1"/>
                <w:color w:val="auto"/>
              </w:rPr>
              <w:t>PART II</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Income Statements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Balance Sheets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Cash Flows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Statements of Equity</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57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67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Equipment on Operating Leases, net</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71">
              <w:r>
                <w:rPr>
                  <w:rFonts w:ascii="Arial" w:cs="Arial" w:eastAsia="Arial" w:hAnsi="Arial"/>
                  <w:sz w:val="18"/>
                  <w:szCs w:val="18"/>
                  <w:color w:val="0000FF"/>
                </w:rPr>
                <w:t>67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Property, net</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70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Goodwill and Intangible Assets, net</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71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72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72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Short-Term and Long-Term Debt</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73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81">
              <w:r>
                <w:rPr>
                  <w:rFonts w:ascii="Arial" w:cs="Arial" w:eastAsia="Arial" w:hAnsi="Arial"/>
                  <w:sz w:val="18"/>
                  <w:szCs w:val="18"/>
                  <w:color w:val="0000FF"/>
                </w:rPr>
                <w:t>77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87">
              <w:r>
                <w:rPr>
                  <w:rFonts w:ascii="Arial" w:cs="Arial" w:eastAsia="Arial" w:hAnsi="Arial"/>
                  <w:sz w:val="18"/>
                  <w:szCs w:val="18"/>
                  <w:color w:val="0000FF"/>
                </w:rPr>
                <w:t>83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87">
              <w:r>
                <w:rPr>
                  <w:rFonts w:ascii="Arial" w:cs="Arial" w:eastAsia="Arial" w:hAnsi="Arial"/>
                  <w:sz w:val="18"/>
                  <w:szCs w:val="18"/>
                  <w:color w:val="0000FF"/>
                </w:rPr>
                <w:t>83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98">
              <w:r>
                <w:rPr>
                  <w:rFonts w:ascii="Arial" w:cs="Arial" w:eastAsia="Arial" w:hAnsi="Arial"/>
                  <w:sz w:val="18"/>
                  <w:szCs w:val="18"/>
                  <w:color w:val="0000FF"/>
                </w:rPr>
                <w:t>94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Interest Income and Other Non-Operating Income, net</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95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100">
              <w:r>
                <w:rPr>
                  <w:rFonts w:ascii="Arial" w:cs="Arial" w:eastAsia="Arial" w:hAnsi="Arial"/>
                  <w:sz w:val="18"/>
                  <w:szCs w:val="18"/>
                  <w:color w:val="0000FF"/>
                </w:rPr>
                <w:t>96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01">
              <w:r>
                <w:rPr>
                  <w:rFonts w:ascii="Arial" w:cs="Arial" w:eastAsia="Arial" w:hAnsi="Arial"/>
                  <w:sz w:val="18"/>
                  <w:szCs w:val="18"/>
                  <w:color w:val="0000FF"/>
                </w:rPr>
                <w:t>97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102">
              <w:r>
                <w:rPr>
                  <w:rFonts w:ascii="Arial" w:cs="Arial" w:eastAsia="Arial" w:hAnsi="Arial"/>
                  <w:sz w:val="18"/>
                  <w:szCs w:val="18"/>
                  <w:color w:val="0000FF"/>
                </w:rPr>
                <w:t>98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Supplementary Quarterly Financial Information (Unaudited)</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04">
              <w:r>
                <w:rPr>
                  <w:rFonts w:ascii="Arial" w:cs="Arial" w:eastAsia="Arial" w:hAnsi="Arial"/>
                  <w:sz w:val="18"/>
                  <w:szCs w:val="18"/>
                  <w:color w:val="0000FF"/>
                </w:rPr>
                <w:t>100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23.</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right"/>
              <w:spacing w:after="0" w:line="202"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Supplemental Information for the Consolidated Statements of Cash Flows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07">
              <w:r>
                <w:rPr>
                  <w:rFonts w:ascii="Arial" w:cs="Arial" w:eastAsia="Arial" w:hAnsi="Arial"/>
                  <w:sz w:val="18"/>
                  <w:szCs w:val="18"/>
                  <w:color w:val="0000FF"/>
                </w:rPr>
                <w:t>103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Subsequent Events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988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08">
              <w:r>
                <w:rPr>
                  <w:rFonts w:ascii="Arial" w:cs="Arial" w:eastAsia="Arial" w:hAnsi="Arial"/>
                  <w:sz w:val="18"/>
                  <w:szCs w:val="18"/>
                  <w:color w:val="0000FF"/>
                </w:rPr>
                <w:t>105</w:t>
              </w:r>
            </w:hyperlink>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988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09">
              <w:r>
                <w:rPr>
                  <w:rFonts w:ascii="Arial" w:cs="Arial" w:eastAsia="Arial" w:hAnsi="Arial"/>
                  <w:sz w:val="18"/>
                  <w:szCs w:val="18"/>
                  <w:color w:val="0000FF"/>
                  <w:w w:val="86"/>
                </w:rPr>
                <w:t>105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9B.</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09">
              <w:r>
                <w:rPr>
                  <w:rFonts w:ascii="Arial" w:cs="Arial" w:eastAsia="Arial" w:hAnsi="Arial"/>
                  <w:sz w:val="18"/>
                  <w:szCs w:val="18"/>
                  <w:color w:val="0000FF"/>
                </w:rPr>
                <w:t>105</w:t>
              </w:r>
            </w:hyperlink>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880" w:type="dxa"/>
            <w:vAlign w:val="bottom"/>
            <w:tcBorders>
              <w:bottom w:val="single" w:sz="8" w:color="CCEEFF"/>
            </w:tcBorders>
            <w:shd w:val="clear" w:color="auto" w:fill="CCEEFF"/>
          </w:tcPr>
          <w:p>
            <w:pPr>
              <w:ind w:left="4380"/>
              <w:spacing w:after="0"/>
              <w:rPr>
                <w:sz w:val="20"/>
                <w:szCs w:val="20"/>
                <w:color w:val="auto"/>
              </w:rPr>
            </w:pPr>
            <w:r>
              <w:rPr>
                <w:rFonts w:ascii="Arial" w:cs="Arial" w:eastAsia="Arial" w:hAnsi="Arial"/>
                <w:sz w:val="18"/>
                <w:szCs w:val="18"/>
                <w:b w:val="1"/>
                <w:bCs w:val="1"/>
                <w:color w:val="auto"/>
              </w:rPr>
              <w:t>PART III</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10.</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10">
              <w:r>
                <w:rPr>
                  <w:rFonts w:ascii="Arial" w:cs="Arial" w:eastAsia="Arial" w:hAnsi="Arial"/>
                  <w:sz w:val="18"/>
                  <w:szCs w:val="18"/>
                  <w:color w:val="0000FF"/>
                </w:rPr>
                <w:t>106</w:t>
              </w:r>
            </w:hyperlink>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11.</w:t>
            </w:r>
          </w:p>
        </w:tc>
        <w:tc>
          <w:tcPr>
            <w:tcW w:w="988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Executive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10">
              <w:r>
                <w:rPr>
                  <w:rFonts w:ascii="Arial" w:cs="Arial" w:eastAsia="Arial" w:hAnsi="Arial"/>
                  <w:sz w:val="18"/>
                  <w:szCs w:val="18"/>
                  <w:color w:val="0000FF"/>
                  <w:w w:val="86"/>
                </w:rPr>
                <w:t>106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12.</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10">
              <w:r>
                <w:rPr>
                  <w:rFonts w:ascii="Arial" w:cs="Arial" w:eastAsia="Arial" w:hAnsi="Arial"/>
                  <w:sz w:val="18"/>
                  <w:szCs w:val="18"/>
                  <w:color w:val="0000FF"/>
                </w:rPr>
                <w:t>106</w:t>
              </w:r>
            </w:hyperlink>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13.</w:t>
            </w:r>
          </w:p>
        </w:tc>
        <w:tc>
          <w:tcPr>
            <w:tcW w:w="988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10">
              <w:r>
                <w:rPr>
                  <w:rFonts w:ascii="Arial" w:cs="Arial" w:eastAsia="Arial" w:hAnsi="Arial"/>
                  <w:sz w:val="18"/>
                  <w:szCs w:val="18"/>
                  <w:color w:val="0000FF"/>
                  <w:w w:val="86"/>
                </w:rPr>
                <w:t>106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14.</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Principal Accountant Fees and Services</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10">
              <w:r>
                <w:rPr>
                  <w:rFonts w:ascii="Arial" w:cs="Arial" w:eastAsia="Arial" w:hAnsi="Arial"/>
                  <w:sz w:val="18"/>
                  <w:szCs w:val="18"/>
                  <w:color w:val="0000FF"/>
                </w:rPr>
                <w:t>106</w:t>
              </w:r>
            </w:hyperlink>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880" w:type="dxa"/>
            <w:vAlign w:val="bottom"/>
            <w:tcBorders>
              <w:bottom w:val="single" w:sz="8" w:color="CCEEFF"/>
            </w:tcBorders>
            <w:shd w:val="clear" w:color="auto" w:fill="CCEEFF"/>
          </w:tcPr>
          <w:p>
            <w:pPr>
              <w:ind w:left="4380"/>
              <w:spacing w:after="0"/>
              <w:rPr>
                <w:sz w:val="20"/>
                <w:szCs w:val="20"/>
                <w:color w:val="auto"/>
              </w:rPr>
            </w:pPr>
            <w:r>
              <w:rPr>
                <w:rFonts w:ascii="Arial" w:cs="Arial" w:eastAsia="Arial" w:hAnsi="Arial"/>
                <w:sz w:val="18"/>
                <w:szCs w:val="18"/>
                <w:b w:val="1"/>
                <w:bCs w:val="1"/>
                <w:color w:val="auto"/>
              </w:rPr>
              <w:t>PART IV</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15.</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Exhibits</w:t>
            </w:r>
          </w:p>
        </w:tc>
        <w:tc>
          <w:tcPr>
            <w:tcW w:w="560" w:type="dxa"/>
            <w:vAlign w:val="bottom"/>
            <w:gridSpan w:val="3"/>
          </w:tcPr>
          <w:p>
            <w:pPr>
              <w:jc w:val="right"/>
              <w:ind w:right="20"/>
              <w:spacing w:after="0" w:line="202" w:lineRule="exact"/>
              <w:rPr>
                <w:rFonts w:ascii="Arial" w:cs="Arial" w:eastAsia="Arial" w:hAnsi="Arial"/>
                <w:sz w:val="18"/>
                <w:szCs w:val="18"/>
                <w:color w:val="0000FF"/>
              </w:rPr>
            </w:pPr>
            <w:hyperlink w:anchor="page111">
              <w:r>
                <w:rPr>
                  <w:rFonts w:ascii="Arial" w:cs="Arial" w:eastAsia="Arial" w:hAnsi="Arial"/>
                  <w:sz w:val="18"/>
                  <w:szCs w:val="18"/>
                  <w:color w:val="0000FF"/>
                </w:rPr>
                <w:t>107</w:t>
              </w:r>
            </w:hyperlink>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Signatures</w:t>
            </w:r>
          </w:p>
        </w:tc>
        <w:tc>
          <w:tcPr>
            <w:tcW w:w="98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13">
              <w:r>
                <w:rPr>
                  <w:rFonts w:ascii="Arial" w:cs="Arial" w:eastAsia="Arial" w:hAnsi="Arial"/>
                  <w:sz w:val="18"/>
                  <w:szCs w:val="18"/>
                  <w:color w:val="0000FF"/>
                </w:rPr>
                <w:t>110</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8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General Motors Company (sometimes referred to as we, our, us, ourselves, the Company, General Motors, or GM) was incorporated as a Delaware corporation in 2009. We design, build and sell cars, trucks, crossovers and automobile parts worldwide. We also provide automotive financing services through General Motors Financial Company, Inc. (GM Financial).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companies design, manufacture and market vehicles under the Baojun, Buick, Cadillac, Chevrolet, Jiefang and Wuling brands.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we sell to our dealers for consumer retail sales, we also sell cars and trucks to fleet customers, including daily rental car companies, commercial fleet customers, leasing companies and governments. We sell vehicles to fleet customers directly or through our network of dealers. Our retail and fleet customers can obtain a wide range of aftersale vehicle services and products through our dealer network, such as maintenance, light repairs, collision repairs, vehicle accessories and extended service warranties.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Competitive Position</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global automotive industry is highly competitive. The principal factors that determine consumer vehicle preferences in the markets in which we operate include overall vehicle design, price, quality, available options, safety, reliability, fuel economy and functionality. Market leadership in individual countries in which we compete varies widely.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Vehicle Sales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We do not currently export vehicles to Cuba, Iran, North Korea, Sudan or Syria. Accordingly these countries are excluded from industry sales data in the tables below and corresponding calculations of our market share.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Vehicle Sales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Wholesale vehicle sales data, which represents sales directly to dealers and others, is the measure that correlates to our revenue from the sale of vehicles, which is the largest component of Automotive net sales and revenue. Wholesale vehicle sales exclude vehicles produced by joint ventures. We estimate our global breakeven point, excluding joint ventures selling automobiles in China (Automotive China JVs), to be approximately 4.5 million annual wholesale vehicle sales. In the year ended December 31, 2015, 48.3% of our wholesale vehicle sales volume was generated outside the U.S. The following table summarizes total wholesale vehicle sales of new vehicles by automotive segment (vehicles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5"/>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GME</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18.1%</w:t>
            </w:r>
          </w:p>
        </w:tc>
      </w:tr>
      <w:tr>
        <w:trPr>
          <w:trHeight w:val="27"/>
        </w:trPr>
        <w:tc>
          <w:tcPr>
            <w:tcW w:w="5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GMSA</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16.4%</w:t>
            </w:r>
          </w:p>
        </w:tc>
      </w:tr>
      <w:tr>
        <w:trPr>
          <w:trHeight w:val="27"/>
        </w:trPr>
        <w:tc>
          <w:tcPr>
            <w:tcW w:w="5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 Vehicle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the end customers based upon the good faith estimates of management, including fleets,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sales to the end customers.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sold through the dealer registration channel (primarily in Europe). This sales channel consists primarily of dealer demonstrator, loaner and self-registered vehicles. These vehicles are not eligible to be sold as new vehicles after being registered by dealers. Certain fleet sales that are accounted for as operating leases are included in retail vehicle sales at the time of delivery to the daily rental car companies. The following table summarizes total industry retail sales, or estimated sales where retail sales volume is not available, of new vehicles and our related competitive position by geographic region (vehicles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9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8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3,082</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2,935</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15,894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478</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3,612</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20,204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3,413</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19,090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Europe</w:t>
            </w: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11,064</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19,289</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18,705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18,404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3,730</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24,035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3,540</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22,202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18,943</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838</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19,035</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Asia/Pacific, Middle East and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43,997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43,172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4,378</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41,237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4,181</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Total Worldwide</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88,985</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9,958</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87,396</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9,925</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84,669</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9,714</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Cars</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7,566</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931</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7,688</w:t>
            </w:r>
          </w:p>
        </w:tc>
        <w:tc>
          <w:tcPr>
            <w:tcW w:w="1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Trucks</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Crossovers</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5,102</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877</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17,852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3,082</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16,859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2,935</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15,894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China</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SGMW and FAW-GM</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China</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3,730</w:t>
            </w:r>
          </w:p>
        </w:tc>
        <w:tc>
          <w:tcPr>
            <w:tcW w:w="9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24,035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3,540</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22,202</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3,160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jc w:val="both"/>
        <w:ind w:left="340" w:hanging="332"/>
        <w:spacing w:after="0" w:line="25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China sales include the Automotive China JVs SAIC General Motors Sales Co., Ltd. (SGMS), SAIC-GM-Wuling Automobile Co., Ltd. (SGMW) and FAW-GM Light Duty Commercial Vehicle Co., Ltd. (FAW-GM). End customer data is not readily available for the industry; therefore, wholesale volumes were used for Industry, GM and Market Share. Our retail sales in China were 3,613; 3,435 and 3,082 in the years ended December 31, 2015, 2014 and 2013.</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2015 we estimate we had the largest market share in North America and South America, the number two market share in the Asia/Pacific, Middle East and Africa region, which included the largest market share in China, and the number seven market share in Europe. In the year ended December 31, 2015 the Asia/Pacific, Middle East and Africa region was our largest region by retail vehicle sales volume and represented 45.4% of our global retail vehicle sales.</w:t>
      </w:r>
    </w:p>
    <w:p>
      <w:pPr>
        <w:spacing w:after="0" w:line="187"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Our retail vehicle sales volumes in the year ended December 31, 2015 grew at a slightly slower pace than the overall industry, resulting in a 0.2 percentage point industry share decline. Our market share decreased due primarily to the change of our business model in Russia, our vehicle price increases in Brazil and our planned reduction of fleet sales in the U.S., (refer to the "Overview" section of Management's Discussion and Analysis of Financial Condition and Results of Operations (MD&amp;A) for detail), partially offset by our market share increase in China driven by strong performance of existing products and successful new launches including new sport utility vehicles (SUVs), Cadillac vehicles and multipurpose vehicles. Our retail vehicle sales volumes in the year ended December 31, 2014 grew at a slightly slower pace than the overall industry, resulting in a 0.1 percentage point industry share decline. Our market share decreased due primarily to the withdrawal of the Chevrolet brand from Europe and economic conditions and competitive environment in Brazil, partially offset by our market share increase in China driven by improved performance of existing products and successful launches of new vehicles.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Fleet Sales and Deliveries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sales and market share data provided previously includes both retail and fleet vehicle sales. Certain fleet transactions, particularly daily rental, are generally less profitable than retail sales.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120" w:type="dxa"/>
            <w:vAlign w:val="bottom"/>
            <w:tcBorders>
              <w:bottom w:val="single" w:sz="8" w:color="auto"/>
            </w:tcBorders>
            <w:gridSpan w:val="5"/>
          </w:tcPr>
          <w:p>
            <w:pPr>
              <w:jc w:val="center"/>
              <w:ind w:left="954"/>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GME</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GMSA</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432"/>
        </w:trPr>
        <w:tc>
          <w:tcPr>
            <w:tcW w:w="7280" w:type="dxa"/>
            <w:vAlign w:val="bottom"/>
          </w:tcPr>
          <w:p>
            <w:pPr>
              <w:ind w:left="180"/>
              <w:spacing w:after="0"/>
              <w:rPr>
                <w:sz w:val="20"/>
                <w:szCs w:val="20"/>
                <w:color w:val="auto"/>
              </w:rPr>
            </w:pPr>
            <w:r>
              <w:rPr>
                <w:rFonts w:ascii="Arial" w:cs="Arial" w:eastAsia="Arial" w:hAnsi="Arial"/>
                <w:sz w:val="18"/>
                <w:szCs w:val="18"/>
                <w:color w:val="auto"/>
              </w:rPr>
              <w:t>The following table summarizes U.S. fleet sales (vehicles in thousands):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80" w:type="dxa"/>
            <w:vAlign w:val="bottom"/>
          </w:tcPr>
          <w:p>
            <w:pPr>
              <w:spacing w:after="0"/>
              <w:rPr>
                <w:sz w:val="24"/>
                <w:szCs w:val="24"/>
                <w:color w:val="auto"/>
              </w:rPr>
            </w:pPr>
          </w:p>
        </w:tc>
        <w:tc>
          <w:tcPr>
            <w:tcW w:w="3120" w:type="dxa"/>
            <w:vAlign w:val="bottom"/>
            <w:tcBorders>
              <w:bottom w:val="single" w:sz="8" w:color="auto"/>
            </w:tcBorders>
            <w:gridSpan w:val="5"/>
          </w:tcPr>
          <w:p>
            <w:pPr>
              <w:jc w:val="center"/>
              <w:ind w:left="954"/>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fleet sales</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Fleet sales as a percentage of total U.S. retail vehicle sales</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Trucks</w:t>
            </w:r>
          </w:p>
        </w:tc>
        <w:tc>
          <w:tcPr>
            <w:tcW w:w="13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Total vehicles</w:t>
            </w:r>
          </w:p>
        </w:tc>
        <w:tc>
          <w:tcPr>
            <w:tcW w:w="13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Pricing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Several methods are used to promote our products, including the use of dealer, retail and fleet incentives such as customer rebates and finance rate support. The level of incentives is dependent in large part upon the level of competition in the markets in which we operate and the level of demand for our products. In 2016 we plan to continue to price vehicles competitively, including offering incentives as required. We believe this strategy, coupled with sound inventory management, will continue to strengthen the reputation of our brands.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Cyclical Nature of Business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Retail sales are cyclical and production varies from month to month. Vehicle model changeovers occur throughout the year as a result of new market entries. The market for vehicles depends on general economic conditions, credit availability and consumer spending.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Relationship with Dealers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market vehicles worldwide primarily through a network of independent authorized retail dealers. These outlets include distributors, dealers and authorized sales, service and parts outlets.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number of authorized dealerships: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2015</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2014</w:t>
            </w:r>
          </w:p>
        </w:tc>
        <w:tc>
          <w:tcPr>
            <w:tcW w:w="158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 2013</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6,330</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7,087</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7,755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7,699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1,201</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20,252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20,512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20,706</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and our joint ventures enter into a contract with each authorized dealer agreeing to sell to the dealer one or more specified product lines at wholesale prices and granting the dealer the right to sell those vehicles to retail customers from an approved location. Our dealers often offer more than one GM brand at a single dealership in a number of our markets in order to enhance dealer profitability. Authorized dealers offer parts, accessories, service and repairs for GM vehicles in the product lines that they sell using GM parts and accessories. Our dealers are authorized to service GM vehicles under our limited warranty program and those repairs are to be made only with GM parts. Our dealers generally provide their customers access to credit or lease financing, vehicle insurance and extended service contracts provided by GM Financial and other financial institutions.</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quality of GM dealerships and our relationship with our dealers and distributors are critical to our success as dealers maintain the primary sales and service interface with the end consumer of our products. In addition to the terms of our contracts with our dealers we are regulated by various country and state franchise laws that may supersede those contractual terms and impose specific regulatory requirements and standards for initiating dealer network changes, pursuing terminations for cause and other contractual matters.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Product and Business Development and Intellectual Property</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Costs for research, manufacturing engineering, product engineering and design and development activities relate primarily to developing new products or services or improving existing products or services including activities related to vehicle emissions control, improved fuel economy, the safety of drivers and passengers, urban mobility and autonomous vehicles. In the years ended December 31, 2015, 2014 and 2013 research and development expenses were $7.5 billion, $7.4 billion and $7.2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Development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Product Development organization is responsible for designing and integrating vehicle and powertrain components to maximize part sharing across multiple vehicle segments. Global teams in Design, Program Management, Component &amp; Subsystem Engineering, Product Integrity, Powertrain and Purchasing &amp; Supply Chain collaborate to meet customer requirements and maximize global economies of scale.</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global vehicle architecture development has been consolidated and headquartered at our Global Technical Center in Warren, Michigan, to further the standardization of our overall vehicle development process. Cross-segment part sharing is an essential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enabler to our Vehicle Set Strategy, designed to reduce our overall number of global vehicle architectures to four major vehicle sets. As we implement the four vehicle sets, we will continue to leverage our current architecture portfolio to accommodate our customers around the world while achieving our financial goals.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Hybrid, Plug-In, Extended Range and Battery Electric Vehicles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are investing significantly in multiple technologies offering increasing levels of vehicle electrification including eAssist, plug-in hybrid, full hybrid, extended range and battery electric vehicles. We currently offer five models in the U.S. featuring some form of electrification and continue to develop plug-in hybrid electric vehicle (PHEV) technology and extended range electric vehicles such as the Chevrolet Volt and Cadillac ELR. In 2015 we introduced the second-generation Chevrolet Volt. We also debuted the Chevrolet Bolt EV concept at the 2015 North American International Auto Show in Detroit, Michigan and the Cadillac CT6 PHEV at the 2015 Shanghai Auto Show. The Bolt EV will be an all-electric vehicle when it goes into production at our Orion Assembly plant in late 2016, providing more than 200 miles of range on a full charge.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OnStar, LLC</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OnStar, LLC (OnStar) is a wholly-owned subsidiary of GM serving more than 6.6 million subscribers in the U.S., Canada, Mexico, China (through a joint venture) and selected markets in Europe (launched in August 2015). OnStar is a provider of connected safety, security and mobility solutions and advanced information technology and is available on the majority of our 2016 model year vehicles. OnStar's key services include automatic crash response, stolen vehicle assistance, remote door unlock, turn-by-turn navigation, vehicle diagnostics, hands-free calling and 4G LTE wireless connectivity.</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OnStar has developed a system based on the findings of a Center for Disease Control and Prevention expert panel which allows OnStar advisors to alert first responders when a vehicle crash is likely to have caused serious injury to the occupants. OnStar also offers a mobile application to provide subscribers with up-to-date vehicle information such as oil level, tire pressure and fuel level as well as remote start, remote door lock and unlock and navigation services from a mobile phone.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Car- and Ride-Sharing</w:t>
      </w:r>
    </w:p>
    <w:p>
      <w:pPr>
        <w:spacing w:after="0" w:line="23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January 2016 we announced the next step in our strategy to redefine personal mobility with a new car-sharing service called Maven, which combines our multiple car-sharing programs under a single brand and will expand its offerings to multiple cities and communities across the U.S. Maven gives customers access to highly personalized, on-demand mobility services. In January 2016 we purchased a 9% equity ownership interest in Lyft, Inc. (Lyft), a privately held company, for $0.5 billion, which we will leverage to expand our ride-sharing offerings. We also plan to develop with Lyft an integrated network of on-demand autonomous vehicles in the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Autonomous Technology</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see automation and autonomous technology leading to significant advances in convenience, mobility and safety, since more than 90% of crashes are caused by driver error. We have millions of miles of real-world experience with embedded connectivity through OnStar and advanced safety features that are the building blocks to more advanced automation features and eventually to fully autonomous vehicles. An example of an advanced automation is Super Cruise, a hands-free driving customer convenience feature that we expect to debut in 2017 on the Cadillac CT6 sedan. We are also working on autonomous systems and in 2016 plan to demonstrate the capabilities of a fleet of Chevrolet Volts on our 20,000-employee Global Technical Center campus. These vehicles will be ordered by a mobile phone application to go to the requested location and drive employees to their destination.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Alternative Fuel Vehicles</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believe alternative fuels offer significant potential to reduce petroleum consumption in the transportation sector. By leveraging experience and capability developed around these technologies in our global operations we continue to develop FlexFuel vehicles that can run on gasoline-ethanol blend fuels as well as vehicles that run on compressed natural gas (CNG) and liquefied petroleum gas (LPG).</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currently offer 12 FlexFuel vehicles in the U.S. for the 2016 model year to retail customers plus an additional seven models to fleet and commercial customers capable of operating on gasoline, E85 ethanol or any combination of the two. We continue to study the future role FlexFuel vehicles may play in the U.S. in light of recent regulatory developments and the rate of development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refueling infrastructure. In Brazil a substantial majority of vehicles sold were FlexFuel vehicles capable of running on 100% ethanol blends. We also market FlexFuel vehicles in other global markets where biofuels have emerged in the marketplace.</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produce CNG bi-fuel capable vehicles in Europe such as the Opel Zafira and in the U.S. with the Chevrolet Express and GMC Savana full-size vans (fleet and commercial customers) and the Chevrolet Silverado and GMC Sierra 2500 HD pick-up trucks (commercial and retail customers) that are capable of switching between gasoline or diesel and CNG. In addition we offer the CNG bi-fuel Chevrolet Impala full-size sedan to both fleet and retail markets in the U.S. We offer LPG capable vehicles globally in select markets reflecting the infrastructure, regulatory focus and natural resource availability of the markets in which they are sold.</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support the development of biodiesel blend fuels, which are alternative diesel fuels produced from renewable sources, and we provide biodiesel capabilities in other markets reflecting the availability of biodiesel blend fuels.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Hydrogen Fuel Cell Technology</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As part of our long-term strategy to reduce petroleum consumption and greenhouse gas emissions we are committed to continuing development of our hydrogen fuel cell technology. Our Chevrolet Equinox fuel cell electric vehicle demonstration programs, such as Project Driveway, have accumulated more than 3 million miles of real-world driving by consumers, celebrities, business partners and government agencies. These programs are helping us identify consumer and infrastructure needs to understand the business case for potential production of vehicles with this technology.</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and Honda Motor Company entered into a long-term agreement to co-develop a next-generation fuel cell system and hydrogen storage technologies, aiming for the 2020 timeframe. The collaboration expects to succeed by sharing expertise, economies of scale and common sourcing strategies and builds upon GM's and Honda Motor Company's strengths as leaders in hydrogen fuel cell technology.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Fuel Efficiency</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fully committed to improving fuel efficiency and meeting regulatory standards through a combination of strategies including: (1) extensive technology improvements to conventional powertrains; (2) increased use of smaller displacement engines and improved and advanced automatic transmissions; and (3) vehicle improvements including increased use of lighter, front-wheel drive architectures.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generate and hold a significant number of patents in a number of countries in connection with the operation of our business. While none of these patents are individually material to our business as a whole, these patents are very important to our operations and continued technological development. We hold a number of trademarks and service marks that are very important to our identity and recognition in the marketplace.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Raw Materials, Services and Supplies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purchase a wide variety of raw materials, parts, supplies, energy, freight, transportation and other services from numerous suppliers for use in the manufacture of our products. The raw materials primarily include steel, aluminum, resins, copper, lead and platinum group metals. We have not experienced any significant shortages of raw materials and normally do not carry substantial inventories of such raw materials in excess of levels reasonably required to meet our production requirements.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some instances, we purchase systems, components, parts and supplies from a single source and may be at an increased risk for supply disruptions. The inability or unwillingness of these sources to supply us with parts and supplies could have a material adverse effect on our production capacity. Combined purchases from our two largest suppliers have ranged from approximately 10% to 11% of our total purchases in the years ended December 31, 2015, 2014 and 2013.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and Regulatory Matters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Emissions Control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We are subject to laws and regulations that require us to control automotive emissions, including vehicle exhaust emission standards, vehicle evaporative emission standards and onboard diagnostic (OBD) system requirements. Advanced OBD systems are used to identify and diagnose problems with emission control systems. Problems detected by the OBD system and in-use compliance monitoring may increase warranty costs and the likelihood of recall. Emission and OBD requirements become more stringent each year as vehicles must meet lower emission standards and new diagnostics are required throughout the world without harmonization of global regulations. Zero emission vehicle (ZEV) requirements have been adopted by some U.S. states and there is the possibility that additional jurisdictions could adopt ZEV requirements in the future. While we believe all our products are designed and manufactured in material compliance with vehicle emissions requirements, regulatory authorities may conduct ongoing evaluations of the emissions compliance of products from all manufacturers. This includes vehicle emissions testing, including CO</w:t>
      </w:r>
      <w:r>
        <w:rPr>
          <w:rFonts w:ascii="Arial" w:cs="Arial" w:eastAsia="Arial" w:hAnsi="Arial"/>
          <w:sz w:val="12"/>
          <w:szCs w:val="12"/>
          <w:color w:val="auto"/>
        </w:rPr>
        <w:t>2</w:t>
      </w:r>
      <w:r>
        <w:rPr>
          <w:rFonts w:ascii="Arial" w:cs="Arial" w:eastAsia="Arial" w:hAnsi="Arial"/>
          <w:sz w:val="18"/>
          <w:szCs w:val="18"/>
          <w:color w:val="auto"/>
        </w:rPr>
        <w:t xml:space="preserve"> and nitrogen oxide emissions testing in Europe, and review of emission control strategies.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U.S. and Canada</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U.S. federal government imposes stringent emission control requirements on vehicles sold in the U.S. and additional requirements are imposed by various state governments. Canada’s federal government vehicle emission requirements are generally aligned with the U.S. federal requirements. Each model year we must obtain certification for each test group that our vehicles will meet emission requirements from the U.S. Environmental Protection Agency (EPA) before we can sell vehicles in the U.S. and Canada and from the California Air Resources Board (CARB) before we can sell vehicles in California and other states that have adopted the California emissions requirements.</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CARB's latest emission requirements include more stringent exhaust emission and evaporative emission standards including an increase in ZEVs offered by the same automaker such as electric and hydrogen fuel cell vehicles. CARB has adopted 2018 model year and later requirements for increasing volumes of ZEVs to achieve greenhouse gas as well as criteria pollutant emission reductions to help achieve the state's long-term greenhouse gas reduction goals. The EPA has adopted similar exhaust emission and evaporative emission standards which phase in with the 2017 model year, but do not include ZEV requirements. These new requirements will also increase the time and mileage periods over which manufacturers are responsible for a vehicle's emission performance.</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Clean Air Act permits states that have areas with air quality compliance issues to adopt the California car and light-duty truck emission standards in lieu of the federal requirements. Thirteen states currently have these standards in effect and 10 of these 13 states have adopted the ZEV requirements. The Province of Quebec has also announced its intention to adopt a ZEV requirement.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European Union</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Emissions are regulated by the European Commission (EC) and by governmental authorities in each European Union Member State (EU Member States). The EC imposes emission control requirements on vehicles sold in all 28 EU Member States. We must demonstrate that vehicles will meet emission requirements from an approval authority in one EU Member State before we can sell vehicles in any EU Member States. The regulatory requirements include random testing of newly assembled vehicles and a manufacturer in-use surveillance program. The European Union requirements are equivalent in terms of stringency and implementation to the framework of the United Nations Economic Commission for Europe.</w:t>
      </w:r>
    </w:p>
    <w:p>
      <w:pPr>
        <w:spacing w:after="0" w:line="17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existing level of exhaust emission standards for cars and light-duty trucks, Euro 6, was effective in 2014 for new vehicle approvals and 2015 for new vehicle registrations. Future European Union emission standards focus particularly on further reducing emissions from diesel vehicles by introducing new testing criteria based on “real world driving” emissions (RDE). RDE tests will become effective in 2017. The new requirements will require additional technologies and further increase the cost of diesel engines, which currently cost more than gasoline engines. To comply with RDE tests we expect that we will need to implement technologies identical to those already in production to meet U.S. emission standards. These technologies will put additional cost pressures on the already challenging European Union market for small and mid-size diesel vehicles. Gasoline engines are also affected by the new requirements. The measures for gasoline vehicles that require technology to reduce exhaust pollutant emissions will have adverse effects on vehicle fuel economy which drives additional technology cost to maintain fuel economy.</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increased scrutiny of compliance with emissions standards following the well-publicized emissions scandal involving an unrelated automotive manufacturer may result in changes to these standards, including the implementation of RDE tests, as well as stricter interpretations of these standards and more rigorous enforcement. This may lead to increased costs, penalties, negative publicity or reputation impact for us. Refer to Item 1A. Risk Factors for further discussion of these risks.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long-term, we expect that the EC will continue devising regulatory requirements on the emission test cycle, real driving emission, low temperature testing, fuel evaporation and OBD.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China</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China has implemented European type China 4 standards nationally with European OBD requirements for all newly registered vehicles. Cities such as Beijing, Shanghai and Guangzhou each currently require China 5 standards for newly registered vehicles. In total 11 eastern municipalities and provinces will require China 5 standards prior to nationwide implementation in 2017. The China 5 standards include more stringent emission requirements and increase the time and mileage periods over which manufacturers are responsible for a vehicle's emission performance. China is considering a unique China 6 emission standard with the potential to combine elements of European and U.S. standards. Local implementation is expected as early as 2019.</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Fuel Economy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U.S. and Canada</w:t>
      </w:r>
    </w:p>
    <w:p>
      <w:pPr>
        <w:spacing w:after="0" w:line="22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Corporate Average Fuel Economy (CAFE) reporting is required for three separate fleets: domestically produced cars, imported cars and light-duty trucks. Both car and light-duty truck standards were established using targets for various vehicle sizes and vehicle model sales volumes. In 2016 our domestic car standard is estimated to be 36.2 mpg, our import car standard is estimated to be 40.0 mpg, and our light-duty truck standard is estimated to be 27.1 mpg. Our current product plan is expected to be compliant with the federal CAFE program through the 2016 model year. In addition to federal CAFE the EPA requires compliance with greenhouse gas requirements that are similar to the CAFE program. Our current product plan is expected to be compliant with the federal greenhouse gas program through the 2016 model year. CARB has agreed that compliance with the federal program is deemed to be compliant with the California program for the 2012 through 2016 model years. Although Canada has no parallel CAFE-style fuel economy regulations there are Canadian greenhouse gas regulations that are aligned with the U.S. EPA regulations and the Canadian fleets are expected to be compliant with the Canadian regulations through the 2016 model year.</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Europe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EU has implemented legislation regulating fleet average CO</w:t>
      </w:r>
      <w:r>
        <w:rPr>
          <w:rFonts w:ascii="Arial" w:cs="Arial" w:eastAsia="Arial" w:hAnsi="Arial"/>
          <w:sz w:val="12"/>
          <w:szCs w:val="12"/>
          <w:color w:val="auto"/>
        </w:rPr>
        <w:t>2</w:t>
      </w:r>
      <w:r>
        <w:rPr>
          <w:rFonts w:ascii="Arial" w:cs="Arial" w:eastAsia="Arial" w:hAnsi="Arial"/>
          <w:sz w:val="18"/>
          <w:szCs w:val="18"/>
          <w:color w:val="auto"/>
        </w:rPr>
        <w:t xml:space="preserve"> emissions in Europe and has adopted an even more stringent fleet average CO</w:t>
      </w:r>
      <w:r>
        <w:rPr>
          <w:rFonts w:ascii="Arial" w:cs="Arial" w:eastAsia="Arial" w:hAnsi="Arial"/>
          <w:sz w:val="12"/>
          <w:szCs w:val="12"/>
          <w:color w:val="auto"/>
        </w:rPr>
        <w:t>2</w:t>
      </w:r>
      <w:r>
        <w:rPr>
          <w:rFonts w:ascii="Arial" w:cs="Arial" w:eastAsia="Arial" w:hAnsi="Arial"/>
          <w:sz w:val="18"/>
          <w:szCs w:val="18"/>
          <w:color w:val="auto"/>
        </w:rPr>
        <w:t xml:space="preserve"> target for 2020. Requirements must be met through the introduction of CO</w:t>
      </w:r>
      <w:r>
        <w:rPr>
          <w:rFonts w:ascii="Arial" w:cs="Arial" w:eastAsia="Arial" w:hAnsi="Arial"/>
          <w:sz w:val="12"/>
          <w:szCs w:val="12"/>
          <w:color w:val="auto"/>
        </w:rPr>
        <w:t>2</w:t>
      </w:r>
      <w:r>
        <w:rPr>
          <w:rFonts w:ascii="Arial" w:cs="Arial" w:eastAsia="Arial" w:hAnsi="Arial"/>
          <w:sz w:val="18"/>
          <w:szCs w:val="18"/>
          <w:color w:val="auto"/>
        </w:rPr>
        <w:t xml:space="preserve"> reducing technologies on conventional gasoline and diesel engines or through ultra-low CO</w:t>
      </w:r>
      <w:r>
        <w:rPr>
          <w:rFonts w:ascii="Arial" w:cs="Arial" w:eastAsia="Arial" w:hAnsi="Arial"/>
          <w:sz w:val="12"/>
          <w:szCs w:val="12"/>
          <w:color w:val="auto"/>
        </w:rPr>
        <w:t>2</w:t>
      </w:r>
      <w:r>
        <w:rPr>
          <w:rFonts w:ascii="Arial" w:cs="Arial" w:eastAsia="Arial" w:hAnsi="Arial"/>
          <w:sz w:val="18"/>
          <w:szCs w:val="18"/>
          <w:color w:val="auto"/>
        </w:rPr>
        <w:t xml:space="preserve"> vehicles. We are developing a compliance plan by adopting operational CO</w:t>
      </w:r>
      <w:r>
        <w:rPr>
          <w:rFonts w:ascii="Arial" w:cs="Arial" w:eastAsia="Arial" w:hAnsi="Arial"/>
          <w:sz w:val="12"/>
          <w:szCs w:val="12"/>
          <w:color w:val="auto"/>
        </w:rPr>
        <w:t>2</w:t>
      </w:r>
      <w:r>
        <w:rPr>
          <w:rFonts w:ascii="Arial" w:cs="Arial" w:eastAsia="Arial" w:hAnsi="Arial"/>
          <w:sz w:val="18"/>
          <w:szCs w:val="18"/>
          <w:color w:val="auto"/>
        </w:rPr>
        <w:t xml:space="preserve"> targets for each market entry in Europe. The EC will also devise regulatory requirements on the CO</w:t>
      </w:r>
      <w:r>
        <w:rPr>
          <w:rFonts w:ascii="Arial" w:cs="Arial" w:eastAsia="Arial" w:hAnsi="Arial"/>
          <w:sz w:val="12"/>
          <w:szCs w:val="12"/>
          <w:color w:val="auto"/>
        </w:rPr>
        <w:t>2</w:t>
      </w:r>
      <w:r>
        <w:rPr>
          <w:rFonts w:ascii="Arial" w:cs="Arial" w:eastAsia="Arial" w:hAnsi="Arial"/>
          <w:sz w:val="18"/>
          <w:szCs w:val="18"/>
          <w:color w:val="auto"/>
        </w:rPr>
        <w:t xml:space="preserve"> emission test cycle as of 2017.</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China</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China has both an individual vehicle pass-fail type approval requirement based on Phase 2 standards and a fleet fuel consumption requirement based on Phase 3 standards based on vehicle curb weight for the 2012 through 2015 calendar years. Implementation began in 2012 with full compliance to 6.9L/100km required by 2015. China has continued subsidies for fuel efficient vehicles, plug-in hybrid, battery electric and fuel cell vehicles. China is now working on a more aggressive Phase 4 fleet fuel consumption standard that is expected to apply beginning in 2016 with full compliance to 5.0L/100km required by 2020.</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Industrial Environmental Control</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operations are subject to a wide range of environmental protection laws including those regulating air emissions, 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 Refer to Note 15 to our consolidated financial statements for additional information on environmental matters including site remediation.</w:t>
      </w:r>
    </w:p>
    <w:p>
      <w:pPr>
        <w:spacing w:after="0" w:line="1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To mitigate the effects our worldwide operations have on the environment and reduce greenhouse gas emissions associated with waste disposal, we are committed to converting as many of our worldwide operations as possible to landfill-free operations. At December 31, 2015, 90 (or approximately 50%) of our manufacturing operations were landfill-free. Additionally we have 41 non-manufacturing operations that are landfill-free. At our landfill-free manufacturing operations approximately 89% of waste materials are reused or recycled and 9% are converted to energy at waste-to-energy facilities. Including construction, demolition and remediation wastes, we estimate that we reused, recycled or composted over 2 million metric tons of waste materials at our global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manufacturing operations, converted over 140,000 metric tons of waste materials to energy at waste-to-energy facilities and avoided approximately 9 million metric tons of greenhouse gas emissions in the year ended December 31, 2015.</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addition to minimizing our impact on the environment our landfill-free program and total waste reduction commitments generate revenue from the sale of production by-products, reduce our use of material, reduce our carbon footprint and help to reduce the risks and financial liabilities associated with waste disposal.</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 xml:space="preserve">We continue to search for ways to increase our use of renewable energy and improve our energy efficiency. At December 31, 2015 we had implemented projects globally that had increased our total renewable energy capacity to over 105 megawatts. In 2015 we also met the EPA Energy Star Challenge for Industry (EPA Challenge) </w:t>
      </w:r>
      <w:r>
        <w:rPr>
          <w:rFonts w:ascii="Arial" w:cs="Arial" w:eastAsia="Arial" w:hAnsi="Arial"/>
          <w:sz w:val="17"/>
          <w:szCs w:val="17"/>
          <w:color w:val="222222"/>
        </w:rPr>
        <w:t>at seven of our sites globally by reducing energy intensity an average of 22% at these sites. To meet the EPA Challenge industrial</w:t>
      </w:r>
      <w:r>
        <w:rPr>
          <w:rFonts w:ascii="Arial" w:cs="Arial" w:eastAsia="Arial" w:hAnsi="Arial"/>
          <w:sz w:val="17"/>
          <w:szCs w:val="17"/>
          <w:color w:val="auto"/>
        </w:rPr>
        <w:t xml:space="preserve"> </w:t>
      </w:r>
      <w:r>
        <w:rPr>
          <w:rFonts w:ascii="Arial" w:cs="Arial" w:eastAsia="Arial" w:hAnsi="Arial"/>
          <w:sz w:val="17"/>
          <w:szCs w:val="17"/>
          <w:color w:val="222222"/>
        </w:rPr>
        <w:t xml:space="preserve">sites must reduce energy intensity by 10% in five years or fewer. Three of the sites achieved the goal for the first time, bringing the total number of GM-owned sites to have met the EPA Challenge to 73, with many sites achieving the goal multiple times. These efforts minimize our utility expenses and </w:t>
      </w:r>
      <w:r>
        <w:rPr>
          <w:rFonts w:ascii="Arial" w:cs="Arial" w:eastAsia="Arial" w:hAnsi="Arial"/>
          <w:sz w:val="17"/>
          <w:szCs w:val="17"/>
          <w:color w:val="000000"/>
        </w:rPr>
        <w:t>are part</w:t>
      </w:r>
      <w:r>
        <w:rPr>
          <w:rFonts w:ascii="Arial" w:cs="Arial" w:eastAsia="Arial" w:hAnsi="Arial"/>
          <w:sz w:val="17"/>
          <w:szCs w:val="17"/>
          <w:color w:val="222222"/>
        </w:rPr>
        <w:t xml:space="preserve"> </w:t>
      </w:r>
      <w:r>
        <w:rPr>
          <w:rFonts w:ascii="Arial" w:cs="Arial" w:eastAsia="Arial" w:hAnsi="Arial"/>
          <w:sz w:val="17"/>
          <w:szCs w:val="17"/>
          <w:color w:val="000000"/>
        </w:rPr>
        <w:t>of our approach to addressing climate change through setting a greenhouse gas emissions reduction target, collecting accurate data, following our business plan and publicly reporting progress against our target.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Chemical Regulations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continually monitor the implementation of chemical regulations to maintain compliance and evaluate their effect on our business, suppliers and the automotive industry.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U.S. and Canada</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Governmental agencies in both the U.S. and Canada continue to introduce new regulations and legislation related to the selection and use of chemicals or substances of concern by mandating broad prohibitions,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Chemical restrictions in Canada are progressing more rapidly than in the U.S. as a result of Environment Canada’s Chemical Management Plan to assess existing substances and implement risk management controls on any chemical deemed toxic. These emerging regulations will potentially lead to increases in costs and supply chain complexity. We believe that we are materially in compliance with these requirements or expect to be materially in compliance by the required date.</w:t>
      </w:r>
    </w:p>
    <w:p>
      <w:pPr>
        <w:spacing w:after="0" w:line="16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U.S. Congress is currently pursuing an update of the Toxic Substances Control Act to grant the EPA more authority to regulate and ban chemicals from use in the U.S. which, if passed, is expected to greatly increase the level of regulation of chemicals in vehicles.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Europe</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2007 the EU implemented its regulatory requirements, the EU REACH regulation among others, to register, evaluate, authorize and restrict the use of chemical substances. This regulation requires chemical substances manufactured in or imported into the EU to be registered with the European Chemicals Agency before 2018. Under this regulation, “substances of very high concern” may either require authorization for further use or may be restricted in the future. This could potentially increase the cost of certain alternative substances that are used to manufacture vehicles and parts, or result in a supply chain disruption when a substance is no longer available to meet production timelines. Our research and development initiatives may be diverted to address future requirements. We believe that we are materially in compliance with these requirements or expect to be materially in compliance by the required date.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U.S. the National Traffic and Motor Vehicle Safety Act of 1966 prohibits the sale of any new vehicle or equipment in the U.S. that does not conform to applicable vehicle safety standards established by the National Highway Traffic Safety Administration (NHTSA). If we or NHTSA determine that either a vehicle or vehicle equipment does not comply with a safety standard or if a vehicle defect creates an unreasonable safety risk the manufacturer is required to notify owners and provide a remedy. We are required to report certain information relating to certain customer complaints, warranty claims, field reports and notices and claims involving property damage, injuries and fatalities in the U.S. and claims involving fatalities outside the U.S. We are also required to report certain information concerning safety recalls and other safety campaigns outside the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Outside the U.S. safety standards and recall regulations often have the same purpose as the U.S. standards but may differ in their requirements and test procedures, adding complexity to regulatory compliance. Refer to Note 11 to our consolidated financial statements for additional information on significant recall activities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Europe, South America and, as a result of the 2015 acquisition of Ally Financial, Inc.'s (Ally Financial) equity interest in SAIC-GMAC Automotive Finance Company Limited (SAIC-GMAC), in China.</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provides retail lending, both loan and lease, across the credit spectrum. Additionally GM Financial offers commercial products to dealer customers that include new and used vehicle inventory financing, inventory insurance, working capital, capital improvement loans, and storage center financing.</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North America GM Financial's retail automobile finance programs include prime and sub-prime lending and full credit spectrum leasing. The sub-prime lending program is primarily offered to consumers with FICO scores less than 620 who have limited access to automobile financing through banks and credit unions and is expected to sustain a higher level of credit losses than prime lending. The leasing product is offered through our franchised dealers and primarily targets prime consumers leasing new vehicles. GM Financial is expanding its leasing, near prime and prime lending programs through our franchised dealers and anticipates that leasing and prime lending will become an increasing percentage of originations and the retail portfolio balance over time.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Internationally GM Financial’s retail automobile finance programs focus on prime quality financing through loan and lease products.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seeks to fund its operations in each country through local sources of funding to minimize currency and country risk. GM Financial primarily finances its loan, lease and commercial origination volume through the use of secured and unsecured credit facilities, through securitization transactions where such markets are developed and through the issuance of unsecured debt. In the three months ended September 30, 2015 GM Financial began accepting deposits from retail banking customers in Germany.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2015 we employed 130,000 (61%) hourly employees and 85,000 (39%) salaried employees. At December 31, 2015 52,000 (54%) of our U.S. employees were represented by unions, a majority of which were represented by the International Union, United Automobile, Aerospace and Agriculture Implement Workers of America (UAW). The following table summarizes worldwide employment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2015</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2014</w:t>
            </w:r>
          </w:p>
        </w:tc>
        <w:tc>
          <w:tcPr>
            <w:tcW w:w="15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2013</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219</w:t>
            </w:r>
          </w:p>
        </w:tc>
      </w:tr>
      <w:tr>
        <w:trPr>
          <w:trHeight w:val="109"/>
        </w:trPr>
        <w:tc>
          <w:tcPr>
            <w:tcW w:w="64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U.S. - Salaried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 Hourly</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February 3, 2016 the names and ages of our executive officers and their positions with GM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Name (Age)</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Present GM Position (Effective Date)</w:t>
            </w:r>
          </w:p>
        </w:tc>
        <w:tc>
          <w:tcPr>
            <w:tcW w:w="100" w:type="dxa"/>
            <w:vAlign w:val="bottom"/>
            <w:tcBorders>
              <w:bottom w:val="single" w:sz="8" w:color="CCEEFF"/>
            </w:tcBorders>
          </w:tcPr>
          <w:p>
            <w:pPr>
              <w:spacing w:after="0"/>
              <w:rPr>
                <w:sz w:val="16"/>
                <w:szCs w:val="16"/>
                <w:color w:val="auto"/>
              </w:rPr>
            </w:pPr>
          </w:p>
        </w:tc>
        <w:tc>
          <w:tcPr>
            <w:tcW w:w="57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Positions Held During the Past Five Years (Effective Date)</w:t>
            </w:r>
          </w:p>
        </w:tc>
      </w:tr>
      <w:tr>
        <w:trPr>
          <w:trHeight w:val="219"/>
        </w:trPr>
        <w:tc>
          <w:tcPr>
            <w:tcW w:w="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Mary T. Barra (54)</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Chairman &amp; Chief Executive Officer (2016)</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Chief Executive Officer and Member of the Board of Directors (2014) Executive Vice</w:t>
            </w: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Global Product Development, Purchasing &amp; Supply Chain (2013)</w:t>
            </w: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Senior Vice President, Global Product Development (2011) Vice President, Global</w:t>
            </w:r>
          </w:p>
        </w:tc>
      </w:tr>
      <w:tr>
        <w:trPr>
          <w:trHeight w:val="219"/>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Human Resources (2009)</w:t>
            </w:r>
          </w:p>
        </w:tc>
      </w:tr>
      <w:tr>
        <w:trPr>
          <w:trHeight w:val="220"/>
        </w:trPr>
        <w:tc>
          <w:tcPr>
            <w:tcW w:w="2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Daniel Ammann (43)</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President (2014)</w:t>
            </w:r>
          </w:p>
        </w:tc>
        <w:tc>
          <w:tcPr>
            <w:tcW w:w="5700" w:type="dxa"/>
            <w:vAlign w:val="bottom"/>
          </w:tcPr>
          <w:p>
            <w:pPr>
              <w:ind w:left="20"/>
              <w:spacing w:after="0"/>
              <w:rPr>
                <w:sz w:val="20"/>
                <w:szCs w:val="20"/>
                <w:color w:val="auto"/>
              </w:rPr>
            </w:pPr>
            <w:r>
              <w:rPr>
                <w:rFonts w:ascii="Arial" w:cs="Arial" w:eastAsia="Arial" w:hAnsi="Arial"/>
                <w:sz w:val="16"/>
                <w:szCs w:val="16"/>
                <w:color w:val="auto"/>
              </w:rPr>
              <w:t>Executive Vice President &amp; Chief Financial Officer (2013)</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Senior Vice President &amp; Chief Financial Officer (2011)</w:t>
            </w: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GM Vice President, Finance &amp; Treasurer (2010)</w:t>
            </w: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Jaime Ardila (60)(a)</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Executive Vice President &amp; President, South</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&amp; President, South America (2010)</w:t>
            </w:r>
          </w:p>
        </w:tc>
      </w:tr>
      <w:tr>
        <w:trPr>
          <w:trHeight w:val="219"/>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America (2013)</w:t>
            </w:r>
          </w:p>
        </w:tc>
        <w:tc>
          <w:tcPr>
            <w:tcW w:w="5700" w:type="dxa"/>
            <w:vAlign w:val="bottom"/>
            <w:tcBorders>
              <w:bottom w:val="single" w:sz="8" w:color="CCEEFF"/>
            </w:tcBorders>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Alan S. Batey (52)</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w w:val="97"/>
              </w:rPr>
              <w:t>Executive Vice President &amp; President, North</w:t>
            </w:r>
          </w:p>
        </w:tc>
        <w:tc>
          <w:tcPr>
            <w:tcW w:w="5700" w:type="dxa"/>
            <w:vAlign w:val="bottom"/>
          </w:tcPr>
          <w:p>
            <w:pPr>
              <w:ind w:left="20"/>
              <w:spacing w:after="0"/>
              <w:rPr>
                <w:sz w:val="20"/>
                <w:szCs w:val="20"/>
                <w:color w:val="auto"/>
              </w:rPr>
            </w:pPr>
            <w:r>
              <w:rPr>
                <w:rFonts w:ascii="Arial" w:cs="Arial" w:eastAsia="Arial" w:hAnsi="Arial"/>
                <w:sz w:val="16"/>
                <w:szCs w:val="16"/>
                <w:color w:val="auto"/>
              </w:rPr>
              <w:t>Senior Vice President, Global Chevrolet and Brand Chief and U.S. Sales and</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America (2014)</w:t>
            </w:r>
          </w:p>
        </w:tc>
        <w:tc>
          <w:tcPr>
            <w:tcW w:w="5700" w:type="dxa"/>
            <w:vAlign w:val="bottom"/>
          </w:tcPr>
          <w:p>
            <w:pPr>
              <w:ind w:left="20"/>
              <w:spacing w:after="0"/>
              <w:rPr>
                <w:sz w:val="20"/>
                <w:szCs w:val="20"/>
                <w:color w:val="auto"/>
              </w:rPr>
            </w:pPr>
            <w:r>
              <w:rPr>
                <w:rFonts w:ascii="Arial" w:cs="Arial" w:eastAsia="Arial" w:hAnsi="Arial"/>
                <w:sz w:val="16"/>
                <w:szCs w:val="16"/>
                <w:color w:val="auto"/>
              </w:rPr>
              <w:t>Marketing (2013)</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w w:val="95"/>
              </w:rPr>
              <w:t>GM Vice President, U.S. Sales and Service, and Interim GM Chief Marketing Officer</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(2012)</w:t>
            </w: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Vice President, U.S. Chevrolet Sales and Service (2010)</w:t>
            </w: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James B. DeLuca (54)</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Manufacturing, GM International Operations (2013)</w:t>
            </w:r>
          </w:p>
        </w:tc>
      </w:tr>
      <w:tr>
        <w:trPr>
          <w:trHeight w:val="219"/>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Manufacturing (2014)</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Quality, GM International Operations (2009)</w:t>
            </w:r>
          </w:p>
        </w:tc>
      </w:tr>
      <w:tr>
        <w:trPr>
          <w:trHeight w:val="220"/>
        </w:trPr>
        <w:tc>
          <w:tcPr>
            <w:tcW w:w="2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Carel Johannes de Nysschen (55)</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President,</w:t>
            </w:r>
          </w:p>
        </w:tc>
        <w:tc>
          <w:tcPr>
            <w:tcW w:w="5700" w:type="dxa"/>
            <w:vAlign w:val="bottom"/>
          </w:tcPr>
          <w:p>
            <w:pPr>
              <w:ind w:left="20"/>
              <w:spacing w:after="0"/>
              <w:rPr>
                <w:sz w:val="20"/>
                <w:szCs w:val="20"/>
                <w:color w:val="auto"/>
              </w:rPr>
            </w:pPr>
            <w:r>
              <w:rPr>
                <w:rFonts w:ascii="Arial" w:cs="Arial" w:eastAsia="Arial" w:hAnsi="Arial"/>
                <w:sz w:val="16"/>
                <w:szCs w:val="16"/>
                <w:color w:val="auto"/>
              </w:rPr>
              <w:t>Infiniti Motor Company, President (2012)</w:t>
            </w: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Cadillac (2014)</w:t>
            </w:r>
          </w:p>
        </w:tc>
        <w:tc>
          <w:tcPr>
            <w:tcW w:w="5700" w:type="dxa"/>
            <w:vAlign w:val="bottom"/>
          </w:tcPr>
          <w:p>
            <w:pPr>
              <w:ind w:left="20"/>
              <w:spacing w:after="0"/>
              <w:rPr>
                <w:sz w:val="20"/>
                <w:szCs w:val="20"/>
                <w:color w:val="auto"/>
              </w:rPr>
            </w:pPr>
            <w:r>
              <w:rPr>
                <w:rFonts w:ascii="Arial" w:cs="Arial" w:eastAsia="Arial" w:hAnsi="Arial"/>
                <w:sz w:val="16"/>
                <w:szCs w:val="16"/>
                <w:color w:val="auto"/>
              </w:rPr>
              <w:t>Audi of America, Inc., President (2004)</w:t>
            </w: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Barry L. Engle (52)</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Executive Vice President &amp; President, South</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Agility Fuel Systems, CEO (2011)</w:t>
            </w:r>
          </w:p>
        </w:tc>
      </w:tr>
      <w:tr>
        <w:trPr>
          <w:trHeight w:val="219"/>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America (2015)</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THINK Holdings, CEO (2010)</w:t>
            </w:r>
          </w:p>
        </w:tc>
      </w:tr>
      <w:tr>
        <w:trPr>
          <w:trHeight w:val="220"/>
        </w:trPr>
        <w:tc>
          <w:tcPr>
            <w:tcW w:w="2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Stefan Jacoby (57)</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700" w:type="dxa"/>
            <w:vAlign w:val="bottom"/>
          </w:tcPr>
          <w:p>
            <w:pPr>
              <w:ind w:left="20"/>
              <w:spacing w:after="0"/>
              <w:rPr>
                <w:sz w:val="20"/>
                <w:szCs w:val="20"/>
                <w:color w:val="auto"/>
              </w:rPr>
            </w:pPr>
            <w:r>
              <w:rPr>
                <w:rFonts w:ascii="Arial" w:cs="Arial" w:eastAsia="Arial" w:hAnsi="Arial"/>
                <w:sz w:val="16"/>
                <w:szCs w:val="16"/>
                <w:color w:val="auto"/>
              </w:rPr>
              <w:t>Volvo Car Corporation - Global Chief Executive Officer and President (2010)</w:t>
            </w: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International (2013)</w:t>
            </w:r>
          </w:p>
        </w:tc>
        <w:tc>
          <w:tcPr>
            <w:tcW w:w="570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Craig B. Glidden (58)</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General</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LyondellBasell, Executive Vice President and Chief Legal Officer (2009)</w:t>
            </w:r>
          </w:p>
        </w:tc>
      </w:tr>
      <w:tr>
        <w:trPr>
          <w:trHeight w:val="219"/>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Counsel (2015)</w:t>
            </w:r>
          </w:p>
        </w:tc>
        <w:tc>
          <w:tcPr>
            <w:tcW w:w="5700" w:type="dxa"/>
            <w:vAlign w:val="bottom"/>
            <w:tcBorders>
              <w:bottom w:val="single" w:sz="8" w:color="CCEEFF"/>
            </w:tcBorders>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Karl-Thomas Neumann (54)</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President,</w:t>
            </w:r>
          </w:p>
        </w:tc>
        <w:tc>
          <w:tcPr>
            <w:tcW w:w="5700" w:type="dxa"/>
            <w:vAlign w:val="bottom"/>
          </w:tcPr>
          <w:p>
            <w:pPr>
              <w:ind w:left="20"/>
              <w:spacing w:after="0"/>
              <w:rPr>
                <w:sz w:val="20"/>
                <w:szCs w:val="20"/>
                <w:color w:val="auto"/>
              </w:rPr>
            </w:pPr>
            <w:r>
              <w:rPr>
                <w:rFonts w:ascii="Arial" w:cs="Arial" w:eastAsia="Arial" w:hAnsi="Arial"/>
                <w:sz w:val="16"/>
                <w:szCs w:val="16"/>
                <w:color w:val="auto"/>
              </w:rPr>
              <w:t>CEO, Opel Group GmbH &amp; President, GM Europe (2013)</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Europe and Chairman of the Management</w:t>
            </w:r>
          </w:p>
        </w:tc>
        <w:tc>
          <w:tcPr>
            <w:tcW w:w="5700" w:type="dxa"/>
            <w:vAlign w:val="bottom"/>
          </w:tcPr>
          <w:p>
            <w:pPr>
              <w:ind w:left="20"/>
              <w:spacing w:after="0"/>
              <w:rPr>
                <w:sz w:val="20"/>
                <w:szCs w:val="20"/>
                <w:color w:val="auto"/>
              </w:rPr>
            </w:pPr>
            <w:r>
              <w:rPr>
                <w:rFonts w:ascii="Arial" w:cs="Arial" w:eastAsia="Arial" w:hAnsi="Arial"/>
                <w:sz w:val="16"/>
                <w:szCs w:val="16"/>
                <w:color w:val="auto"/>
              </w:rPr>
              <w:t>Volkswagen Group China - Chief Executive Officer and President (2010)</w:t>
            </w: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Board of Opel Group GmbH (2013)</w:t>
            </w:r>
          </w:p>
        </w:tc>
        <w:tc>
          <w:tcPr>
            <w:tcW w:w="570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John J. Quattrone (63)</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Vice President, Global Human</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VP of Human Resources, Global Product Development &amp; Global Purchasing &amp;</w:t>
            </w: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Resources (2014)</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Supply Chain / Corporate Strategy, Business Development &amp; Global Planning &amp;</w:t>
            </w:r>
          </w:p>
        </w:tc>
      </w:tr>
      <w:tr>
        <w:trPr>
          <w:trHeight w:val="219"/>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Program organizations (2009)</w:t>
            </w:r>
          </w:p>
        </w:tc>
      </w:tr>
      <w:tr>
        <w:trPr>
          <w:trHeight w:val="220"/>
        </w:trPr>
        <w:tc>
          <w:tcPr>
            <w:tcW w:w="2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Mark L. Reuss (52)</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 Product</w:t>
            </w:r>
          </w:p>
        </w:tc>
        <w:tc>
          <w:tcPr>
            <w:tcW w:w="5700" w:type="dxa"/>
            <w:vAlign w:val="bottom"/>
          </w:tcPr>
          <w:p>
            <w:pPr>
              <w:ind w:left="20"/>
              <w:spacing w:after="0"/>
              <w:rPr>
                <w:sz w:val="20"/>
                <w:szCs w:val="20"/>
                <w:color w:val="auto"/>
              </w:rPr>
            </w:pPr>
            <w:r>
              <w:rPr>
                <w:rFonts w:ascii="Arial" w:cs="Arial" w:eastAsia="Arial" w:hAnsi="Arial"/>
                <w:sz w:val="16"/>
                <w:szCs w:val="16"/>
                <w:color w:val="auto"/>
              </w:rPr>
              <w:t>Executive Vice President &amp; President, North America (2013)</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Development, Purchasing &amp; Supply Chain</w:t>
            </w:r>
          </w:p>
        </w:tc>
        <w:tc>
          <w:tcPr>
            <w:tcW w:w="5700" w:type="dxa"/>
            <w:vAlign w:val="bottom"/>
          </w:tcPr>
          <w:p>
            <w:pPr>
              <w:ind w:left="20"/>
              <w:spacing w:after="0"/>
              <w:rPr>
                <w:sz w:val="20"/>
                <w:szCs w:val="20"/>
                <w:color w:val="auto"/>
              </w:rPr>
            </w:pPr>
            <w:r>
              <w:rPr>
                <w:rFonts w:ascii="Arial" w:cs="Arial" w:eastAsia="Arial" w:hAnsi="Arial"/>
                <w:sz w:val="16"/>
                <w:szCs w:val="16"/>
                <w:color w:val="auto"/>
                <w:w w:val="98"/>
              </w:rPr>
              <w:t>GM Vice President &amp; President, North America (2009) GM Vice President, Global</w:t>
            </w: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Vehicle Engineering (2009)</w:t>
            </w: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Charles K. Stevens, III (56)</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Chief Financial</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Financial Officer, GM North America (2010)</w:t>
            </w:r>
          </w:p>
        </w:tc>
      </w:tr>
      <w:tr>
        <w:trPr>
          <w:trHeight w:val="219"/>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Officer (2014)</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Interim Chief Financial Officer, GM South America (2011)</w:t>
            </w:r>
          </w:p>
        </w:tc>
      </w:tr>
      <w:tr>
        <w:trPr>
          <w:trHeight w:val="220"/>
        </w:trPr>
        <w:tc>
          <w:tcPr>
            <w:tcW w:w="2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Matthew Tsien (55)</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700" w:type="dxa"/>
            <w:vAlign w:val="bottom"/>
          </w:tcPr>
          <w:p>
            <w:pPr>
              <w:ind w:left="20"/>
              <w:spacing w:after="0"/>
              <w:rPr>
                <w:sz w:val="20"/>
                <w:szCs w:val="20"/>
                <w:color w:val="auto"/>
              </w:rPr>
            </w:pPr>
            <w:r>
              <w:rPr>
                <w:rFonts w:ascii="Arial" w:cs="Arial" w:eastAsia="Arial" w:hAnsi="Arial"/>
                <w:sz w:val="16"/>
                <w:szCs w:val="16"/>
                <w:color w:val="auto"/>
              </w:rPr>
              <w:t>GM Consolidated International Operations Vice President, Planning, Program</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China (2014)</w:t>
            </w:r>
          </w:p>
        </w:tc>
        <w:tc>
          <w:tcPr>
            <w:tcW w:w="5700" w:type="dxa"/>
            <w:vAlign w:val="bottom"/>
          </w:tcPr>
          <w:p>
            <w:pPr>
              <w:ind w:left="20"/>
              <w:spacing w:after="0"/>
              <w:rPr>
                <w:sz w:val="20"/>
                <w:szCs w:val="20"/>
                <w:color w:val="auto"/>
              </w:rPr>
            </w:pPr>
            <w:r>
              <w:rPr>
                <w:rFonts w:ascii="Arial" w:cs="Arial" w:eastAsia="Arial" w:hAnsi="Arial"/>
                <w:sz w:val="16"/>
                <w:szCs w:val="16"/>
                <w:color w:val="auto"/>
              </w:rPr>
              <w:t>Management, &amp; Strategic Alliances China (2012)</w:t>
            </w: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6"/>
                <w:szCs w:val="16"/>
                <w:color w:val="auto"/>
              </w:rPr>
              <w:t>Executive Vice President, SAIC GM Wuling (2009)</w:t>
            </w:r>
          </w:p>
        </w:tc>
      </w:tr>
      <w:tr>
        <w:trPr>
          <w:trHeight w:val="47"/>
        </w:trPr>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20"/>
        </w:trPr>
        <w:tc>
          <w:tcPr>
            <w:tcW w:w="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Thomas S. Timko (47)</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Vice President, Controller &amp; Chief</w:t>
            </w: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Applied Materials Inc. - Corporate Vice President, Chief Accounting Officer, and</w:t>
            </w:r>
          </w:p>
        </w:tc>
      </w:tr>
      <w:tr>
        <w:trPr>
          <w:trHeight w:val="219"/>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Accounting Officer (2013)</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Controller (2010)</w:t>
            </w:r>
          </w:p>
        </w:tc>
      </w:tr>
      <w:tr>
        <w:trPr>
          <w:trHeight w:val="179"/>
        </w:trPr>
        <w:tc>
          <w:tcPr>
            <w:tcW w:w="20" w:type="dxa"/>
            <w:vAlign w:val="bottom"/>
          </w:tcPr>
          <w:p>
            <w:pPr>
              <w:spacing w:after="0"/>
              <w:rPr>
                <w:sz w:val="15"/>
                <w:szCs w:val="15"/>
                <w:color w:val="auto"/>
              </w:rPr>
            </w:pPr>
          </w:p>
        </w:tc>
        <w:tc>
          <w:tcPr>
            <w:tcW w:w="250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206"/>
        </w:trPr>
        <w:tc>
          <w:tcPr>
            <w:tcW w:w="2640" w:type="dxa"/>
            <w:vAlign w:val="bottom"/>
            <w:gridSpan w:val="3"/>
          </w:tcPr>
          <w:p>
            <w:pPr>
              <w:spacing w:after="0"/>
              <w:rPr>
                <w:sz w:val="20"/>
                <w:szCs w:val="20"/>
                <w:color w:val="auto"/>
              </w:rPr>
            </w:pPr>
            <w:r>
              <w:rPr>
                <w:rFonts w:ascii="Arial" w:cs="Arial" w:eastAsia="Arial" w:hAnsi="Arial"/>
                <w:sz w:val="16"/>
                <w:szCs w:val="16"/>
                <w:color w:val="auto"/>
              </w:rPr>
              <w:t>(a) Retiring effective early 2016.</w:t>
            </w: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Pr>
          <w:p>
            <w:pPr>
              <w:spacing w:after="0"/>
              <w:rPr>
                <w:sz w:val="17"/>
                <w:szCs w:val="17"/>
                <w:color w:val="auto"/>
              </w:rPr>
            </w:pPr>
          </w:p>
        </w:tc>
      </w:tr>
    </w:tbl>
    <w:p>
      <w:pPr>
        <w:spacing w:after="0" w:line="16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or a committee of the Board of Directors to hold office until the next annual election of officers and until his or her successor is elected and qualified or until his or her earlier resignation or removal. The Board of Directors elects the officers immediately following each annual meeting of the stockholders and may appoint other officers between annual meetings.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Data</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Operating segment data and principal geographic area data for the years ended December 31, 2015, 2014 and 2013 are summarized in Note 23 to our consolidated financial statements.</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41"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Our Reports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internet website address is www.gm.com. In addition to the information about us and our subsidiaries contained in this 2015 Form 10-K information about us can be found on our website including information on our corporate governance principles and practices. Our website and information included in or linked to our website are not part of this 2015 Form 10-K.</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 factors described below. While we describe each risk separately, some of these risks are interrelated and certain risks could trigger the applicability of other risks described below.</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ability to maintain profitability over the long-term is dependent upon our ability to fund and introduce new and improved vehicle models that are able to attract a sufficient number of consumers.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operate in a very competitive industry with market participants routinely introducing new and improved vehicle models designed to meet rapidly evolving consumer expectations. Producing new and improved vehicle models competitively and preserving our reputation for designing, building and selling high quality cars and trucks is critical to our long-term profitability. We will launch a substantial number of new vehicles in 2016. Successful launches of our new vehicles are critical to our short-term profitability. In addition, our growth strategies require us to make significant investment in our brands to appeal to new markets.</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long-term profitability depends upon our successfully creating and funding technological innovations in design, engineering and manufacturing, which requires extensive capital investment and the ability to retain and recruit talent. In some cases the technologies that we plan to employ are not yet commercially practical and depend on significant future technological advances by us and by our suppliers. Although we will seek to obtain intellectual property protection for our innovations to protect our competitive position, it is possible we may not be able to protect some of these innovations. There can be no assurance that advances in technology will occur in a timely or feasible way, or that others will not acquire similar or superior technologies sooner than we do or that we will acquire technologies on an exclusive basis or at a significant price advantage.</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It generally takes two years or more to design and develop a new vehicle,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and changes in styling preferences, an initial product concept or design may not result in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profitability is dependent upon the success of full-size pick-up trucks and SUVs.</w:t>
      </w:r>
    </w:p>
    <w:p>
      <w:pPr>
        <w:spacing w:after="0" w:line="32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we offer a balanced and complete portfolio of small, mid-size and large cars, crossovers, SUVs and trucks, we generally recognize higher profit margins on our full-size pick-up trucks and SUVs. Our success is dependent upon consumer preferences and our ability to sell higher margin vehicles in sufficient volumes. Any increases in the price of oil or any sustained shortage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oil, including as a result of global political instability, could cause a shift in consumer demand towards smaller, more fuel efficient vehicles, and weaken the demand for our higher margin full-size pick-up trucks and SUVs.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highly dependent upon the global automobile market sales volume, which can be volatile.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business and financial results are highly sensitive to sales volume, changes to which can have a disproportionately large effect on our profitability. A number of economic and market conditions drive changes in vehicle sales, including real estate values, levels of unemployment, availability of affordable financing, fluctuations in the cost of fuel, consumer confidence, political unrest and global economic conditions. We cannot predict future economic and market conditions with certainty.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in China is subject to aggressive competition and is sensitive to economic and market conditions.</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Maintaining a strong position in the Chinese market is a key component of our global growth strategy. The automotive market in China is highly competitive, with competition from many of the largest global manufacturers and numerous smaller domestic manufacturers. As the size of the Chinese market continues to increase we anticipate that additional competitors, both international and domestic, will seek to enter the Chinese market and that existing market participants will act aggressively to increase their market share. Increased competition may result in price reductions, reduced margins and our inability to gain or hold market share. In addition our business in China is sensitive to economic and market conditions that drive sales volume in China.</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significant amount of our operations are conducted by joint ventures that we cannot operate solely for our benefit.</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Many of our operations, primarily in China, are carried out by joint ventures. In joint ventures we share ownership and management of a company with one or more parties who may not have the same goals, strategies, priorities or resources as we do and may compete with us outside the joint venture.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In joint ventures we are required to foster our relationships with our co-owners as well as promote the overall success of the joint venture, and if a co-owner changes or relationships deteriorate, our success in the joint venture may be materially adversely affected. The benefits from a successful joint venture are shared among the co-owners; therefore, we do not receive all the benefits from our successful joint ventures. In addition, because we share ownership and management with one or more parties, we may have limited control over the actions of a joint venture, particularly when we own a minority interest. As a result, we may be unable to prevent misconduct or other violations of applicable laws by a joint venture. Moreover, a joint venture may not follow the same requirements regarding internal controls and internal control over financial reporting that we follow. To the extent another party makes decisions that negatively impact the joint venture or internal control issues arise within the joint venture, we may have to take responsive or other action or we may be subject to penalties, fines or other related actions for these activities that could have a material adverse impact on our business, financial condition and results of operations.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businesses outside the U.S. expose us to additional risks.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majority of our vehicles are sold outside the U.S. We are pursuing growth opportunities for our business in a variety of business environments outside the U.S. Operating in a large number of different regions and countries exposes us to political, economic and other risks as well as multiple foreign regulatory requirements that are subject to change, including:</w:t>
      </w:r>
    </w:p>
    <w:p>
      <w:pPr>
        <w:spacing w:after="0" w:line="181" w:lineRule="exact"/>
        <w:rPr>
          <w:sz w:val="20"/>
          <w:szCs w:val="20"/>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foreign currency exchange rates and interest rates;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downturns in foreign countries or geographic regions where we have significant operations, such as China;</w:t>
      </w:r>
    </w:p>
    <w:p>
      <w:pPr>
        <w:spacing w:after="0" w:line="117" w:lineRule="exact"/>
        <w:rPr>
          <w:rFonts w:ascii="Arial" w:cs="Arial" w:eastAsia="Arial" w:hAnsi="Arial"/>
          <w:sz w:val="18"/>
          <w:szCs w:val="18"/>
          <w:color w:val="auto"/>
        </w:rPr>
      </w:pPr>
    </w:p>
    <w:p>
      <w:pPr>
        <w:ind w:left="660" w:right="20" w:hanging="490"/>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tensions between governments and changes in international trade and investment policies, including imposing restrictions on the repatriation of dividends, especially between the U.S. and China, more detailed inspections, higher tariffs or new barriers to entry;</w:t>
      </w:r>
    </w:p>
    <w:p>
      <w:pPr>
        <w:spacing w:after="0" w:line="38" w:lineRule="exact"/>
        <w:rPr>
          <w:rFonts w:ascii="Arial" w:cs="Arial" w:eastAsia="Arial" w:hAnsi="Arial"/>
          <w:sz w:val="17"/>
          <w:szCs w:val="17"/>
          <w:color w:val="auto"/>
        </w:rPr>
      </w:pPr>
    </w:p>
    <w:p>
      <w:pPr>
        <w:ind w:left="660" w:right="20" w:hanging="490"/>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foreign regulations impacting our overall business model restricting our ability to buy and sell our products in those countries, especially China;</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 including fuel economy, vehicle emissions and safety;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compliance with U.S. and other foreign countries’ export controls and economic sanctions;</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resulting from U.S. and foreign laws and regulations, including those related to the Foreign Corrupt Practices Act and certain other anti-corruption laws;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hanging="49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labor regulations and union relationships;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Consequences from changes in tax laws;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obtaining financing in foreign countries for local operations.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are subject to extensive laws, governmental regulations and policies, including those regarding fuel economy and emissions control, the enforcement of which or changes to existing ones, could cause us to incur increased costs or to face regulatory enforcement action and may have a significant effect on how we do business.</w:t>
      </w:r>
    </w:p>
    <w:p>
      <w:pPr>
        <w:spacing w:after="0" w:line="222"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We are significantly affected by governmental regulations that can increase costs related to the production of our vehicles and affect our product portfolio. Meeting or exceeding many of these regulations is costly and often technologically challenging, especially where standards may not be harmonized across jurisdictions, a notable challenge with respect to mandated emissions and fuel economy standards. We anticipate that the number and extent of these regulations, and the related costs and changes to our product lineup, may increase significantly in the future. These government regulatory requirements could significantly affect our plans for global product development and given the uncertainty surrounding enforcement and regulatory definitions, may result in substantial costs, including civil or criminal penalties. In addition, an evolving but un-harmonized regulatory framework may limit or dictate the types of vehicles we sell and where we sell them, which can affect revenue. Refer to the "Environmental and Regulatory Matters" section of Item 1. Business for a discussion of these regulatory requirements. We also expect that manufacturers will be subject to increased scrutiny from regulators globally as a result of the well-publicized emissions scandal involving an unrelated automotive manufacturer in 2015. For example, government agencies in several countries have asked us for information; one of these, the German Ministry of Transportation, is requesting the participation of a number of automotive manufacturers, including our German subsidiary, in discussions on emissions control issues and has requested a written response from our subsidiary on the subject. This scrutiny, regulatory changes and increased enforcement may lead to increased testing and re-testing of our vehicles and analysis of their emissions control systems, which could lead to increased costs, penalties, negative publicity or reputational impact, and recall activity if regulators determine that emission levels and required regulatory compliance should be based on either a wider spectrum of driving conditions for future testing parameters or stricter or novel interpretations and consequent enforcement of existing requirements. No assurance can be given that the ultimate outcome of any potential investigations or increased testing resulting from this scrutiny would not materially and adversely affect us.</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are committed to meeting or exceeding fuel economy and emission control requirements. We expect that to comply with these requirements we will be required to sell a significant volume of hybrid electric vehicles, as well as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 Alternative compliance measures may not be sufficiently available in the marketplace to meet volume driven compliance requirements.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Environmental liabilities for which we may be responsible are not reasonably estimable and could be substantial. Violations of safety or emissions standards could result in the recall of one or more of our products, negotiated remedial actions, possible fines, restricted product offerings or a combination of any of those items. Any of these actions could have substantial adverse effects on our operations including facility idling, reduced employment, increased costs and loss of revenue.</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could be materially adversely affected by a negative outcome in unusual or significant litigation, governmental investigations or other legal proceedings.</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are subject to legal proceedings involving various issues, including product liability lawsuits, stockholder litigation and governmental investigations, such as the legal proceedings related to the Ignition Switch Recall. Refer to the "GM North America" section of MD&amp;A for additional information on the Ignition Switch Recall. Such legal proceedings could in the future result in the imposition of damages, including punitive damages, substantial fines, civil lawsuits and criminal penalties, interruptions of business, modification of business practices, equitable remedies and other sanctions against us or our personnel as well as significant legal and other costs. For a further discussion of these matters refer to Note 15 to our consolidated financial statements.</w:t>
      </w:r>
    </w:p>
    <w:p>
      <w:pPr>
        <w:spacing w:after="0" w:line="158"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If, in the discretion of the U.S. Attorney’s Office for the Southern District of New York (the Office), we do not comply with the terms of the Deferred Prosecution Agreement (the DPA), the Office may prosecute us for charges alleged by the Office including those relating to faulty ignition switches.</w:t>
      </w:r>
    </w:p>
    <w:p>
      <w:pPr>
        <w:spacing w:after="0" w:line="12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On September 17, 2015 we announced that we entered into the DPA with the Office regarding its investigation of the events leading up to certain recalls announced in February and March 2014 relating to faulty ignition switches. Under the DPA, we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consented to, among other things, the filing of a two-count information (the Information) in the U.S. District Court for the Southern District of New York charging GM with a scheme to conceal material facts from a government regulator and wire fraud. We pled not guilty to the charges alleged in the Information. The DPA further provides that, in the event the Office determines during the period of deferral of prosecution (or any extensions thereof) that we have violated any provision of the DPA, including violating any U.S. federal law or our obligation to cooperate with and assist the independent monitor, the Office may, in its discretion, either prosecute us on the charges alleged in the Information or impose an extension of the period of deferral of prosecution of up to one additional year. Under such circumstance, the Office would be permitted to rely upon the admissions we made in the DPA and would benefit from our waiver of certain procedural and evidentiary defenses. Such a criminal prosecution could subject us to penalties that could have material adverse effect on our business, financial position, results of operations or cash flows.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costs and effect on our reputation of product safety recalls could materially adversely affect our business.</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Government safety standards require manufacturers to remedy certain product safety defects through recall campaigns. Under these standards, we could be subject to civil or criminal penalties or may incur various costs, including significant costs for free repairs. At present, the costs we incur in connection with these recalls typically include the cost of the part being replaced and labor to remove and replace the defective part. We currently source a variety of systems, components, raw materials and parts, including but not limited to air bag inflators, from third parties. From time to time these items may have performance or quality issues that could harm our reputation and cause us to incur significant costs. For example, based on defect information reports filed with NHTSA by TK Holdings Inc. (Takata), we are currently conducting recalls for certain Takata air bag inflators used in some of our prior model year vehicles. We are continuing to assess the situation. Further recalls, if any, that may be required to remediate Takata air bag inflators in our vehicles could have a material impact on our financial position, results of operations or cash flows. In addition product recalls can harm our reputation and cause us to lose customers, particularly if those recalls cause consumers to question the safety or reliability of our products. Conversely not issuing a recall or not issuing a recall on a timely basis can harm our reputation, potentially expose us to significant monetary penalties, and cause us to lose customers for the same reasons as expressed above.</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Any disruption in our suppliers' operations could disrupt our production schedule.</w:t>
      </w:r>
    </w:p>
    <w:p>
      <w:pPr>
        <w:spacing w:after="0" w:line="225"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Our automotive operations are dependent upon the continued ability of our suppliers to deliver the systems, components, raw materials and parts that we need to manufacture our products. Our use of “just-in-time” manufacturing processes allows us to maintain minimal inventory quantities of systems, components, raw materials and parts. As a result our ability to maintain production is dependent upon our suppliers delivering sufficient quantities of systems, components, raw materials and parts on time to meet our production schedules. In some instances we purchase systems, components, raw materials and parts from a single source and may be at an increased risk for supply disruptions. Financial difficulties or solvency problems with our suppliers, which may be exacerbated by the cost of remediating quality issues with these items, could lead to uncertainty in our supply chain or cause supply disruptions for us which could, in turn, disrupt our operations, including production of certain of our higher margin vehicles. Where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or suspend production entirely.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dependent on our manufacturing facilities around the world.</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We assemble vehicles at various facilities around the world. These facilities are typically designed to produce particular models for particular geographic markets. No single facility is designed to manufacture our full range of vehicles. In some cases certain facilities produce products that disproportionately contribute a greater degree of profit to the Company than others. Should these or other facilities become unavailable either temporarily or permanently for any number of reasons, including labor disruptions, the inability to manufacture vehicles there may result in harm to our reputation, increased costs, lower revenues and the loss of customers. We may not be able to easily shift production of vehicles at an inoperable facility to other facilities or to make up for lost production. Any new facility needed to replace an inoperable manufacturing facility would need to comply with the necessary regulatory requirements, need to satisfy our specialized manufacturing requirements and require specialized equipment. Even though we carry business interruption insurance policies, we may suffer losses as a result of business interruptions that exceed the coverage available or any losses which may be excluded under our insurance policies.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do not deliver new products, services and customer experiences in response to new participants in the automotive industry, our business could suffer.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believe that the automotive industry will experience more change in the next five years than it has in the previous 50 years. In addition to our traditional competitors, we must also be responsive to the entrance of non-traditional participants in the automotive industry. These non-traditional participants may seek to disrupt the historic business model of the industry through the introduction of new technologies, new products or services, new business models or new methods of travel. It is strategically significant that we lead the technological disruption occurring in our industry. As our business evolves, the pressure to innovate will encompass a wider range of products and services, including products and services that may be outside of our historically core business. If we do not accurately predict, prepare for and respond to new kinds of technological innovations, market developments and changing customer needs, our sales, profitability and long-term competitiveness may be harmed.</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that has excess manufacturing capacity and attempts by our competitors to sell more vehicles could have a significant negative effect on our vehicle pricing, market share and operating results.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global automotive industry is highly competitive and overall manufacturing capacity in the industry exceeds demand. Many manufacturers have relatively high fixed labor costs as well as significant limitations on their ability to close facilities and reduce fixed costs. Our competitors may respond to these relatively high fixed costs by providing subsidized financing or leasing programs, offering marketing incentives or reducing vehicle prices. Our competitors may also seek to benefit from economies of scale by consolidating or entering into other strategic agreements such as alliances intended to enhance their competitiveness.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Manufacturers in lower cost countries, such as China and India, have become competitors in key emerging markets and announced their intention of exporting their products to established markets as a low cost alternative to established entry-level automobiles. These actions have had, and are expected to continue to have, a significant negative effect on our vehicle pricing, market share and operating results, and present a significant risk to our ability to enhance our revenue per vehicle.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continue to restructure our operations in various countries, but we may not succeed in doing so.</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face difficult market and operating conditions in certain parts of the world that may require us to restructure, impair or rationalize these operations. In many countries across our regions we have experienced challenges in our operations and continue to strategically assess the manner in which we operate in certain countries. As we continue to assess our performance throughout the regions, additional restructuring, impairment and rationalization actions may be required and may be material.</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future competitiveness and ability to achieve long-term profitability depends on our ability to control our costs, which requires us to successfully implement operating effectiveness initiatives throughout our automotive operations.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are continuing to implement a number of operating effectiveness initiatives to improve productivity and reduce costs. Our future competitiveness depends upon our continued success in implementing these initiatives throughout our automotive operations. While some of the elements of cost reduction are within our control, others, such as interest rates or return on investments, which influence our expense for pensions, depend more on external factors, and there can be no assurance that such external factors will not materially adversely affect our ability to reduce our costs. Reducing costs may prove difficult due to our focus on increasing advertising and our belief that engineering expenses necessary to improve the performance, safety and customer satisfaction of our vehicles are likely to increase.</w:t>
      </w:r>
    </w:p>
    <w:p>
      <w:pPr>
        <w:spacing w:after="0" w:line="19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Security breaches and other disruptions to our vehicles, information technology networks and systems could interfere with the safety of our customers or our operations and could compromise the confidentiality of private customer data or our proprietary information.</w:t>
      </w:r>
    </w:p>
    <w:p>
      <w:pPr>
        <w:spacing w:after="0" w:line="147"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rely upon information technology networks and systems, including in-vehicle systems and mobile devices, some of which are managed by third-parties, to process, transmit and store electronic information, and to manage or support a variety of vehicle or business processes and activities. Additionally we collect and store sensitive data, including intellectual property, proprietary business information, propriety business information of our dealers and suppliers, as well as personally identifiable information of our customers and employees, in data centers and on information technology networks. The secure operation of these information technology networks and in-vehicle systems, and the processing and maintenance of this information, is critical to our business operations and strategy. Despite security measures and business continuity plans, our information technology networks and systems and in-vehicle systems may be vulnerable to damage, disruptions or shutdowns due to attacks by hackers or breaches due to errors or malfeasance by employees, contractors and others who have access to our networks and systems or computer viruses. The occurrence of any of these events could compromise our networks and the information stored there could be accessed, publicly disclosed, lost or stolen. These occurrences could also impact vehicle safety. We have been the target of these types of attacks in the past with no known material impacts and future attacks are likely to occur. If successful, these types of attacks on our network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or systems, including in-vehicle systems and mobile devices, or service failures could have a material adverse effect on our business and results of operations, due to, among other things, the loss of proprietary data, interruptions or delays in our business operations and damage to our reputation. In addition any such access, disclosure or other loss of information could result in legal claims or proceedings, liability or regulatory penalties under laws protecting the privacy of personal information, disrupt operations and reduce the competitive advantage we hope to derive from our investment in advanced technologies. Our insurance coverage may not be adequate to cover all the costs related to significant security attacks or disruptions resulting from such attacks.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We rely on GM Financial to provide financial services to our dealers and customers in a majority of the markets in which we sell vehicles. GM Financial faces a number of business, economic and financial risks that could impair its access to capital and negatively affect its business and operations and its ability to provide leasing and financing to retail consumers and commercial lending to our dealers to support additional sales of our vehicles.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rely on GM Financial in North America, Europe, South America and China to support leasing and sales of our vehicles to consumers requiring vehicle financing and also to provide commercial lending to our dealers. Any reduction of GM Financial's ability to provide such financial services would negatively affect our efforts to support additional sales of our vehicles and expand our market penetration among consumers and dealers.</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and these laws and regulations often create operational constraints both on GM Financial’s ability to implement servicing procedures and on pricing. Laws in the financial services industry are designed primarily for the protection of consumers. The failure to comply with these laws could result in significant statutory civil and criminal penalties, monetary damages, attorneys’ fees and costs, possible revocation of licenses and damage to reputation, brand and valued customer relationships.</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primary factors that could adversely affect GM Financial's business and operations and reduce its ability to provide financing services at competitive rates include:</w:t>
      </w:r>
    </w:p>
    <w:p>
      <w:pPr>
        <w:spacing w:after="0" w:line="170"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borrowings under its credit facilities to fund its retail and dealer finance activities;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Its ability to access a variety of financing sources including the asset-backed securities market and other secured and unsecured debt markets;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loans and leases in its portfolio, which could be materially affected by delinquencies, defaults or prepayments;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Wholesale auction values of used vehicles;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than expected vehicle return rates and the residual value performance on vehicles GM Financial leases to customers;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interest rates and currencies; and</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regulation, supervision and licensing across various jurisdictions, including new regulations or sanctions imposed in the U.S. by the Department of Justice, SEC and Consumer Financial Protection Bureau.</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Our defined benefit pension plans are currently underfunded and our pension funding requirements could increase significantly due to a reduction in funded status as a result of a variety of factors, including weak performance of financial markets, declining interest rates, changes in laws or regulations, changes in assumptions or investments that do not achieve adequate returns.</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Our employee benefit plans currently hold a significant amount of equity and fixed income securities. A detailed description of the investment funds and strategies is disclosed in Note 13 to our consolidated financial statements, which also describes significant concentrations of risk to the plan investments.</w:t>
      </w:r>
    </w:p>
    <w:p>
      <w:pPr>
        <w:spacing w:after="0" w:line="12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future funding requirements for our U.S. defined benefit pension plans depend upon the future performance of assets placed in trusts for these plans, the level of interest rates used to determine funding levels, the level of benefits provided for by the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any changes in government laws and regulations. Future funding requirements generally increase if the discount rate decreases or if actual asset returns are lower than expected asset returns, assuming other factors are held constant. Our potential funding requirements are described in Note 13 to our consolidated financial statements.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Factors which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2015 we had over 100 locations in the U.S., excluding our automotive financing operations and dealerships, which are primarily for manufacturing, assembly, distribution, warehousing, engineering and testing. Leased properties are primarily composed of warehouses and administration, engineering and sales offices.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assembly, manufacturing, distribution, office or warehousing operations in 59 countries, including equity interests in associated companies which perform assembly, manufacturing or distribution operations. The major facilities outside the U.S., which are principally vehicle manufacturing and assembly operations, are located in:</w:t>
      </w:r>
    </w:p>
    <w:p>
      <w:pPr>
        <w:spacing w:after="0" w:line="316"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ind w:left="120"/>
              <w:spacing w:after="0"/>
              <w:rPr>
                <w:sz w:val="20"/>
                <w:szCs w:val="20"/>
                <w:color w:val="auto"/>
              </w:rPr>
            </w:pPr>
            <w:r>
              <w:rPr>
                <w:rFonts w:ascii="Arial" w:cs="Arial" w:eastAsia="Arial" w:hAnsi="Arial"/>
                <w:sz w:val="18"/>
                <w:szCs w:val="18"/>
                <w:color w:val="auto"/>
              </w:rPr>
              <w:t>Argentina</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1460" w:type="dxa"/>
            <w:vAlign w:val="bottom"/>
          </w:tcPr>
          <w:p>
            <w:pPr>
              <w:ind w:left="140"/>
              <w:spacing w:after="0"/>
              <w:rPr>
                <w:sz w:val="20"/>
                <w:szCs w:val="20"/>
                <w:color w:val="auto"/>
              </w:rPr>
            </w:pPr>
            <w:r>
              <w:rPr>
                <w:rFonts w:ascii="Arial" w:cs="Arial" w:eastAsia="Arial" w:hAnsi="Arial"/>
                <w:sz w:val="18"/>
                <w:szCs w:val="18"/>
                <w:color w:val="auto"/>
              </w:rPr>
              <w:t>China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ind w:left="140"/>
              <w:spacing w:after="0"/>
              <w:rPr>
                <w:sz w:val="20"/>
                <w:szCs w:val="20"/>
                <w:color w:val="auto"/>
              </w:rPr>
            </w:pPr>
            <w:r>
              <w:rPr>
                <w:rFonts w:ascii="Arial" w:cs="Arial" w:eastAsia="Arial" w:hAnsi="Arial"/>
                <w:sz w:val="18"/>
                <w:szCs w:val="18"/>
                <w:color w:val="auto"/>
              </w:rPr>
              <w:t>India</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South Africa</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40" w:type="dxa"/>
            <w:vAlign w:val="bottom"/>
          </w:tcPr>
          <w:p>
            <w:pPr>
              <w:ind w:left="140"/>
              <w:spacing w:after="0"/>
              <w:rPr>
                <w:sz w:val="20"/>
                <w:szCs w:val="20"/>
                <w:color w:val="auto"/>
              </w:rPr>
            </w:pPr>
            <w:r>
              <w:rPr>
                <w:rFonts w:ascii="Arial" w:cs="Arial" w:eastAsia="Arial" w:hAnsi="Arial"/>
                <w:sz w:val="18"/>
                <w:szCs w:val="18"/>
                <w:color w:val="auto"/>
                <w:w w:val="87"/>
              </w:rPr>
              <w:t>Uzbekistan</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1460" w:type="dxa"/>
            <w:vAlign w:val="bottom"/>
          </w:tcPr>
          <w:p>
            <w:pPr>
              <w:ind w:left="140"/>
              <w:spacing w:after="0"/>
              <w:rPr>
                <w:sz w:val="20"/>
                <w:szCs w:val="20"/>
                <w:color w:val="auto"/>
              </w:rPr>
            </w:pPr>
            <w:r>
              <w:rPr>
                <w:rFonts w:ascii="Arial" w:cs="Arial" w:eastAsia="Arial" w:hAnsi="Arial"/>
                <w:sz w:val="18"/>
                <w:szCs w:val="18"/>
                <w:color w:val="auto"/>
              </w:rPr>
              <w:t>Colombia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ind w:left="140"/>
              <w:spacing w:after="0"/>
              <w:rPr>
                <w:sz w:val="20"/>
                <w:szCs w:val="20"/>
                <w:color w:val="auto"/>
              </w:rPr>
            </w:pPr>
            <w:r>
              <w:rPr>
                <w:rFonts w:ascii="Arial" w:cs="Arial" w:eastAsia="Arial" w:hAnsi="Arial"/>
                <w:sz w:val="18"/>
                <w:szCs w:val="18"/>
                <w:color w:val="auto"/>
              </w:rPr>
              <w:t>Kenya</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South Korea</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40" w:type="dxa"/>
            <w:vAlign w:val="bottom"/>
          </w:tcPr>
          <w:p>
            <w:pPr>
              <w:ind w:left="120"/>
              <w:spacing w:after="0"/>
              <w:rPr>
                <w:sz w:val="20"/>
                <w:szCs w:val="20"/>
                <w:color w:val="auto"/>
              </w:rPr>
            </w:pPr>
            <w:r>
              <w:rPr>
                <w:rFonts w:ascii="Arial" w:cs="Arial" w:eastAsia="Arial" w:hAnsi="Arial"/>
                <w:sz w:val="18"/>
                <w:szCs w:val="18"/>
                <w:color w:val="auto"/>
                <w:w w:val="94"/>
              </w:rPr>
              <w:t>Venezuela</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Brazil</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1460" w:type="dxa"/>
            <w:vAlign w:val="bottom"/>
          </w:tcPr>
          <w:p>
            <w:pPr>
              <w:ind w:left="140"/>
              <w:spacing w:after="0"/>
              <w:rPr>
                <w:sz w:val="20"/>
                <w:szCs w:val="20"/>
                <w:color w:val="auto"/>
              </w:rPr>
            </w:pPr>
            <w:r>
              <w:rPr>
                <w:rFonts w:ascii="Arial" w:cs="Arial" w:eastAsia="Arial" w:hAnsi="Arial"/>
                <w:sz w:val="18"/>
                <w:szCs w:val="18"/>
                <w:color w:val="auto"/>
              </w:rPr>
              <w:t>Ecuador</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ind w:left="140"/>
              <w:spacing w:after="0"/>
              <w:rPr>
                <w:sz w:val="20"/>
                <w:szCs w:val="20"/>
                <w:color w:val="auto"/>
              </w:rPr>
            </w:pPr>
            <w:r>
              <w:rPr>
                <w:rFonts w:ascii="Arial" w:cs="Arial" w:eastAsia="Arial" w:hAnsi="Arial"/>
                <w:sz w:val="18"/>
                <w:szCs w:val="18"/>
                <w:color w:val="auto"/>
              </w:rPr>
              <w:t>Mexico</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Spain</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40" w:type="dxa"/>
            <w:vAlign w:val="bottom"/>
          </w:tcPr>
          <w:p>
            <w:pPr>
              <w:ind w:left="120"/>
              <w:spacing w:after="0"/>
              <w:rPr>
                <w:sz w:val="20"/>
                <w:szCs w:val="20"/>
                <w:color w:val="auto"/>
              </w:rPr>
            </w:pPr>
            <w:r>
              <w:rPr>
                <w:rFonts w:ascii="Arial" w:cs="Arial" w:eastAsia="Arial" w:hAnsi="Arial"/>
                <w:sz w:val="18"/>
                <w:szCs w:val="18"/>
                <w:color w:val="auto"/>
              </w:rPr>
              <w:t>Vietnam</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Canada</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1460" w:type="dxa"/>
            <w:vAlign w:val="bottom"/>
          </w:tcPr>
          <w:p>
            <w:pPr>
              <w:ind w:left="140"/>
              <w:spacing w:after="0"/>
              <w:rPr>
                <w:sz w:val="20"/>
                <w:szCs w:val="20"/>
                <w:color w:val="auto"/>
              </w:rPr>
            </w:pPr>
            <w:r>
              <w:rPr>
                <w:rFonts w:ascii="Arial" w:cs="Arial" w:eastAsia="Arial" w:hAnsi="Arial"/>
                <w:sz w:val="18"/>
                <w:szCs w:val="18"/>
                <w:color w:val="auto"/>
              </w:rPr>
              <w:t>Egypt</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ind w:left="140"/>
              <w:spacing w:after="0"/>
              <w:rPr>
                <w:sz w:val="20"/>
                <w:szCs w:val="20"/>
                <w:color w:val="auto"/>
              </w:rPr>
            </w:pPr>
            <w:r>
              <w:rPr>
                <w:rFonts w:ascii="Arial" w:cs="Arial" w:eastAsia="Arial" w:hAnsi="Arial"/>
                <w:sz w:val="18"/>
                <w:szCs w:val="18"/>
                <w:color w:val="auto"/>
              </w:rPr>
              <w:t>Poland</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Thailand</w:t>
            </w: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Chile</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1460" w:type="dxa"/>
            <w:vAlign w:val="bottom"/>
          </w:tcPr>
          <w:p>
            <w:pPr>
              <w:ind w:left="140"/>
              <w:spacing w:after="0"/>
              <w:rPr>
                <w:sz w:val="20"/>
                <w:szCs w:val="20"/>
                <w:color w:val="auto"/>
              </w:rPr>
            </w:pPr>
            <w:r>
              <w:rPr>
                <w:rFonts w:ascii="Arial" w:cs="Arial" w:eastAsia="Arial" w:hAnsi="Arial"/>
                <w:sz w:val="18"/>
                <w:szCs w:val="18"/>
                <w:color w:val="auto"/>
              </w:rPr>
              <w:t>Germany</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ind w:left="140"/>
              <w:spacing w:after="0"/>
              <w:rPr>
                <w:sz w:val="20"/>
                <w:szCs w:val="20"/>
                <w:color w:val="auto"/>
              </w:rPr>
            </w:pPr>
            <w:r>
              <w:rPr>
                <w:rFonts w:ascii="Arial" w:cs="Arial" w:eastAsia="Arial" w:hAnsi="Arial"/>
                <w:sz w:val="18"/>
                <w:szCs w:val="18"/>
                <w:color w:val="auto"/>
              </w:rPr>
              <w:t>Russia</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GM Financial leases facilities for administration and regional credit centers. GM Financial has 50 facilities, of which 22 are located in the U.S. The major facilities outside the U.S. are located in Brazil, Canada, China, Germany, Mexico and the United Kingdom.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our subsidiaries, or associated companies in which we own an equity interest, own most of the above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Refer to Note 15 to our consolidated financial statements for information relating to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Shares of our common stock have been publicly traded since November 18, 2010 when our common stock was listed and began trading on the New York Stock Exchange and the Toronto Stock Exchange. The following table summarizes the quarterly price ranges of our common stock based on high and low prices from intraday trades on the New York Stock Exchange, the principal market on which the stock is traded: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2015</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2014</w:t>
            </w:r>
          </w:p>
        </w:tc>
        <w:tc>
          <w:tcPr>
            <w:tcW w:w="860" w:type="dxa"/>
            <w:vAlign w:val="bottom"/>
            <w:tcBorders>
              <w:bottom w:val="single" w:sz="8" w:color="auto"/>
            </w:tcBorders>
          </w:tcPr>
          <w:p>
            <w:pPr>
              <w:spacing w:after="0"/>
              <w:rPr>
                <w:sz w:val="22"/>
                <w:szCs w:val="22"/>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37.45</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37.18</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31.70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36.88</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35.45</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28.82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January 27, 2016 we had 1.5 billion issued and outstanding shares of common stock held by 447 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Our Board of Directors began declaring quarterly dividends on our common stock in the three months ended March 31, 2014. It is anticipated that dividends on our common stock will continue to be declared and paid quarterly. However the declaration of any dividend on our common stock is a matter to be acted upon by our Board of Directors in its sole discretion. Any dividend will be paid out of funds legally available for that purpose. Our payment of dividends in the future will depend on business conditions, our financial condition, earnings, liquidity and capital requirements and other factors. Refer to Item 6. Selected Financial Data for cash dividends declared on our common stock for the years ended December 31, 2015 and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Announced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2015 through October 31, 2015</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2,453,596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2,394,261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$2.0 billion</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November 1, 2015 through November 30, 2015</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7,611,839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7,579,511</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$1.8 billion</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2015 through December 31, 2015</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10,083,782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7,886,056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$1.5 billion</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20,149,217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17,859,828</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8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Shares purchased consist of: (1) shares purchased under our previously announced common stock repurchase program; (2) shares retained by us for the payment of the exercise price upon the exercise of warrants; and (3) shares delivered by employees or directors back to us for the payment of taxes resulting from issuance of common stock upon the vesting of Restricted Stock Units (RSUs) and Restricted Stock Awards relating to compensation plans. Refer to Note 21 to our consolidated financial statements for additional details on employee stock incentive plans and Note 19 to our consolidated financial statements for additional details on warrants issued.</w:t>
      </w:r>
    </w:p>
    <w:p>
      <w:pPr>
        <w:spacing w:after="0" w:line="1" w:lineRule="exact"/>
        <w:rPr>
          <w:rFonts w:ascii="Arial" w:cs="Arial" w:eastAsia="Arial" w:hAnsi="Arial"/>
          <w:sz w:val="14"/>
          <w:szCs w:val="14"/>
          <w:color w:val="auto"/>
        </w:rPr>
      </w:pPr>
    </w:p>
    <w:p>
      <w:pPr>
        <w:ind w:left="340" w:hanging="332"/>
        <w:spacing w:after="0" w:line="290"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March 2015 our Board of Directors authorized a program to repurchase up to $5.0 billion of our common stock by the end of 2016. Effective January 2016 our Board of Directors increased the authorization to repurchase up to an additional $4.0 billion of our common stock (or an aggregate total of $9.0 billion) by the end of 2017.</w:t>
      </w:r>
    </w:p>
    <w:p>
      <w:pPr>
        <w:spacing w:after="0" w:line="158"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Selected financial data is summarized in the following table (dollars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At and for the Years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60"/>
        </w:trPr>
        <w:tc>
          <w:tcPr>
            <w:tcW w:w="5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152,356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155,929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155,427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150,276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9,615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4,018</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5,331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6,136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9,287</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stockholders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9,190</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attributable to common stockholders(b)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9,687</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2,804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4,859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7,585</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share(a)(b)(c)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earnings per common share(a)(b)(c)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4.58</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177,501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144,603</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Automotive notes and loans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8,765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9,350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7,098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5,172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5,295</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notes and loans payable(d)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Series A Preferred Stock(b)</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5,536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5,536</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B Preferred Stock(e)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40,323</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36,024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43,174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37,000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38,991</w:t>
            </w:r>
          </w:p>
        </w:tc>
      </w:tr>
      <w:tr>
        <w:trPr>
          <w:trHeight w:val="249"/>
        </w:trPr>
        <w:tc>
          <w:tcPr>
            <w:tcW w:w="5260" w:type="dxa"/>
            <w:vAlign w:val="bottom"/>
          </w:tcPr>
          <w:p>
            <w:pPr>
              <w:spacing w:after="0"/>
              <w:rPr>
                <w:sz w:val="20"/>
                <w:szCs w:val="20"/>
                <w:color w:val="auto"/>
              </w:rPr>
            </w:pPr>
            <w:r>
              <w:rPr>
                <w:rFonts w:ascii="Arial" w:cs="Arial" w:eastAsia="Arial" w:hAnsi="Arial"/>
                <w:sz w:val="18"/>
                <w:szCs w:val="18"/>
                <w:color w:val="auto"/>
              </w:rPr>
              <w:t>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jc w:val="both"/>
        <w:ind w:left="340" w:hanging="332"/>
        <w:spacing w:after="0" w:line="24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year ended December 31, 2015 we recorded the reversal of deferred tax asset valuation allowances of $3.9 billion in GME and recorded charges related to the Ignition Switch Recall for various legal matters of approximately $1.6 billion. In the year ended December 31, 2014 we recorded charges of approximately $2.9 billion in Automotive cost of sales related to recall campaigns and courtesy transportation, a catch-up adjustment of $0.9 billion recorded related to the change in estimate for recall campaigns and a charge of $0.4 billion related to the Ignition Switch Recall compensation program. In the year ended December 31, 2012 we recorded Goodwill impairment charges of $27.1 billion, the reversal of deferred tax asset valuation allowances of $36.3 billion in the U.S. and Canada, pension settlement charges of $2.7 billion and GME long-lived asset impairment charges of $5.5 billion.</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2014 we redeemed all of the remaining shares of our Series A Preferred Stock for $3.9 billion, which reduced Net income attributable to common stockholders by $0.8 billion. In September 2013 we purchased 120 million shares of our Series A Preferred Stock held by the UAW Retiree Medical Benefits Trust (New VEBA) for $3.2 billion, which reduced Net income attributable to common stockholders by $0.8 billion.</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year ended December 31, 2012 we used the two-class method for calculating earnings per share as the Series B Preferred Stock was a participating security. Refer to Note 20 to our consolidated financial statements for additional detail.</w:t>
      </w: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year ended December 31, 2013 GM Financial acquired Ally Financial's international operations in Europe and Latin America.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2013 all of our Series B Preferred Stock automatically converted into 137 million shares of our common stock.</w:t>
      </w:r>
    </w:p>
    <w:p>
      <w:pPr>
        <w:spacing w:after="0" w:line="20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uses earnings before interest and taxes (EBIT)-adjusted to review the operating results of our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 Examples of adjustments to EBIT and GM Financial's income before income taxes include certain impairment charges related to goodwill, other long-lived assets and investments; certain gains or losses on the settlement/extinguishment of obligations; and gains or losses on the sale of non-core investments. Refer to Note 23 to our consolidated financial statements for our reconciliation of these non-GAAP measures to the most directly comparable financial measure under U.S. GAAP, Net income attributable to stockholders.</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Management uses earnings per share (EPS)-diluted-adjusted to review our consolidated diluted earnings per share results on a consistent basis. EPS-diluted-adjusted is calculated as net income attributable to common stockholders less certain adjustments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noted above for EBIT-adjusted on an after-tax basis as well as certain income tax adjustments divided by weighted-average common shares outstanding – diluted.</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return on invested capital (ROIC) to review investment and capital allocation decisions. We define ROIC as EBIT-adjusted for the trailing four quarters divided by average net assets, which is considered to be the average equity balances adjusted for certain assets and liabilities during the same period.</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Management uses adjusted free cash flow to review the liquidity of our automotive operations. We measure adjusted free cash flow as cash flow from operations less capital expenditures adjusted for management actions, primarily related to strengthening our balance sheet, such as accrued interest on prepayments of debt and voluntary contributions to employee benefit plans. Refer to the “Liquidity and Capital Resources” section of MD&amp;A for our reconciliation of this non-GAAP measure to the most directly comparable financial measure under U.S. GAAP, Net cash provided by operating activities.</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Management uses these non-GAAP measures in its financial and operational decision making processes, for internal reporting and as part of its forecasting and budgeting processes as they provide additional transparency of our core operations. These measures allow management and investors to view operating trends, perform analytical comparisons and benchmark performance between periods and among geographic regions.</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EPS-diluted-adjusted to its most comparable financial measure under U.S. GAAP diluted earnings per common share: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impact of adjustments(a)</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7780" w:type="dxa"/>
            <w:vAlign w:val="bottom"/>
            <w:vMerge w:val="restart"/>
          </w:tcPr>
          <w:p>
            <w:pPr>
              <w:jc w:val="right"/>
              <w:ind w:right="7032"/>
              <w:spacing w:after="0"/>
              <w:rPr>
                <w:sz w:val="20"/>
                <w:szCs w:val="20"/>
                <w:color w:val="auto"/>
              </w:rPr>
            </w:pPr>
            <w:r>
              <w:rPr>
                <w:rFonts w:ascii="Arial" w:cs="Arial" w:eastAsia="Arial" w:hAnsi="Arial"/>
                <w:sz w:val="16"/>
                <w:szCs w:val="16"/>
                <w:color w:val="auto"/>
                <w:w w:val="89"/>
              </w:rPr>
              <w:t>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5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the adjustments disclosed in Note 23 to our consolidated financial statements on an after-tax basis for all periods presented, income tax benefit of $3.9 billion related to the reversals of deferred tax asset valuation allowances primarily at GME in the year ended December 31, 2015 and income tax benefit of $0.5 billion related to income tax settlements in the year ended December 31, 2013.</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37.0</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Less: Average automotive net income tax asset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ROIC average net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ROIC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strategic plan includes several major initiatives that we anticipate will help us achieve 9% to 10% margins on an EBIT-adjusted basis (EBIT-adjusted margins, calculated as EBIT-adjusted divided by Net sales and revenue) by early next decade: earn customers for life by delivering great products to our customers, leading the industry in quality and safety and improving the customer ownership experience; lead in technology and innovation, including OnStar 4G LTE and connected car, alternative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propulsion, urban mobility including ride and car sharing, active safety features and autonomous vehicles; grow our brands, particularly the Cadillac brand in the U.S. and China and the Chevrolet brand globally; continue our growth in China; continue the growth of GM Financial into our full captive automotive financing company; and deliver core operating efficiencies.</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For the year ending December 31, 2016 we expect to continue to generate strong consolidated financial results including improved EBIT-adjusted and EBIT-adjusted margins, EPS-diluted-adjusted of between $5.25 and $5.75 and automotive adjusted free cash flow of approximately $6 billion.</w:t>
      </w:r>
    </w:p>
    <w:p>
      <w:pPr>
        <w:spacing w:after="0" w:line="14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overall financial targets include expected improvement of forecasted consolidated EBIT-adjusted margins of 9% to 10% by early next decade; expected total annual operational and functional cost savings of $5.5 billion by 2018 that will more than offset our incremental investments in brand building, engineering and technology as we launch new products in 2016 and beyond; expected average adjusted automotive free cash flow of approximately $6 billion to $7 billion from 2016 to 2018; expected consolidated ROIC of 20% plus; and execution of our capital allocation strategy as described below.</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Summary and Outlook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analyze the results of our automotive business through our four geographically-based segments: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Automotive industry volume continued to grow in North America primarily driven by the U.S. market. In 2015 U.S. industry light vehicle sales were 17.5 million units, up 1.0 million units from 2014. Based on our current cost structure and variable profit margins, we estimate GMNA’s breakeven point at the U.S. industry level to be in the range of 10.0 - 11.0 million units.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2015 our U.S. vehicle sales totaled 3.1 million units for a U.S. market share of 17.3%, representing a decrease of 0.1 percentage points compared to 2014. The decrease in our U.S. market share was primarily driven by lower fleet market share, partially offset by higher retail market share. U.S. retail market share, which is generally more profitable than U.S. fleet market share, increased by 0.4 percentage points, primarily driven by Chevrolet and GMC.</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achieved EBIT-adjusted margins of 10.3% during 2015. EBIT-adjusted margin improvements were impacted by favorable volumes and mix and favorable cost performance including materials, logistics and recall-related charges. Refer to the "GM North America" section of the MD&amp;A for additional information on recall activity. We expect to sustain an EBIT-adjusted margin of 10% in 2016 due to a consistent to slight increase in U.S. industry light vehicle sales, key product launches, continued cost performance and growth of adjacent businesses.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November 2015 we entered into a collectively bargained labor agreement with the UAW. The agreement, which has a term of four years, covers the wages, hours, benefits and other terms and conditions of employment for our UAW represented employees. The key terms and provisions of the agreement are:</w:t>
      </w:r>
    </w:p>
    <w:p>
      <w:pPr>
        <w:spacing w:after="0" w:line="181" w:lineRule="exact"/>
        <w:rPr>
          <w:sz w:val="20"/>
          <w:szCs w:val="20"/>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Lump sum payments to eligible U.S. hourly employees with seniority of $8,000 and eligible temporary employees of $2,000 were paid in December 2015 totaling $0.4 billion.</w:t>
      </w:r>
    </w:p>
    <w:p>
      <w:pPr>
        <w:spacing w:after="0" w:line="62" w:lineRule="exact"/>
        <w:rPr>
          <w:rFonts w:ascii="Arial" w:cs="Arial" w:eastAsia="Arial" w:hAnsi="Arial"/>
          <w:sz w:val="18"/>
          <w:szCs w:val="18"/>
          <w:color w:val="auto"/>
        </w:rPr>
      </w:pPr>
    </w:p>
    <w:p>
      <w:pPr>
        <w:jc w:val="both"/>
        <w:ind w:left="660" w:right="20" w:hanging="490"/>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Two lump sum payments equivalent to 4% of qualified earnings will be paid to eligible traditional and in-progression employees in September 2016 and 2018 totaling $0.2 billion. Additional lump sum payments of $1,000 will be paid annually to eligible employees with seniority in June 2016 through June 2019 totaling $0.2 billion. All of these lump sum payments are being amortized over the term of the agreement.</w:t>
      </w:r>
    </w:p>
    <w:p>
      <w:pPr>
        <w:spacing w:after="0" w:line="57" w:lineRule="exact"/>
        <w:rPr>
          <w:rFonts w:ascii="Arial" w:cs="Arial" w:eastAsia="Arial" w:hAnsi="Arial"/>
          <w:sz w:val="17"/>
          <w:szCs w:val="17"/>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payment of $500 will be paid each December through 2018 to eligible U.S. hourly employees with seniority upon attainment of specific U.S. vehicle quality targets.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$500 payment was made to each retiree in December 2015 totaling $0.1 billion.</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base wages was made for all eligible employees with seniority as well as temporary employees hired prior to the expiration of the 2011 agreement.</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Amended the Supplemental Unemployment Benefits Program, resulting in a $0.3 billion favorable adjustment in the three months ended December 31, 2015. Refer to Note 17 to our consolidated financial statements for additional details.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right="20" w:hanging="490"/>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severance incentive programs to qualified U.S. hourly production employees of approximately $0.3 billion based on employee interest, eligibility and management approval. The restructuring charges will be recorded in 2016 upon acceptance.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Automotive industry sales to retail and fleet customers began to improve in late 2013. As a result of moderate economic growth across Europe (excluding Russia) this trend continued in the year ended December 31, 2015 with industry sales to retail and fleet customers of 17.7 million vehicles representing a 9.3% increase compared to 2014. In Russia industry sales to retail and fleet customers decreased 36.1% to 1.6 million vehicles compared to the corresponding period in 2014.</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European operations are benefiting from this trend and, despite seasonally weak vehicle sales in the second half of 2015 compared to the first half of 2015, continue to show signs of improvement underscored by further improvement in our Opel and Vauxhall market share in the year ended December 31, 2015, which builds on our market share increases in 2013 and 2014.</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implement various strategic actions to strengthen our operations and increase our competitiveness. The key actions include investments in our product portfolio including the recently launched next generation Opel Astra and Corsa, a revised brand strategy and reducing material, development and production costs, including restructuring activities. The success of these actions will depend on a combination of our ability to execute and external factors which are outside of our control.</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Economic and market conditions in Russia remain and are expected to continue to be very challenging for the foreseeable future. In addition we do not have appropriate localization levels for key vehicles built in Russia and we would need to make significant future capital investments in order to improve our localization levels so that our products are competitive in the Russian market. As a result of these conditions we determined that our Russia business model was not sustainable over the long term. In 2015 we ceased manufacturing, eliminated Opel brand distribution and minimized Chevrolet brand distribution in Russia. Refer to Note 17 to our consolidated financial statements for additional information related to the impact of the change in our business model in Russia.</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impact of the restructuring of our Russia business model, we anticipate headwinds from aggressive industry pricing along with increased costs associated with depreciation, amortization, marketing, adverse foreign currency impact and increased costs associated with our new product launches. We anticipate these headwinds will be offset by continued industry recovery, the full benefits of our recent launches of the Astra and Corsa and material cost optimization. As a result we intend to break even in GME in 2016.</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German Ministry of Transportation is requesting the participation of a number of automotive manufacturers, including our German subsidiary, in discussions on emission controls issues and has requested a written response from our subsidiary on the subject. This request may lead to increased testing and re-testing of our vehicles and analysis of their emissions control systems, which could lead to increased costs, penalties, negative publicity or reputational impact, and additional vehicles may be subject to recall activity if regulators determine that emission levels and required regulatory compliance should be based on either a wider spectrum of driving conditions for future testing parameters or stricter or novel interpretations and consequent enforcement of existing requirements. No assurance can be given that the ultimate outcome of any potential investigations or increased testing resulting from this scrutiny would not materially and adversely affect us. Refer to Item 1A. Risk Factors for additional information.</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year ended December 31, 2015 GMIO operated in a volatile and challenging economic environment.</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China we are experiencing a moderation of industry growth and pricing pressures higher than we initially anticipated due primarily to macroeconomic volatility, softening consumer demand particularly in the commercial vehicle segment, increasing competition and a complex regulatory environment. This has resulted in 4.2% growth in industry sales to 25.1 million units in 2015. Despite these pressures, we achieved record wholesale volumes of 3.7 million units with market share of 14.9% in the year ended December 31, 2015, up 0.2 percentage points compared to 2014. The increase in our market share was primarily driven by our successful launches in our key growth segments of SUVs, multipurpose vehicles and luxury vehicles including the Buick Envision and Baojun 560 and 730. Baojun 560 became the second best-selling SUV in China two months after its launch and the Baojun 730 has been the market leader in its segment since launching in August 2014. We opened two new facilities in 2015 and will be adding a third Jinqiao Shanghai plant in 2016 consistent with our localization strategy.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2015 our Automotive China JVs generated equity income of $2.1 billion and sustained strong margins, despite higher than anticipated pricing pressures with carryover price reductions of approximately 5% for SAIC General Motors Corp., Ltd. (SGM) and moderation of industry growth. This was largely attributed to proactive management of challenges by optimizing vehicle mix and inventory levels and aggressively reducing costs. In 2016 we expect continuation of moderate industry growth, macroeconomic volatility and carryover pricing pressures in the range of 3% to 5%. Despite the challenging macroeconomic environment, we continue to expect an increase in vehicle sales driven by new launches and expect to sustain strong China equity income and margins by focusing on vehicle mix improvement and cost efficiency.</w:t>
      </w:r>
    </w:p>
    <w:p>
      <w:pPr>
        <w:spacing w:after="0" w:line="17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Lack of political stability, decreasing prices of natural resources and foreign exchange volatility, among other factors, negatively impacted the overall automotive industry in the rest of Asia Pacific, Africa and the Middle East and led to a decrease of 0.2 million units, or 1.0%, in the year ended December 31, 2015 compared to 2014. This continued the recent trend of a relatively flat industry of approximately 19 million units sold in each of the last several years. In the year ended December 31, 2015 our sales volume decreased by 5.2% compared to 2014, leading to a decline in market share of 0.2 percentage points to 4.2%.</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2016 we expect the macroeconomic environment to remain challenging. We continue to refresh our product portfolio and are addressing many of the challenges in these markets while continuing to strategically assess the manner in which we operate in certain countries. 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 The impact of these strategic actions combined with the significant reduction in wholesale volumes, forward pricing pressures and foreign exchange volatility in the region may result in deteriorating cash flows in certain markets.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2013 we announced the withdrawal of the Chevrolet brand from Western and Central Europe and the ceasing of manufacturing and significant reduction of engineering operations in Australia by 2017 and incurred related impairment and other charges in the years ended December 31, 2013, 2014 and 2015. We continue to work on a Southeast Asia transformation plan including the transition of our Indonesian operations to a national sales company and ceased vehicle production in Indonesia in the three months ended June 30, 2015. We are restructuring our Thailand operations to focus on our competitive strengths in trucks and SUVs given continued challenges in Thailand and several export markets. As a result of these strategic actions related to Thailand, we recorded impairment charges of $0.3 billion in Automotive cost of sales in the three months ended June 30, 2015, which were treated as an adjustment for EBIT-adjusted reporting purposes.</w:t>
      </w:r>
    </w:p>
    <w:p>
      <w:pPr>
        <w:spacing w:after="0" w:line="1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execute our plans and within the financial impact that we projected. As we continue to assess our performance throughout the region, additional restructuring and rationalization actions may be required and may have a material impact on our results of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Economic conditions in South America were negatively impacted by falling commodity prices and political uncertainty during 2015. As a result Brazil, our largest market in South America, contracted during 2015 and continues to be negatively impacted by foreign currency deflation, high interest rates and increasing levels of unemployment. Automotive industry sales in Brazil decreased by 0.9 million vehicles, or 26.6%, in the year ended December 31, 2015 compared to the corresponding period in 2014.</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2015 we recorded currency devaluation charges of $0.6 billion and asset impairment charges of $0.1 billion in Venezuela, which is experiencing a severe economic recession. The devaluation and asset impairment charges were recorded in Automotive cost of sales and were treated as adjustments for EBIT-adjusted reporting purposes. We continue to monitor developments in Venezuela to assess whether market restrictions and exchange rate controls when considered with the economic and political environment in Venezuela evolve such that we no longer maintain a controlling financial interest.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2015 we recorded a net gain on extinguishment of debt of $0.4 billion related to prepayment of unsecured debt in Brazil, which is not a component of EBIT-adjusted.</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monitor economic conditions in South America and believe that adverse economic conditions and their effects on the automotive industry will continue in the near term. While we continue to take actions to address these challenges, no assurance can be provided that such efforts will prevent material future losses, asset impairments or other charges.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Corporate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more. In connection with this plan we announced that our Board of Directors had authorized a program to purchase up to $5 billion of our common stock before the end of 2016. In January 2016 we announced that our Board of Directors had authorized the purchase of up to an additional $4 billion of our common stock (or an aggregate total of $9 billion) before the end of 2017. At February 1, 2016 we had purchased 102 million shares of our outstanding common stock for $3.5 billion. Also, in January 2016 we announced an increase of our quarterly common stock dividend to $0.38 per share effective in the first quarter of 2016.</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2014 we created a compensation program to compensate accident victims as a result of the vehicles recalled under the Ignition Switch Recall. In the year ended December 31, 2015 we increased our independently administered accrual for the Ignition Switch Recall compensation program by $195 million based on the program's claims experience. The increase to the accrual was recorded in Automotive selling, general and administrative expense and was treated as an adjustment for EBIT-adjusted reporting purposes. Total charges recorded since inception of the compensation program were $595 million at December 31, 2015. The Ignition Switch Recall has led to various inquiries, investigations, subpoenas, requests for information and complaints from the U.S. Attorney's Office for the Southern District of New York, Congress, the SEC, Transport Canada and 50 state attorneys general. In addition these and other recalls have resulted in a number of claims and lawsuits. We recorded charges of approximately $1.6 billion in Automotive selling, general and administrative expense as a result of the DPA financial penalty and the settlements of the Shareholder Class Action, the multidistrict litigation and other litigation associated with the recalls. These charges were treated as adjustments for EBIT-adjusted reporting purposes in the year ended December 31, 2015. Refer to Note 15 to our consolidated financial statements for additional information. Such lawsuits and investigations could in the future result in the imposition of material damages, fines, civil consent orders, civil and criminal penalties or other remedies. There can be no assurance as to how the resulting consequences, if any, may impact our business, reputation, consolidated financial position, results of operations or cash flows. The total amount accrued at December 31, 2015 represents our best estimate with regard to such claims and lawsuits. However we are currently unable to estimate either a high end of the range for these claims and lawsuits or a range of possible loss for the remaining matters because they involve significant uncertainties. The resolution of these matters could have a material adverse effect on our financial position, results of operations or cash flows.</w:t>
      </w:r>
    </w:p>
    <w:p>
      <w:pPr>
        <w:spacing w:after="0" w:line="16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December 31, 2015 we concluded it was more likely than not that our future earnings in certain jurisdictions in GME will be sufficient to realize the deferred tax assets in these jurisdictions so that a full valuation allowance is no longer needed. Accordingly we reversed GME valuation allowances of $3.9 billion and recorded an income tax benefit. As a result we have a negative effective income tax rate for the year ended December 31, 2015. Refer to Note 16 to our consolidated financial statements for additional information on the reversal of deferred tax asset valuation allowances.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Based on defect information reports filed with NHTSA by Takata, we are currently conducting recalls for certain Takata air bag inflators used in some of our prior model year vehicles. We are continuing to assess the situation. Further recalls, if any, that may be required to remediate Takata air bag inflators in our vehicles could have a material impact on our financial position, results of operations or cash flows. Refer to Item 1A. Risk Factors for additional information.</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 Summary and Outlook</w:t>
      </w:r>
    </w:p>
    <w:p>
      <w:pPr>
        <w:spacing w:after="0" w:line="23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GM Financial is expanding its leasing, near prime and prime lending programs in North America and anticipates that leasing and prime lending will become an increasing percentage of the originations and retail portfolio balance over time. In the year ended December 31, 2015 GM Financial's revenue consisted of 46% retail finance charge income, 6% commercial finance charge income and 43% leased vehicle income. We believe that offering a comprehensive suite of financing products will generate incremental sales of our vehicles, drive incremental GM Financial earnings and help support our sales throughout various economic cycles. In the year ended December 31, 2015 GM Financial's retail penetration in North America grew to approximately 30%, up from approximately 10% in 2014.</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January 2, 2015 GM Financial completed its acquisition of an equity interest in SAIC-GMAC in China for $0.9 billion. As a result GM indirectly owns 45% of SAIC-GMAC.</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2015 GM Financial became our exclusive U.S. lease provider for Buick-GMC dealers. Our exclusive leasing arrangements with GM Financial extended to Cadillac dealers in March 2015 and to Chevrolet dealers in April 2015. As a result GM Financial now provides substantially all of the financing on vehicles leased by our customers. In the three months ended September 30, 2015 GM Financial began accepting deposits from retail banking customers in Germany.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review changes in our results of operations under four categories: volume, mix, price and other. Volume measures the 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Other includes primarily: (1) material and freight; (2) costs including manufacturing, engineering, advertising, administrative and selling and policy and warranty expense; (3) foreign exchange; and (4) non-vehicle related automotive revenues and costs as well as equity income or loss from our nonconsolidated affiliates.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101,199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5,423</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GME</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18,704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22,235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GMSA</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13,115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(5,295)</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145,922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151,092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152,356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155,929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0"/>
                <w:szCs w:val="10"/>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6"/>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95,099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GME</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21,962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273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GMSA</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16,478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151,092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152,092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1,502</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155,929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155,427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0.3 %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the MD&amp;A for additional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 and Inventories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10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Favorable/</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74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w w:val="90"/>
              </w:rPr>
              <w:t>Volume</w:t>
            </w:r>
          </w:p>
        </w:tc>
        <w:tc>
          <w:tcPr>
            <w:tcW w:w="3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vMerge w:val="restart"/>
          </w:tcPr>
          <w:p>
            <w:pPr>
              <w:jc w:val="center"/>
              <w:ind w:right="233"/>
              <w:spacing w:after="0"/>
              <w:rPr>
                <w:sz w:val="20"/>
                <w:szCs w:val="20"/>
                <w:color w:val="auto"/>
              </w:rPr>
            </w:pPr>
            <w:r>
              <w:rPr>
                <w:rFonts w:ascii="Arial" w:cs="Arial" w:eastAsia="Arial" w:hAnsi="Arial"/>
                <w:sz w:val="14"/>
                <w:szCs w:val="14"/>
                <w:b w:val="1"/>
                <w:bCs w:val="1"/>
                <w:color w:val="auto"/>
              </w:rPr>
              <w:t>Mix</w:t>
            </w: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(Unfavorable)</w:t>
            </w:r>
          </w:p>
        </w:tc>
        <w:tc>
          <w:tcPr>
            <w:tcW w:w="110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89,173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89,371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GME</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18,062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21,712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3,650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1,503</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GMSA</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12,736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4,320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128,321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138,082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9,761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41"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11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7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w w:val="90"/>
              </w:rPr>
              <w:t>Volume</w:t>
            </w:r>
          </w:p>
        </w:tc>
        <w:tc>
          <w:tcPr>
            <w:tcW w:w="3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vMerge w:val="restart"/>
          </w:tcPr>
          <w:p>
            <w:pPr>
              <w:jc w:val="center"/>
              <w:ind w:right="233"/>
              <w:spacing w:after="0"/>
              <w:rPr>
                <w:sz w:val="20"/>
                <w:szCs w:val="20"/>
                <w:color w:val="auto"/>
              </w:rPr>
            </w:pPr>
            <w:r>
              <w:rPr>
                <w:rFonts w:ascii="Arial" w:cs="Arial" w:eastAsia="Arial" w:hAnsi="Arial"/>
                <w:sz w:val="14"/>
                <w:szCs w:val="14"/>
                <w:b w:val="1"/>
                <w:bCs w:val="1"/>
                <w:color w:val="auto"/>
              </w:rPr>
              <w:t>Mix</w:t>
            </w: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81,404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GME</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21,712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GMSA</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15,221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138,082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134,925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Arial" w:cs="Arial" w:eastAsia="Arial" w:hAnsi="Arial"/>
                <w:sz w:val="14"/>
                <w:szCs w:val="14"/>
                <w:color w:val="auto"/>
              </w:rPr>
              <w:t>n.m. = not meaningful</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most significant element of our Automotive cost of sales is material cost which makes up approximately two-thirds of the total amount. The remaining portion includes labor costs, depreciation and amortization, engineering, and policy, product warranty and recall campaigns.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most significant factors which influence a region's profitability are industry volume and market share. While not as significant as industry volume and market share, another factor affecting profitability is the relative mix of vehicles (cars, trucks, crossovers) sold. Variable profit is a key indicator of product profitability. Variable profit is defined as revenue less material cost, freight, the variable component of manufacturing expense and policy, warranty and recall-related costs. Vehicles with higher selling prices generally have higher variable profit.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the MD&amp;A for additional information on volume and mix.</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year ended December 31, 2015 favorable Other was due primarily to: (1) favorable net foreign currency effect of $6.9 billion due primarily to the weakening of the Euro, Brazilian Real, Canadian Dollar (CAD), British Pound and Mexican Peso against the U.S. Dollar, partially offset by further Venezuela Bolivar Fuerte (BsF) devaluation; (2) a decrease in recall campaign and courtesy transportation charges of $2.8 billion, including the $0.9 billion catch-up adjustment; (3) decreased material and freight costs of $2.2 billion; (4) a net decrease in separation charges of $0.4 billion primarily related to the Bochum plant closing in GME in 2014; (5) favorable intangible asset amortization of $0.3 billion; and (6) decreased costs of $0.3 billion related to parts and accessories sales; partially offset by (7) an increase in engineering expense of $0.4 billion; (8) an increase in warranty and policy costs of $0.3 billion; and (9) costs related to the change in our business model in Russia of $0.2 billion.</w:t>
      </w:r>
    </w:p>
    <w:p>
      <w:pPr>
        <w:spacing w:after="0" w:line="17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year ended December 31, 2014 unfavorable Other was due primarily to: (1) increased recall campaign and courtesy transportation charges of $3.5 billion, including the $0.9 billion catch-up adjustment; (2) increased material and freight cost including new launches of $2.7 billion; (3) unfavorable effect resulting from the reversal of the Korea wage litigation accrual in 2013 in GMIO of $0.7 billion; (4) restructuring charges related to the Bochum plant closing in GME of $0.5 billion; (5) increased depreciation on equipment on operating lease related to daily rental vehicles of $0.3 billion; and (6) charges related to flood damage of $0.1 billion; partially offset by (7) favorable net foreign currency effect of $1.0 billion due primarily to the weakening of the Brazilian Real, Russian Ruble, Euro and CAD against the U.S. Dollar, partially offset by the BsF devaluation; and (8) favorable intangible asset amortization of $0.6 billion.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Inventories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Days on Hand</w:t>
            </w:r>
          </w:p>
        </w:tc>
        <w:tc>
          <w:tcPr>
            <w:tcW w:w="1140" w:type="dxa"/>
            <w:vAlign w:val="bottom"/>
            <w:tcBorders>
              <w:bottom w:val="single" w:sz="8" w:color="auto"/>
            </w:tcBorders>
          </w:tcPr>
          <w:p>
            <w:pPr>
              <w:spacing w:after="0"/>
              <w:rPr>
                <w:sz w:val="22"/>
                <w:szCs w:val="22"/>
                <w:color w:val="auto"/>
              </w:rPr>
            </w:pPr>
          </w:p>
        </w:tc>
      </w:tr>
      <w:tr>
        <w:trPr>
          <w:trHeight w:val="152"/>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96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14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Borders>
              <w:right w:val="single" w:sz="8" w:color="auto"/>
            </w:tcBorders>
          </w:tcPr>
          <w:p>
            <w:pPr>
              <w:spacing w:after="0"/>
              <w:rPr>
                <w:sz w:val="16"/>
                <w:szCs w:val="16"/>
                <w:color w:val="auto"/>
              </w:rPr>
            </w:pPr>
          </w:p>
        </w:tc>
        <w:tc>
          <w:tcPr>
            <w:tcW w:w="124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(Decrease)</w:t>
            </w:r>
          </w:p>
        </w:tc>
      </w:tr>
      <w:tr>
        <w:trPr>
          <w:trHeight w:val="264"/>
        </w:trPr>
        <w:tc>
          <w:tcPr>
            <w:tcW w:w="39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7,589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GME</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right w:val="single" w:sz="8" w:color="auto"/>
            </w:tcBorders>
          </w:tcPr>
          <w:p>
            <w:pPr>
              <w:spacing w:after="0"/>
              <w:rPr>
                <w:sz w:val="21"/>
                <w:szCs w:val="21"/>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GMSA</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auto"/>
            </w:tcBorders>
          </w:tcPr>
          <w:p>
            <w:pPr>
              <w:spacing w:after="0"/>
              <w:rPr>
                <w:sz w:val="21"/>
                <w:szCs w:val="21"/>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16</w:t>
            </w:r>
          </w:p>
        </w:tc>
      </w:tr>
      <w:tr>
        <w:trPr>
          <w:trHeight w:val="27"/>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13,764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13,642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122</w:t>
            </w:r>
          </w:p>
        </w:tc>
        <w:tc>
          <w:tcPr>
            <w:tcW w:w="120" w:type="dxa"/>
            <w:vAlign w:val="bottom"/>
            <w:tcBorders>
              <w:right w:val="single" w:sz="8" w:color="auto"/>
            </w:tcBorders>
            <w:shd w:val="clear" w:color="auto" w:fill="CCEEFF"/>
          </w:tcPr>
          <w:p>
            <w:pPr>
              <w:spacing w:after="0"/>
              <w:rPr>
                <w:sz w:val="22"/>
                <w:szCs w:val="22"/>
                <w:color w:val="auto"/>
              </w:rPr>
            </w:pP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Days on hand is calculated as Inventories divided by Automotive cost of sales for the years ended December 31, 2015 and 2014 multiplied by 360.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6"/>
          </w:tcPr>
          <w:p>
            <w:pPr>
              <w:jc w:val="center"/>
              <w:ind w:left="522"/>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2015 vs. 2014 Change</w:t>
            </w:r>
          </w:p>
        </w:tc>
        <w:tc>
          <w:tcPr>
            <w:tcW w:w="22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Year Ended 2014 vs. 2013 Change</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Favorable/</w:t>
            </w:r>
          </w:p>
        </w:tc>
        <w:tc>
          <w:tcPr>
            <w:tcW w:w="112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08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13,405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12,158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12,382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(10.3)%  $</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57" w:lineRule="auto"/>
        <w:rPr>
          <w:sz w:val="20"/>
          <w:szCs w:val="20"/>
          <w:color w:val="auto"/>
        </w:rPr>
      </w:pPr>
      <w:r>
        <w:rPr>
          <w:rFonts w:ascii="Arial" w:cs="Arial" w:eastAsia="Arial" w:hAnsi="Arial"/>
          <w:sz w:val="18"/>
          <w:szCs w:val="18"/>
          <w:color w:val="auto"/>
        </w:rPr>
        <w:t>In the year ended December 31, 2015 Automotive selling, general and administrative expense increased due primarily to: (1) charges for various settlements and legal matters related to the Ignition Switch Recall of $1.6 billion; (2) increased advertising expense of $0.2 billion; (3) an increase in employee related costs of $0.1 billion; and (4) costs related to the change in our business model in Russia of $0.1 billion; partially offset by (5) favorable net foreign currency effect of $0.7 billion due primarily to the weakening of the Euro and Brazilian Real against the U.S. Dollar; and (6) decreased expense related to the Ignition Switch Recall compensation program of $0.2 billion.</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2014 Automotive selling, general and administrative expense decreased due primarily to: (1) decreased expenses of $0.7 billion related to the withdrawal of the Chevrolet brand from Europe, including dealer restructuring costs and intangible asset impairment charges in 2013, coupled with cost reductions in 2014; and (2) favorable advertising expense in GMNA due primarily to reduced media spend of $0.2 billion; partially offset by (3) expense related to the Ignition Switch Recall compensation program of $0.4 billion; and (4) legal and other costs related to the Ignition Switch Recall of $0.4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center"/>
              <w:ind w:left="522"/>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2015 vs. 2014 Change</w:t>
            </w:r>
          </w:p>
        </w:tc>
        <w:tc>
          <w:tcPr>
            <w:tcW w:w="23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Year Ended 2014 vs. 2013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Favorable/</w:t>
            </w:r>
          </w:p>
        </w:tc>
        <w:tc>
          <w:tcPr>
            <w:tcW w:w="104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10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n.m.  $</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In the year ended December 31, 2015 Income tax expense decreased due primarily to: (1) the income tax benefit from the release of GME's valuation allowances of $3.9 billion; partially offset by (2) an increase in income tax expense of $1.8 billion due primarily to an increase in pre-tax income.</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2014 Income tax expense decreased due primarily to: (1) a decrease in pre-tax income; (2) a reduction in pre-tax losses in jurisdictions with full valuation allowances; and (3) other tax expense favorable items.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consolidated financial statements for additional information related to our income tax expense (benefit).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 and EBIT-Adjusted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2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6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2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106,622</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101,199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11,026</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
              <w:spacing w:after="0"/>
              <w:rPr>
                <w:sz w:val="20"/>
                <w:szCs w:val="20"/>
                <w:color w:val="auto"/>
              </w:rPr>
            </w:pPr>
            <w:r>
              <w:rPr>
                <w:rFonts w:ascii="Arial" w:cs="Arial" w:eastAsia="Arial" w:hAnsi="Arial"/>
                <w:sz w:val="18"/>
                <w:szCs w:val="18"/>
                <w:color w:val="auto"/>
              </w:rPr>
              <w:t>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540" w:type="dxa"/>
            <w:vAlign w:val="bottom"/>
            <w:gridSpan w:val="4"/>
            <w:shd w:val="clear" w:color="auto" w:fill="CCEEFF"/>
          </w:tcPr>
          <w:p>
            <w:pPr>
              <w:ind w:left="8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3,558</w:t>
            </w:r>
          </w:p>
        </w:tc>
        <w:tc>
          <w:tcPr>
            <w:tcW w:w="40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116"/>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2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2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2"/>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101,199</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6,603</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7,461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
              <w:spacing w:after="0"/>
              <w:rPr>
                <w:sz w:val="20"/>
                <w:szCs w:val="20"/>
                <w:color w:val="auto"/>
              </w:rPr>
            </w:pPr>
            <w:r>
              <w:rPr>
                <w:rFonts w:ascii="Arial" w:cs="Arial" w:eastAsia="Arial" w:hAnsi="Arial"/>
                <w:sz w:val="18"/>
                <w:szCs w:val="18"/>
                <w:color w:val="auto"/>
              </w:rPr>
              <w:t>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540" w:type="dxa"/>
            <w:vAlign w:val="bottom"/>
            <w:gridSpan w:val="4"/>
            <w:shd w:val="clear" w:color="auto" w:fill="CCEEFF"/>
          </w:tcPr>
          <w:p>
            <w:pPr>
              <w:ind w:left="8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3,320</w:t>
            </w:r>
          </w:p>
        </w:tc>
        <w:tc>
          <w:tcPr>
            <w:tcW w:w="42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2015 Total net sales and revenue increased due primarily to: (1) increased net wholesale volumes associated with full-size SUVs, mid-size pick-ups and the Chevrolet Trax, Impala and Cruze, partially offset by decreases in the Chevrolet Malibu; and (2) favorable mix due to full-size SUVs and full-size pick-ups partially offset by an increase in rental cars sold at auction and the Chevrolet Trax; partially offset by (3) unfavorable pricing primarily related to carryovers including passenger cars and compact SUVs; and (4) unfavorable Other of $1.2 billion due primarily to unfavorable foreign currency effect related to the weakening of the CAD and the Mexican Peso against the U.S. dollar of $1.7 billion partially offset by increased revenue related to OnStar of $0.2 billion.</w:t>
      </w:r>
    </w:p>
    <w:p>
      <w:pPr>
        <w:spacing w:after="0" w:line="193"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In the year ended December 31, 2014 Total net sales and revenue increased due primarily to: (1) favorable pricing related to full-size pick-ups and full-size SUVs; (2) increased net wholesale volumes due to full-size pick-ups, full-size SUVs, and the Chevrolet Colorado, Corvette and Malibu, partially offset by decreases of the Chevrolet Impala, Captiva and Cruze; (3) favorable mix due to full-size pick-ups, full-size SUVs and the Chevrolet Corvette and Impala; and</w:t>
      </w:r>
    </w:p>
    <w:p>
      <w:pPr>
        <w:jc w:val="both"/>
        <w:ind w:firstLine="8"/>
        <w:spacing w:after="0" w:line="255" w:lineRule="auto"/>
        <w:tabs>
          <w:tab w:leader="none" w:pos="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Other of $0.3 billion due primarily to increased operating lease revenue related to daily rental vehicles sold with guaranteed repurchase obligations and increased parts and accessories sales, partially offset by unfavorable foreign currency effect related primarily to the weakening of the CAD and Mexican Peso against the U.S. Dollar.</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most significant factors which influence a region's profitability are industry volume and market share. While not as significant as industry volume and market share, another factor affecting profitability is the relative mix of vehicles (cars, trucks, crossovers) sold. Variable profit is a key indicator of product profitability. Variable profit is defined as revenue less material cost, freight, the variable component of manufacturing expense and policy, warranty and recall-related costs. Vehicles with higher selling prices generally have higher variable profit. Trucks, crossovers and cars sold currently have a variable profit of approximately 170%, 80% and 30% of our portfolio on a weighted-average basis.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2015 EBIT-adjusted increased due primarily to: (1) increased net wholesale volumes; (2) favorable mix; and (3) favorable Other of $3.0 billion including decreased material and freight costs of $2.2 billion and a decrease in recall-related charges of $1.9 billion, partially offset by policy and warranty of $0.3 billion, engineering of $0.3 billion, General Motors of Canada Company (GM Canada) pension curtailment and restructuring charges of $0.2 billion and advertising of $0.2 billion; partially offset by (4) unfavorable pricing.</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year ended December 31, 2014 EBIT-adjusted decreased due primarily to: (1) unfavorable Other of $5.0 billion due primarily to an increase in recall campaign actions and recall-related charges of $2.3 billion, increased material and freight costs including new launches of $2.8 billion and increased engineering expense of $0.5 billion, partially offset by increased daily rental vehicles sold with guaranteed repurchase obligations and reduced advertising expenses; partially offset by (2) favorable pricing; (3) increased net wholesale volumes; and (4) favorable mix.</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Recall Campaigns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connection with ongoing comprehensive safety reviews, engineering analysis and our overall commitment to customer satisfaction we have incurred incremental charges for the estimated costs of parts and labor to repair vehicles and provide courtesy transportation for customers with vehicles subject to recalls.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impact of recall-related activities including customer satisfaction campaigns, safety recalls, non-compliance recalls, special coverage, and courtesy transportation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2,717</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Adjustments to pre-existing warranties</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869</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2,729</w:t>
            </w: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recorded recall-related charges of $1.1 billion in the year ended December 31, 2015 including adjustments to prior periods of $0.3 billion. Adjustments to prior periods relate to changes in estimated costs based on new information including claims emergence and development patterns. There were approximately 12 million vehicles subject to recalls announced in the year ended December 31, 2015.</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2014 we experienced a significant increase in the number of vehicles subject to recall in North America. In the year ended December 31, 2014 we recorded recall-related charges of $3.6 billion including adjustments to prior periods of $0.9 billion. Adjustments to prior periods in the three months ended June 30, 2014 included a change in estimate for previously sold vehicles of $0.9 billion partially offset by adjustments of $0.2 billion for courtesy transportation and repair costs. There were approximately 36 million vehicles subject to recalls announced in the year ended December 31, 2014 including approximately 10 million vehicles subject to multiple recalls.</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estimated costs and number of vehicles subject to recalls announced in the year ended December 31, 2014 (vehicles in millions and dollars in billions):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Repair Issue</w:t>
            </w:r>
          </w:p>
        </w:tc>
        <w:tc>
          <w:tcPr>
            <w:tcW w:w="120" w:type="dxa"/>
            <w:vAlign w:val="bottom"/>
            <w:vMerge w:val="restart"/>
          </w:tcPr>
          <w:p>
            <w:pPr>
              <w:spacing w:after="0"/>
              <w:rPr>
                <w:sz w:val="14"/>
                <w:szCs w:val="14"/>
                <w:color w:val="auto"/>
              </w:rPr>
            </w:pPr>
          </w:p>
        </w:tc>
        <w:tc>
          <w:tcPr>
            <w:tcW w:w="582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Vehicle Makes (Model Years)</w:t>
            </w:r>
          </w:p>
        </w:tc>
        <w:tc>
          <w:tcPr>
            <w:tcW w:w="140" w:type="dxa"/>
            <w:vAlign w:val="bottom"/>
            <w:vMerge w:val="restart"/>
          </w:tcPr>
          <w:p>
            <w:pPr>
              <w:spacing w:after="0"/>
              <w:rPr>
                <w:sz w:val="14"/>
                <w:szCs w:val="14"/>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Vehicles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Ignition switch</w:t>
            </w:r>
          </w:p>
        </w:tc>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Certain Chevrolet, Pontiac &amp; Saturn (2003-2011)</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Ignition lock cylinders</w:t>
            </w:r>
          </w:p>
        </w:tc>
        <w:tc>
          <w:tcPr>
            <w:tcW w:w="5960" w:type="dxa"/>
            <w:vAlign w:val="bottom"/>
            <w:gridSpan w:val="2"/>
          </w:tcPr>
          <w:p>
            <w:pPr>
              <w:ind w:left="40"/>
              <w:spacing w:after="0"/>
              <w:rPr>
                <w:sz w:val="20"/>
                <w:szCs w:val="20"/>
                <w:color w:val="auto"/>
              </w:rPr>
            </w:pPr>
            <w:r>
              <w:rPr>
                <w:rFonts w:ascii="Arial" w:cs="Arial" w:eastAsia="Arial" w:hAnsi="Arial"/>
                <w:sz w:val="18"/>
                <w:szCs w:val="18"/>
                <w:color w:val="auto"/>
              </w:rPr>
              <w:t>Certain Chevrolet, Pontiac &amp; Saturn (2003-2011)</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Electronic power steering</w:t>
            </w:r>
          </w:p>
        </w:tc>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Certain Chevrolet, Pontiac &amp; Saturn (2003-2010)</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Side mounted airbag connector</w:t>
            </w:r>
          </w:p>
        </w:tc>
        <w:tc>
          <w:tcPr>
            <w:tcW w:w="5960" w:type="dxa"/>
            <w:vAlign w:val="bottom"/>
            <w:gridSpan w:val="2"/>
          </w:tcPr>
          <w:p>
            <w:pPr>
              <w:ind w:left="40"/>
              <w:spacing w:after="0"/>
              <w:rPr>
                <w:sz w:val="20"/>
                <w:szCs w:val="20"/>
                <w:color w:val="auto"/>
              </w:rPr>
            </w:pPr>
            <w:r>
              <w:rPr>
                <w:rFonts w:ascii="Arial" w:cs="Arial" w:eastAsia="Arial" w:hAnsi="Arial"/>
                <w:sz w:val="18"/>
                <w:szCs w:val="18"/>
                <w:color w:val="auto"/>
              </w:rPr>
              <w:t>Certain Chevrolet, Buick, GMC &amp; Saturn (2008-2013)</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Brake lamp wiring harness</w:t>
            </w:r>
          </w:p>
        </w:tc>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Certain Chevrolet, Pontiac &amp; Saturn (2004-2012)</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Front safety lap belt cables</w:t>
            </w:r>
          </w:p>
        </w:tc>
        <w:tc>
          <w:tcPr>
            <w:tcW w:w="5960" w:type="dxa"/>
            <w:vAlign w:val="bottom"/>
            <w:gridSpan w:val="2"/>
          </w:tcPr>
          <w:p>
            <w:pPr>
              <w:ind w:left="40"/>
              <w:spacing w:after="0"/>
              <w:rPr>
                <w:sz w:val="20"/>
                <w:szCs w:val="20"/>
                <w:color w:val="auto"/>
              </w:rPr>
            </w:pPr>
            <w:r>
              <w:rPr>
                <w:rFonts w:ascii="Arial" w:cs="Arial" w:eastAsia="Arial" w:hAnsi="Arial"/>
                <w:sz w:val="18"/>
                <w:szCs w:val="18"/>
                <w:color w:val="auto"/>
              </w:rPr>
              <w:t>Certain Chevrolet, Buick, GMC &amp; Saturn (2009-2014)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Shift cable</w:t>
            </w:r>
          </w:p>
        </w:tc>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Certain Chevrolet, Cadillac, Pontiac &amp; Saturn (2004-2014)</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Ignition keys</w:t>
            </w:r>
          </w:p>
        </w:tc>
        <w:tc>
          <w:tcPr>
            <w:tcW w:w="5960" w:type="dxa"/>
            <w:vAlign w:val="bottom"/>
            <w:gridSpan w:val="2"/>
          </w:tcPr>
          <w:p>
            <w:pPr>
              <w:ind w:left="40"/>
              <w:spacing w:after="0"/>
              <w:rPr>
                <w:sz w:val="20"/>
                <w:szCs w:val="20"/>
                <w:color w:val="auto"/>
              </w:rPr>
            </w:pPr>
            <w:r>
              <w:rPr>
                <w:rFonts w:ascii="Arial" w:cs="Arial" w:eastAsia="Arial" w:hAnsi="Arial"/>
                <w:sz w:val="18"/>
                <w:szCs w:val="18"/>
                <w:color w:val="auto"/>
              </w:rPr>
              <w:t>Certain Chevrolet, Buick, Cadillac, Oldsmobile &amp; Pontiac (1997-2014)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Courtesy transportation and various recalls(b)</w:t>
            </w:r>
          </w:p>
        </w:tc>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Vehicles affected by this Repair issue are included in the 2.6 million vehicles subject to the ignition switch repair.</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Charges recorded for 7.7 million vehicles subject to recalls in the six months ended December 31, 2014 were comprehended in the June 30, 2014 catch-up adjustment of $0.9 billion associated with a change in estimate for previously sold vehicles.</w:t>
      </w:r>
    </w:p>
    <w:p>
      <w:pPr>
        <w:spacing w:after="0" w:line="15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notified customers affected by the Ignition Switch Recalls announced in the three months ended March 31, 2014 to schedule an appointment with their dealers as replacement parts are available. We began repairing vehicles in early April 2014 using parts that have undergone end-of-line quality inspection for performance of six critical operating parameters. We have produced sufficient parts to have the ability to repair all vehicles impacted by the ignition switch and ignition lock cylinder recalls. Through December 31, 2015 we had repaired approximately 70% of the 2.6 million vehicles initially subject to those ignition switch and ignition lock cylinder recalls and continue to actively engage customers and service vehicles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 and EBIT (Loss)-Adjusted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Favorable/</w:t>
            </w:r>
          </w:p>
        </w:tc>
        <w:tc>
          <w:tcPr>
            <w:tcW w:w="12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(Unfavorable)</w:t>
            </w:r>
          </w:p>
        </w:tc>
        <w:tc>
          <w:tcPr>
            <w:tcW w:w="12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w w:val="98"/>
              </w:rPr>
              <w:t>(Dollars in billions)</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18,704</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(813)</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w w:val="92"/>
              </w:rPr>
              <w:t>(Vehicles in thousands)</w:t>
            </w: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1,127</w:t>
            </w:r>
          </w:p>
        </w:tc>
        <w:tc>
          <w:tcPr>
            <w:tcW w:w="38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Favorable/</w:t>
            </w: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4"/>
            <w:vMerge w:val="continue"/>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vMerge w:val="continue"/>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5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(Unfavorable)</w:t>
            </w:r>
          </w:p>
        </w:tc>
        <w:tc>
          <w:tcPr>
            <w:tcW w:w="12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w w:val="98"/>
              </w:rPr>
              <w:t>(Dollars in billions)</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22,235</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(1,369)</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81"/>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gridSpan w:val="4"/>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w w:val="92"/>
              </w:rPr>
              <w:t>(Vehicles in thousands)</w:t>
            </w: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1,172</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2015 Total net sales and revenue decreased due primarily to: (1) decreased net wholesale volumes associated with decreases across the Russian portfolio and lower demand for the Zafira multipurpose vehicle across the region, partially offset by higher demand primarily for the Vivaro commercial van, the Mokka crossover and the Astra and the recently launched KARL passenger vehicles across the region; and (2) unfavorable Other of $3.3 billion due primarily to unfavorable foreign currency effect due to the weakening of the Euro, British Pound and Russian Ruble against the U.S. Dollar; partially offset by (3) favorable pricing primarily related to the next generation Corsa passenger vehicle and Vivaro and the recently launched next generation Astra.</w:t>
      </w:r>
    </w:p>
    <w:p>
      <w:pPr>
        <w:spacing w:after="0" w:line="19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year ended December 31, 2014 Total net sales and revenue increased due primarily to: (1) favorable vehicle mix due to increased sales of higher priced vehicles; and (2) increased net wholesale volumes associated with higher demand primarily for the Mokka across the region and the Corsa and Insignia passenger vehicle in Germany, Spain, United Kingdom, Italy and Poland, partially offset by decreases across the Russian portfolio and lower demand for the Astra primarily in Germany, United Kingdom and Turkey; partially offset by (3) unfavorable Other of $0.5 billion due primarily to net foreign currency effect related to the weakening of the Russian Ruble against the U.S. Dollar, partially offset by the strengthening of the British Pound against the U.S. Dollar.</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year ended December 31, 2015 EBIT (loss)-adjusted decreased due primarily to: (1) favorable pricing; and (2) favorable Other of $0.1 billion due primarily to a net decrease in restructuring related charges of $0.7 billion, partially offset by unfavorable material costs of $0.2 billion primarily related to the next generation Corsa and Vivaro and unfavorable foreign currency effect of $0.2 billion; partially offset by (3) decreased net wholesale volumes.</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2014 EBIT (loss)-adjusted increased due primarily to: (1) unfavorable Other of $0.7 billion due primarily to restructuring related charges of $0.5 billion, unfavorable net foreign currency effect of $0.3 billion due primarily to the weakening of the Russian Ruble against the U.S. Dollar, partially offset by the strengthening of the British Pound against the U.S. Dollar, and unfavorable net effect of changes in the fair value of an embedded foreign currency derivative asset of $0.1 billion associated with a long-term supply agreement, partially offset by decreased material and freight costs of $0.2 billion; partially offset by (2) favorable net vehicle mix.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a number of joint ventures and maintaining good relations with our joint venture partners, which are affiliated with the Chinese government, is an important part of our China growth strategy.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summarize certain key operational and financial data for the Automotive China JVs (dollars in millions, vehicles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0"/>
          </w:tcPr>
          <w:p>
            <w:pPr>
              <w:jc w:val="right"/>
              <w:ind w:right="24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w w:val="99"/>
              </w:rPr>
              <w:t>Total wholesale vehicles including vehicles exported to markets outside of China</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44,959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43,853</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w w:val="94"/>
              </w:rPr>
              <w:t>38,767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4,290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2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40" w:type="dxa"/>
            <w:vAlign w:val="bottom"/>
            <w:gridSpan w:val="6"/>
          </w:tcPr>
          <w:p>
            <w:pPr>
              <w:ind w:left="140"/>
              <w:spacing w:after="0"/>
              <w:rPr>
                <w:sz w:val="20"/>
                <w:szCs w:val="20"/>
                <w:color w:val="auto"/>
              </w:rPr>
            </w:pPr>
            <w:r>
              <w:rPr>
                <w:rFonts w:ascii="Arial" w:cs="Arial" w:eastAsia="Arial" w:hAnsi="Arial"/>
                <w:sz w:val="18"/>
                <w:szCs w:val="18"/>
                <w:b w:val="1"/>
                <w:bCs w:val="1"/>
                <w:i w:val="1"/>
                <w:iCs w:val="1"/>
                <w:color w:val="auto"/>
              </w:rPr>
              <w:t>GMIO Total Net Sales and Revenue and EBIT-Adjusted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3"/>
            <w:vMerge w:val="restart"/>
          </w:tcPr>
          <w:p>
            <w:pPr>
              <w:jc w:val="right"/>
              <w:ind w:right="274"/>
              <w:spacing w:after="0"/>
              <w:rPr>
                <w:sz w:val="20"/>
                <w:szCs w:val="20"/>
                <w:color w:val="auto"/>
              </w:rPr>
            </w:pPr>
            <w:r>
              <w:rPr>
                <w:rFonts w:ascii="Arial" w:cs="Arial" w:eastAsia="Arial" w:hAnsi="Arial"/>
                <w:sz w:val="14"/>
                <w:szCs w:val="14"/>
                <w:b w:val="1"/>
                <w:bCs w:val="1"/>
                <w:color w:val="auto"/>
                <w:w w:val="97"/>
              </w:rPr>
              <w:t>Years Ended December 31,</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7"/>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6"/>
                <w:szCs w:val="6"/>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0"/>
              </w:rPr>
              <w:t>Volume</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Mix</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(Dollars in millions)</w:t>
            </w: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1,397</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8"/>
              <w:spacing w:after="0"/>
              <w:rPr>
                <w:sz w:val="20"/>
                <w:szCs w:val="20"/>
                <w:color w:val="auto"/>
              </w:rPr>
            </w:pPr>
            <w:r>
              <w:rPr>
                <w:rFonts w:ascii="Arial" w:cs="Arial" w:eastAsia="Arial" w:hAnsi="Arial"/>
                <w:sz w:val="18"/>
                <w:szCs w:val="18"/>
                <w:color w:val="auto"/>
              </w:rPr>
              <w:t>(0.2)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8"/>
              <w:spacing w:after="0"/>
              <w:rPr>
                <w:sz w:val="20"/>
                <w:szCs w:val="20"/>
                <w:color w:val="auto"/>
              </w:rPr>
            </w:pPr>
            <w:r>
              <w:rPr>
                <w:rFonts w:ascii="Arial" w:cs="Arial" w:eastAsia="Arial" w:hAnsi="Arial"/>
                <w:sz w:val="18"/>
                <w:szCs w:val="18"/>
                <w:color w:val="auto"/>
              </w:rPr>
              <w:t>0.1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40" w:type="dxa"/>
            <w:vAlign w:val="bottom"/>
            <w:gridSpan w:val="4"/>
            <w:shd w:val="clear" w:color="auto" w:fill="CCEEFF"/>
          </w:tcPr>
          <w:p>
            <w:pPr>
              <w:ind w:left="8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w:t>
            </w:r>
          </w:p>
        </w:tc>
        <w:tc>
          <w:tcPr>
            <w:tcW w:w="42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3"/>
            <w:vMerge w:val="restart"/>
          </w:tcPr>
          <w:p>
            <w:pPr>
              <w:jc w:val="right"/>
              <w:ind w:right="274"/>
              <w:spacing w:after="0"/>
              <w:rPr>
                <w:sz w:val="20"/>
                <w:szCs w:val="20"/>
                <w:color w:val="auto"/>
              </w:rPr>
            </w:pPr>
            <w:r>
              <w:rPr>
                <w:rFonts w:ascii="Arial" w:cs="Arial" w:eastAsia="Arial" w:hAnsi="Arial"/>
                <w:sz w:val="14"/>
                <w:szCs w:val="14"/>
                <w:b w:val="1"/>
                <w:bCs w:val="1"/>
                <w:color w:val="auto"/>
                <w:w w:val="97"/>
              </w:rPr>
              <w:t>Years Ended December 31,</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7"/>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6"/>
                <w:szCs w:val="6"/>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4"/>
              </w:rPr>
              <w:t>Volume</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Mix</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(Dollars in millions)</w:t>
            </w: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1,222</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(0.9)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8"/>
              <w:spacing w:after="0"/>
              <w:rPr>
                <w:sz w:val="20"/>
                <w:szCs w:val="20"/>
                <w:color w:val="auto"/>
              </w:rPr>
            </w:pPr>
            <w:r>
              <w:rPr>
                <w:rFonts w:ascii="Arial" w:cs="Arial" w:eastAsia="Arial" w:hAnsi="Arial"/>
                <w:sz w:val="18"/>
                <w:szCs w:val="18"/>
                <w:color w:val="auto"/>
              </w:rPr>
              <w:t>(0.1)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40" w:type="dxa"/>
            <w:vAlign w:val="bottom"/>
            <w:gridSpan w:val="4"/>
            <w:shd w:val="clear" w:color="auto" w:fill="CCEEFF"/>
          </w:tcPr>
          <w:p>
            <w:pPr>
              <w:ind w:left="80"/>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2015 Total net sales and revenue decreased due primarily to: (1) decreased wholesale volumes associated with the withdrawal of the Chevrolet brand from Europe, decreased sales in Korea, India, Southeast Asia and South Africa, partially offset by increased wholesale volumes of new full-size trucks and SUVs in the Middle East; and (2) unfavorable Other of $1.4 billion due primarily to unfavorable foreign currency effect of $1.0 billion resulting from the weakening of the Australian Dollar, South Korean Won and South African Rand against the U.S. Dollar and decreased sales of components, parts and accessories of $0.4 billion; partially offset by (3) favorable mix and pricing primarily due to increased sales of full-size trucks and SUVs in the Middle East.</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2014 Total net sales and revenue decreased due primarily to: (1) decreased wholesale volumes related to the withdrawal of the Chevrolet brand from Europe, decreased sales of carryover trucks and SUVs ahead of the new full-size truck introduction in the Middle East and decreased sales of Chevrolet vehicles in Thailand; and (2) unfavorable Other of $0.4 billion due primarily to unfavorable foreign currency effect of $0.3 billion driven by the weakening of the Australian Dollar, South African Rand, Thai Baht and Indian Rupee against the U.S. Dollar and decreased sales of components, parts and accessories of $0.1 billion; partially offset by (3) favorable vehicle pricing due primarily to sales of new full-size trucks in the Middle East and lower sales incentives offered on Chevrolet vehicles in Europe; and (4) favorable mix due primarily to an improved sales portfolio of the Malibu and Trax in Korea and the Tahoe and Yukon in the Middle East.</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41"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2015 EBIT-adjusted increased due primarily to: (1) favorable pricing and mix in the Middle East due primarily to sales of new full-size trucks and SUVs; and (2) favorable Other of $0.1 billion due primarily to favorable material and freight costs of $0.2 billion, offset by unfavorable foreign currency effect of $0.2 billion; partially offset by (3) decreased net wholesale volumes.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2014 EBIT-adjusted decreased due primarily to: (1) decreased wholesale volumes; and (2) unfavorable net vehicle mix due primarily to higher cost of the Commodore sedan and Colorado in Australia; partially offset by (3) favorable vehicle pricing; and (4) favorable Other of $0.6 billion due primarily to favorable engineering cost of $0.3 billion, favorable equity income from Automotive China JVs of $0.3 billion and favorable fixed costs of $0.1 billion related to manufacturing costs and depreciation, amortization and impairment charges.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EBIT (Loss)-Adjusted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2"/>
                <w:szCs w:val="2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2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2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7,820</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EBIT (loss)-adjusted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603</w:t>
            </w: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4"/>
                <w:szCs w:val="2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4"/>
            <w:vMerge w:val="continue"/>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vMerge w:val="continue"/>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2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13,115</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EBIT (loss)-adjusted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400" w:type="dxa"/>
            <w:vAlign w:val="bottom"/>
            <w:tcBorders>
              <w:right w:val="single" w:sz="8" w:color="auto"/>
            </w:tcBorders>
            <w:gridSpan w:val="2"/>
          </w:tcPr>
          <w:p>
            <w:pPr>
              <w:ind w:left="72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gridSpan w:val="4"/>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Wholesale vehicle sales</w:t>
            </w:r>
          </w:p>
        </w:tc>
        <w:tc>
          <w:tcPr>
            <w:tcW w:w="2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886</w:t>
            </w: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256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8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2015 Total net sales and revenue decreased due primarily to: (1) decreased wholesale volumes associated with lower demand for the Chevrolet Celta, Onix and Prisma small vehicles and Cobalt sedan in Brazil and decreases across the portfolio primarily in Chile and Colombia caused by difficult economic conditions; and (2) unfavorable Other of $2.9 billion due primarily to unfavorable foreign currency effect due to the weakening of all currencies across the region against the U.S. Dollar; partially offset by (3) favorable pricing due primarily to high inflation in Venezuela and Argentina; and (4) favorable vehicle mix due to decreased sales of lower priced vehicles in Brazil and increased sales of the Chevrolet Silverado and Cruze in Venezuela.</w:t>
      </w:r>
    </w:p>
    <w:p>
      <w:pPr>
        <w:spacing w:after="0" w:line="19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year ended December 31, 2014 Total net sales and revenue decreased due primarily to: (1) decreased wholesale volumes associated with lower demand for the Chevrolet Celta, Classic and Agile small vehicles in Brazil and decreases across the portfolio in Argentina and Venezuela caused by difficult economic conditions; and (2) unfavorable Other of $2.1 billion due primarily to unfavorable net foreign currency effect due to the strengthening of the U.S. Dollar against all currencies across the region; partially offset by (3) favorable vehicle pricing primarily due to high inflation in Argentina and Venezuela.</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2015 EBIT (loss)-adjusted increased due primarily to: (1) decreased wholesale volumes; and (2) unfavorable Other of $0.8 billion due primarily to net unfavorable foreign currency effect of $0.6 billion due to the weakening of all currencies across the region against the U.S. Dollar, which includes favorable impact of $60 million in Argentina; partially offset by (3) favorable pricing; and (4) favorable product mix.</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2014 GMSA had EBIT (loss)-adjusted compared to EBIT-adjusted in the year ended December 31, 2013 due primarily to:</w:t>
      </w:r>
    </w:p>
    <w:p>
      <w:pPr>
        <w:spacing w:after="0" w:line="46" w:lineRule="exact"/>
        <w:rPr>
          <w:sz w:val="20"/>
          <w:szCs w:val="20"/>
          <w:color w:val="auto"/>
        </w:rPr>
      </w:pPr>
    </w:p>
    <w:p>
      <w:pPr>
        <w:ind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wholesale volumes; and (2) unfavorable Other of $1.0 billion due to unfavorable net foreign currency effect due to the strengthening of the U.S. Dollar against all currencies across the region; partially offset by (3) favorable vehicle pricing.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Venezuelan subsidiaries' functional currency is the U.S. Dollar because of the hyperinflationary status of the Venezuelan economy.</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Effective March 31, 2014 we changed the exchange rate for remeasuring our Venezuelan subsidiaries’ non-U.S. Dollar denominated monetary assets and liabilities from the Venezuela official exchange rate to the rate determined by an auction process conducted by Venezuela’s Complementary System of Foreign Currency Administration (SICAD). The devaluation resulted in a charge of $0.4 billion recorded in Automotive cost of sales in the three months ended March 31, 2014 which was treated as an adjustment for EBIT-adjusted reporting purposes.</w:t>
      </w:r>
    </w:p>
    <w:p>
      <w:pPr>
        <w:spacing w:after="0" w:line="17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three months ended June 30, 2015 we changed the exchange rate for remeasuring these monetary assets and liabilities from the SICAD rate to the Sistema Marginal de Divisas (SIMADI) rate, which was BsF 198 to $1.00 at June 30, 2015. This devaluation resulted in a charge of $0.6 billion recorded in Automotive cost of sales in the three months ended June 30, 2015 which was treated as an adjustment for EBIT-adjusted reporting purposes. SIMADI is a third currency exchange mechanism announced by the Venezuelan government in 2015. It is an open system of supply and demand expected to be limited to a small percentage of total U.S. Dollar transactions using official mechanisms. We believe the SIMADI rate is the most representative rate to be used for remeasurement, because it is more reflective of economic reality in Venezuela and future transactions, including dividends, at the SICAD rate appear unlikely.</w:t>
      </w:r>
    </w:p>
    <w:p>
      <w:pPr>
        <w:spacing w:after="0" w:line="16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Due to the adverse movements in the foreign currency exchange rate and the continued weakness in the Venezuelan market we performed recoverability tests of certain assets, including our real and personal property assets, in the three months ended June 30, 2015. As a result we recorded asset impairment charges of $0.1 billion in Automotive cost of sales, which were treated as an adjustment for EBIT-adjusted reporting purposes.</w:t>
      </w:r>
    </w:p>
    <w:p>
      <w:pPr>
        <w:spacing w:after="0" w:line="166"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We continued to consolidate our Venezuelan subsidiaries because of recent favorable election results, settlements of new debt by the Venezuelan government, participation in SIMADI currency exchange and vehicle production in the year ended December 31, 2015. Additionally, we expect to have the ability to continue vehicle production in a limited manner during 2016 and into early 2017. Absent ongoing vehicle production, our Venezuelan subsidiaries may require additional financial support. At this time no decision has been made whether we will provide further financial support if required. Despite the significant challenges in Venezuela, this market continues to be important to us. We will continue to monitor developments in Venezuela to assess whether market restrictions and exchange rate controls evolve such that we no longer maintain a controlling financial interest. If a determination is made in the future that we no longer maintain control we may incur a charge based on exchange rates at December 31, 2015 of approximately $0.2 billion.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3"/>
          </w:tcPr>
          <w:p>
            <w:pPr>
              <w:ind w:left="200"/>
              <w:spacing w:after="0"/>
              <w:rPr>
                <w:sz w:val="20"/>
                <w:szCs w:val="20"/>
                <w:color w:val="auto"/>
              </w:rPr>
            </w:pPr>
            <w:r>
              <w:rPr>
                <w:rFonts w:ascii="Arial" w:cs="Arial" w:eastAsia="Arial" w:hAnsi="Arial"/>
                <w:sz w:val="14"/>
                <w:szCs w:val="14"/>
                <w:b w:val="1"/>
                <w:bCs w:val="1"/>
                <w:color w:val="auto"/>
              </w:rPr>
              <w:t>2015 vs. 2014 Change</w:t>
            </w:r>
          </w:p>
        </w:tc>
        <w:tc>
          <w:tcPr>
            <w:tcW w:w="180" w:type="dxa"/>
            <w:vAlign w:val="bottom"/>
          </w:tcPr>
          <w:p>
            <w:pPr>
              <w:spacing w:after="0"/>
              <w:rPr>
                <w:sz w:val="16"/>
                <w:szCs w:val="16"/>
                <w:color w:val="auto"/>
              </w:rPr>
            </w:pPr>
          </w:p>
        </w:tc>
        <w:tc>
          <w:tcPr>
            <w:tcW w:w="188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2014 vs. 2013 Change</w:t>
            </w:r>
          </w:p>
        </w:tc>
      </w:tr>
      <w:tr>
        <w:trPr>
          <w:trHeight w:val="264"/>
        </w:trPr>
        <w:tc>
          <w:tcPr>
            <w:tcW w:w="39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250"/>
        </w:trPr>
        <w:tc>
          <w:tcPr>
            <w:tcW w:w="3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w w:val="95"/>
              </w:rPr>
              <w:t>(Dollars in millions)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6,454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4,854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3,344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1,600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1,510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45.2 %</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624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604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475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75"/>
              <w:spacing w:after="0"/>
              <w:rPr>
                <w:sz w:val="20"/>
                <w:szCs w:val="20"/>
                <w:color w:val="auto"/>
              </w:rPr>
            </w:pPr>
            <w:r>
              <w:rPr>
                <w:rFonts w:ascii="Arial" w:cs="Arial" w:eastAsia="Arial" w:hAnsi="Arial"/>
                <w:sz w:val="18"/>
                <w:szCs w:val="18"/>
                <w:color w:val="auto"/>
              </w:rPr>
              <w:t>20</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5"/>
              <w:spacing w:after="0"/>
              <w:rPr>
                <w:sz w:val="20"/>
                <w:szCs w:val="20"/>
                <w:color w:val="auto"/>
              </w:rPr>
            </w:pPr>
            <w:r>
              <w:rPr>
                <w:rFonts w:ascii="Arial" w:cs="Arial" w:eastAsia="Arial" w:hAnsi="Arial"/>
                <w:sz w:val="18"/>
                <w:szCs w:val="18"/>
                <w:color w:val="auto"/>
              </w:rPr>
              <w:t>129</w:t>
            </w:r>
          </w:p>
        </w:tc>
        <w:tc>
          <w:tcPr>
            <w:tcW w:w="880" w:type="dxa"/>
            <w:vAlign w:val="bottom"/>
          </w:tcPr>
          <w:p>
            <w:pPr>
              <w:jc w:val="right"/>
              <w:spacing w:after="0"/>
              <w:rPr>
                <w:sz w:val="20"/>
                <w:szCs w:val="20"/>
                <w:color w:val="auto"/>
              </w:rPr>
            </w:pPr>
            <w:r>
              <w:rPr>
                <w:rFonts w:ascii="Arial" w:cs="Arial" w:eastAsia="Arial" w:hAnsi="Arial"/>
                <w:sz w:val="18"/>
                <w:szCs w:val="18"/>
                <w:color w:val="auto"/>
              </w:rPr>
              <w:t>27.2 %</w:t>
            </w: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taxes-adjusted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837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803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898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34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(95)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3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4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w w:val="96"/>
              </w:rPr>
              <w:t>(Dollars in billions)</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debt outstanding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44.6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32.2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12.4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11.2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53.3 %</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Effective rate of interest paid</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(0.8)%</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21"/>
                <w:szCs w:val="2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year ended December 31, 2015 Total revenue increased due primarily to: (1) increased leased vehicle income of $1.7 billion due to a larger lease portfolio; partially offset by (2) net decrease in finance charge income and other income of $0.1 billion which consists of a decrease of $0.3 billion outside of North America, partially offset by an increase of $0.2 billion in North America.</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2014 Total revenue increased due primarily to: (1) increased finance charge income of $0.9 billion due to the acquisition of Ally Financial international operations; and (2) increased leased vehicle income of $0.5 billion due to a larger lease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Taxes-Adjusted</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2015 Income before income taxes-adjusted remained flat due primarily to: (1) increased revenue of $1.6 billion; and (2) increased equity income of $0.1 billion from SAIC-GMAC; offset by (3) increased leased vehicles expenses of $1.4 billion due to a larger lease portfolio; (4) net increase in interest expense of $0.2 billion which consists of an increase of $0.4 billion in North America due to an increase in average debt outstanding, partially offset by a decrease of $0.2 billion outside of North America; and (5) net increase in operating expenses of $0.1 billion which consists of an increase of $0.2 billion in North America, partially offset by a decrease of $0.1 billion outside of North America.</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2014 Income before income taxes-adjusted decreased due primarily to: (1) increased interest expenses of $0.7 billion due to higher average debt outstanding and effective rate of interest paid; (2) increased operating expenses of $0.4 billion due to the acquisition of Ally Financial international operations; (3) increased leased vehicle expenses of $0.4 billion due to a larger lease portfolio; and (4) increased provision for loan losses of $0.1 billion; partially offset by (5) increased revenue of $1.5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revolving credit facilities will be sufficient to meet our liquidity needs. We expect to have substantial cash requirements going forward which we plan to fund through total available liquidity and cash flows generated from operations.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an investment-grade balance sheet; and (3) return cash to stockholders. Our known future material uses of cash include, among other possible demands: (1) capital expenditures of approximately $9.0 billion as well as payments for engineering and product development activities; (2) payments associated with previously announced vehicle recalls, the settlements of the Shareholder Class Action and the multidistrict litigation and any other recall-related contingencies; (3) payments to service debt and other long-term obligations, including contributions to our pension plans; (4) payments for previously announced restructuring activities; (5) dividend payments on our common stock that are declared by our Board of Directors; and (6) payments to purchase shares of our common stock under programs authorized by our Board of Directors.</w:t>
      </w:r>
    </w:p>
    <w:p>
      <w:pPr>
        <w:spacing w:after="0" w:line="16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Our liquidity plans are subject to a number of risks and uncertainties, including those described in Item 1A. Risk Factors, some of which are outside of our control. Macroeconomic conditions could limit our ability to successfully execute our business plans and therefore adversely affect our liquidity plans and compliance with certain covenants. Refer to Note 12 to our consolidated financial statements for the discussion of our financial and operational covenants.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more. In connection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this plan we announced that our Board of Directors had authorized a program to purchase up to $5 billion of our common stock before the end of 2016. In January 2016 we announced that our Board of Directors had authorized the purchase of up to an additional $4 billion of our common stock (or an aggregate total of $9 billion) before the end of 2017. Also, in January 2016 we announced an increase of our quarterly common stock dividend to $0.38 per share effective in the first quarter of 2016. At February 1, 2016 we had purchased 102 million shares of our outstanding common stock for $3.5 billion.</w:t>
      </w:r>
    </w:p>
    <w:p>
      <w:pPr>
        <w:spacing w:after="0" w:line="1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By mid-2016 management intends to make discretionary contributions of approximately $2.0 billion to our U.S. hourly pension plan to improve its funded status. The contributions are expected to be funded by debt.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 Liquidity</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Total available liquidity includes cash, cash equivalents, marketable securities and funds available under credit facilities. The amount of available liquidity is subject to intra-month and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manage our liquidity primarily at our treasury centers as well as at certain of our significant consolidated overseas subsidiaries. Approximately 90% of our available liquidity excluding funds available under credit facilities was held within North America and at our regional treasury centers at December 31, 2015.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cash equivalents and marketable securities balances are primarily denominated in U.S. Dollars and include investments in U.S. government and agency obligations, foreign government securities, time deposits and corporate debt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and to fund working capital needs at certain of our subsidiaries. The total size of our credit facilities was $12.6 billion at December 31, 2015 and 2014 which consisted principally of our two primary revolving credit facilities. We did not borrow against our primary facilities, but had amounts in use under the letter of credit sub-facility of $0.4 billion at December 31, 2015. GM Financial had access to our revolving credit facilities, but did not borrow against them and we have no intercompany loans outstanding to GM Financial. Refer to Note 12 to our consolidated financial statements for more information on credit facilities.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9.2</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12.0</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740" w:type="dxa"/>
            <w:vAlign w:val="bottom"/>
            <w:gridSpan w:val="2"/>
          </w:tcPr>
          <w:p>
            <w:pPr>
              <w:jc w:val="right"/>
              <w:ind w:right="2148"/>
              <w:spacing w:after="0"/>
              <w:rPr>
                <w:sz w:val="20"/>
                <w:szCs w:val="20"/>
                <w:color w:val="auto"/>
              </w:rPr>
            </w:pPr>
            <w:r>
              <w:rPr>
                <w:rFonts w:ascii="Arial" w:cs="Arial" w:eastAsia="Arial" w:hAnsi="Arial"/>
                <w:sz w:val="18"/>
                <w:szCs w:val="18"/>
                <w:b w:val="1"/>
                <w:bCs w:val="1"/>
                <w:color w:val="auto"/>
              </w:rPr>
              <w:t>GENERAL MOTORS COMPANY AND SUBSIDIARIES</w:t>
            </w:r>
          </w:p>
        </w:tc>
        <w:tc>
          <w:tcPr>
            <w:tcW w:w="1260" w:type="dxa"/>
            <w:vAlign w:val="bottom"/>
          </w:tcPr>
          <w:p>
            <w:pPr>
              <w:spacing w:after="0"/>
              <w:rPr>
                <w:sz w:val="20"/>
                <w:szCs w:val="20"/>
                <w:color w:val="auto"/>
              </w:rPr>
            </w:pPr>
          </w:p>
        </w:tc>
      </w:tr>
      <w:tr>
        <w:trPr>
          <w:trHeight w:val="513"/>
        </w:trPr>
        <w:tc>
          <w:tcPr>
            <w:tcW w:w="34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Year Ended December</w:t>
            </w:r>
          </w:p>
        </w:tc>
      </w:tr>
      <w:tr>
        <w:trPr>
          <w:trHeight w:val="192"/>
        </w:trPr>
        <w:tc>
          <w:tcPr>
            <w:tcW w:w="3420" w:type="dxa"/>
            <w:vAlign w:val="bottom"/>
            <w:tcBorders>
              <w:bottom w:val="single" w:sz="8" w:color="CCEEFF"/>
            </w:tcBorders>
          </w:tcPr>
          <w:p>
            <w:pPr>
              <w:spacing w:after="0"/>
              <w:rPr>
                <w:sz w:val="16"/>
                <w:szCs w:val="16"/>
                <w:color w:val="auto"/>
              </w:rPr>
            </w:pPr>
          </w:p>
        </w:tc>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31, 2015</w:t>
            </w: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67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3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purchase common stock</w:t>
            </w:r>
          </w:p>
        </w:tc>
        <w:tc>
          <w:tcPr>
            <w:tcW w:w="6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4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6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Increase in available credit facilities</w:t>
            </w:r>
          </w:p>
        </w:tc>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342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Total change in automotive available liquidity</w:t>
            </w:r>
          </w:p>
        </w:tc>
        <w:tc>
          <w:tcPr>
            <w:tcW w:w="67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automotive cash flows from operating, investing and financing activities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2015 vs. 2014</w:t>
            </w:r>
          </w:p>
        </w:tc>
        <w:tc>
          <w:tcPr>
            <w:tcW w:w="140" w:type="dxa"/>
            <w:vAlign w:val="bottom"/>
          </w:tcPr>
          <w:p>
            <w:pPr>
              <w:spacing w:after="0"/>
              <w:rPr>
                <w:sz w:val="16"/>
                <w:szCs w:val="16"/>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2014 vs. 2013</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impairments</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&amp; OPEB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Accrued liabilities and other liabilities</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rPr>
              <w:t>Undistributed earnings of nonconsolidated affiliates and gains on</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7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5"/>
              </w:rPr>
              <w:t>10.0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162"/>
        <w:spacing w:after="0" w:line="280"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the year ended December 31, 2015 the change in Working capital was due primarily to increased accounts payable due to increased production volumes.</w:t>
      </w:r>
      <w:r>
        <w:rPr>
          <w:rFonts w:ascii="Arial" w:cs="Arial" w:eastAsia="Arial" w:hAnsi="Arial"/>
          <w:sz w:val="19"/>
          <w:szCs w:val="19"/>
          <w:color w:val="auto"/>
        </w:rPr>
        <w:t xml:space="preserve"> </w:t>
      </w:r>
      <w:r>
        <w:rPr>
          <w:rFonts w:ascii="Arial" w:cs="Arial" w:eastAsia="Arial" w:hAnsi="Arial"/>
          <w:sz w:val="17"/>
          <w:szCs w:val="17"/>
          <w:color w:val="auto"/>
        </w:rPr>
        <w:t>The change in Equipment on operating leases was due primarily to the reduction of units provided to rental car companies. The change in Accrued liabilities and other liabilities was due primarily to recalls and deposits from rental car companies. The change in Income taxes was due primarily to the reversal of valuation allowances, partially offset by deferred tax expense in 2015 compared to deferred tax benefit in 2014.</w:t>
      </w:r>
    </w:p>
    <w:p>
      <w:pPr>
        <w:spacing w:after="0" w:line="17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year ended December 31, 2014 the change in Accrued liabilities and other liabilities was due primarily to recalls and deposits from rental car companies. The change in Income taxes was primarily related to deferred tax benefit in 2014 compared to deferred tax expense in 2013.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2015 vs. 2014</w:t>
            </w:r>
          </w:p>
        </w:tc>
        <w:tc>
          <w:tcPr>
            <w:tcW w:w="140" w:type="dxa"/>
            <w:vAlign w:val="bottom"/>
          </w:tcPr>
          <w:p>
            <w:pPr>
              <w:spacing w:after="0"/>
              <w:rPr>
                <w:sz w:val="16"/>
                <w:szCs w:val="16"/>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1"/>
              </w:rPr>
              <w:t>2014 vs. 2013</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76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our investment in Ally Financial</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 ended December 31, 2015 the change in Acquisitions and liquidations of marketable securities, net was due primarily to the liquidation of our sovereign debt trading securities. In the year ended December 31, 2014 the change in Acquisitions and</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41"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liquidations of marketable securities, net was due primarily to the rebalancing of our investment portfolio between marketable securities and cash and cash equivalents as part of liquidity management in the normal course of business.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2015 vs. 2014</w:t>
            </w:r>
          </w:p>
        </w:tc>
        <w:tc>
          <w:tcPr>
            <w:tcW w:w="140" w:type="dxa"/>
            <w:vAlign w:val="bottom"/>
          </w:tcPr>
          <w:p>
            <w:pPr>
              <w:spacing w:after="0"/>
              <w:rPr>
                <w:sz w:val="16"/>
                <w:szCs w:val="16"/>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2014 vs. 2013</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w w:val="97"/>
              </w:rPr>
              <w:t>Prepayment of Canadian Health Care Trust (HCT) notes (principal)</w:t>
            </w:r>
          </w:p>
        </w:tc>
        <w:tc>
          <w:tcPr>
            <w:tcW w:w="7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redemption of GM Korea preferred stock</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Redemption and purchase of Series A Preferred Stock</w:t>
            </w:r>
          </w:p>
        </w:tc>
        <w:tc>
          <w:tcPr>
            <w:tcW w:w="7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purchase common stock</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w w:val="90"/>
              </w:rPr>
              <w:t>Dividends paid (excluding charge related to redemption and purchase of</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Series A Preferred Stock)</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2015 the change in Cash flows from financing activities was due primarily to the purchase of common stock as part of the common stock repurchase program. In the year ended December 31, 2014 the change in Dividends paid was due primarily to payment for common stock dividends.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automotive adjusted free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Adjusted free cash flow</w:t>
            </w: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w:t>
            </w:r>
          </w:p>
        </w:tc>
      </w:tr>
      <w:tr>
        <w:trPr>
          <w:trHeight w:val="20"/>
        </w:trPr>
        <w:tc>
          <w:tcPr>
            <w:tcW w:w="7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Adjustments to free cash flow included: (1) pension contributions related to the previously announced annuitization of the U.S. salaried pension plan in August 2014 and March 2013 of $0.1 billion; and (2) accrued interest on the prepayment of the HCT notes of $0.2 billion in October 2013.</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Status of Credit Ratings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 ratings from four independent credit rating agencies: DBRS Limited, Fitch Ratings (Fitch), Moody's Investor Service (Moody's) and Standard &amp; Poor's (S&amp;P). All four credit rating agencies currently rate our corporate credit at investment grade. The following table summarizes our credit ratings at January 27,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Revolving Credit Facilities</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 (low)</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BBB (low)</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Positive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Fitch</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Baa3</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Ba1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S&amp;P</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Rating actions taken by each of the credit rating agencies from January 1, 2015 through January 27, 2016 were as follows: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Fitch: Upgraded our corporate rating, revolving credit facilities rating and senior unsecured rating to an investment grade rating of BBB- from BB+ and revised their outlook to Stable from Positive in June 2015.</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41"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DBRS Limited: Revised their outlook to Positive from Stable in October 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Overview</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primary sources of cash are finance charge income, leasing income, servicing fees, net distributions from securitizations, secured and unsecured debt borrowings and collections and recoveries on finance receivables. GM Financial's primary uses of cash are purchases of retail finance receivables and leased vehicles, funding of commercial finance receivables, repayment of secured and unsecured debt, funding credit enhancement requirements for secured debt, operating expenses, interest costs and business acquisitions. GM Financial continues to monitor and evaluate opportunities to optimize its liquidity position and the mix of its debt.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2015 available liquidity increased due primarily to: (1) decreased usage of secured debt facilities as a result of the issuance of senior unsecured notes; and (2) decreased usage of committed unsecured lines of credit primarily due to funding provided by retail banking deposits in Germany.</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has the ability to borrow up to $2.0 billion against each of our three-year, $5.0 billion and five-year, $7.5 billion revolving credit facilities. In September 2014 we and GM Financial entered into a support agreement which, among other things, established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In the normal course of business, in addition to using its available cash, GM Financial utilizes borrowings under its credit facilities, which may be secured or unsecured, and GM Financial repays these borrowings as appropriate under its cash management strategy. At December 31, 2015 secured and committed unsecured credit facilities totaled $22.4 billion and $1.5 billion, with advances outstanding of $7.5 billion and $0.6 billion.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billions):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2015 vs. 2014</w:t>
            </w:r>
          </w:p>
        </w:tc>
        <w:tc>
          <w:tcPr>
            <w:tcW w:w="140" w:type="dxa"/>
            <w:vAlign w:val="bottom"/>
          </w:tcPr>
          <w:p>
            <w:pPr>
              <w:spacing w:after="0"/>
              <w:rPr>
                <w:sz w:val="16"/>
                <w:szCs w:val="16"/>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89"/>
              </w:rPr>
              <w:t>2014 vs. 2013</w:t>
            </w:r>
          </w:p>
        </w:tc>
        <w:tc>
          <w:tcPr>
            <w:tcW w:w="0" w:type="dxa"/>
            <w:vAlign w:val="bottom"/>
          </w:tcPr>
          <w:p>
            <w:pPr>
              <w:spacing w:after="0"/>
              <w:rPr>
                <w:sz w:val="1"/>
                <w:szCs w:val="1"/>
                <w:color w:val="auto"/>
              </w:rPr>
            </w:pPr>
          </w:p>
        </w:tc>
      </w:tr>
      <w:tr>
        <w:trPr>
          <w:trHeight w:val="71"/>
        </w:trPr>
        <w:tc>
          <w:tcPr>
            <w:tcW w:w="5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2015 Net cash provided by operating activities increased due primarily to an increase in leased vehicle income, partially offset by increased operating expenses and interest expense.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2014 Net cash provided by operating activities increased due primarily to larger finance receivable and lease portfolios.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year ended December 31, 2015 Net cash used in investing activities increased due primarily to: (1) an increase in purchases of leased vehicles of $10.4 billion; (2) an increase in finance receivables purchases and fundings, net of collections, of $1.0 billion; and (3) net cash used for the acquisition of the equity interest in SAIC-GMAC of $0.9 billion; partially offset by (4) increased proceeds from the termination of leased vehicles of $0.6 billion.</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2014 Net cash used in investing activities increased due primarily to: (1) increased loan purchases and funding, net of collections, of $2.6 billion; and (2) increased purchases of leased vehicles of $2.5 billion; partially offset by (3) decreased cash used for business acquisitions of $2.6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year ended December 31, 2015 Net cash provided by financing activities increased due primarily to a net increase in borrowings.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2014 Net cash provided by financing activities increased due primarily to: (1) increased borrowings under secured and unsecured debt of $5.6 billion; and (2) repayment of debt to Ally Financial of $1.4 billion in 2013, with no related activity in 2014; partially offset by (3) increased debt repayment of $2.8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do not currently utilize off-balance sheet securitization arrangements. All trade or financing receivables and related obligations subject to securitization programs are recorded on our consolidated balance sheets at December 31, 2015 and 2014. Refer to Note 15 of our consolidated financial statements for detailed information related to guarantees we have provided.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Long-Term Liabilities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minimum commitments under contractual obligations, including purchase obligations. A purchase obligation is defined as an agreement to purchase goods or services that is enforceable and legally binding on us and that specifies all significant terms, including: fixed or minimum quantities to be purchased; fixed, minimum, or variable price provisions; and the approximate timing of the transaction. Other long-term liabilities are defined as long-term liabilities that are recorded on our consolidated balance sheet. Based on these definitions, the following table includes only those contracts which include fixed or minimum obligations. The majority of our purchases are not included in the table as they are made under purchase orders which are requirements based and accordingly do not specify minimum quantities.</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aggregated information about our outstanding contractual obligations and other long-term liabilities at December 31, 2015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2021 and after</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Financing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18,793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54,524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interest payments(a)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6,690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Financing interest payments(b)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Postretirement benefits(c)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commitments for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926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contractual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Material</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Marketing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Rental car repurchases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4,958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contractual commitments(d)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29,156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29,167</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11,397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17,607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87,327</w:t>
            </w:r>
          </w:p>
        </w:tc>
      </w:tr>
      <w:tr>
        <w:trPr>
          <w:trHeight w:val="109"/>
        </w:trPr>
        <w:tc>
          <w:tcPr>
            <w:tcW w:w="5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Non-contractual postretirement benefits(e)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9,955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10,918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ind w:left="340" w:right="20" w:hanging="332"/>
        <w:spacing w:after="0" w:line="249"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capital lease obligations. Automotive interest payments based on variable interest rates were determined using the interest rate in effect at December 31, 2015.</w:t>
      </w:r>
    </w:p>
    <w:p>
      <w:pPr>
        <w:jc w:val="both"/>
        <w:ind w:left="3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December 31, 2015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include other postretirement benefits (OPEB) payments under the current U.S. contractual labor agreements through 2019 and Canada labor agreements through 2016. These agreements are generally renegotiated in the year of expiration. Amounts do not include pension funding obligations, which are discussed in Note 13 to our consolidated financial statements.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do not include future cash payments for long-term purchase obligations and other accrued expenditures (unless specifically listed in the table above) which were recorded in Accounts payable or Accrued liabilities at December 31, 2015.</w:t>
      </w:r>
    </w:p>
    <w:p>
      <w:pPr>
        <w:jc w:val="both"/>
        <w:ind w:left="340" w:hanging="332"/>
        <w:spacing w:after="0" w:line="25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December 31, 2015 for OPEB obligations for salaried employees and hourly OPEB obligations extending beyond the current North American union contract agreements. Amounts do not include pension funding obligations, which are discussed in Note 13 to our consolidated financial statements.</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table above does not reflect product warranty and related liabilities of $9.3 billion and unrecognized tax benefits of $1.4 billion due to the uncertainty regarding the future cash outflows associated with these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Accounting estimates are an integral part of the consolidated financial statements. These 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and OPEB Plans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defined benefit pension plans are accounted for on an actuarial basis, which requires the selection of various assumptions, including an expected long-term rate of return on plan assets, a discount rate, mortality rates of participants and expectation of mortality improvement.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plans' asset mix. While the studies give appropriate consideration to recent plan performance and historical returns, the assumptions are primarily long-term, prospective rates of return.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December 2015 an investment policy study was completed for the U.S. pension plans. The study resulted in new target asset allocations being approved for the U.S. pension plans with resulting changes to the expected long-term rate of return on assets. The weighted-average long-term rate of return on assets decreased from 6.4% at December 31, 2014 to 6.3% at December 31, 2015. The expected long-term rate of return on plan assets used in determining pension expense for non-U.S. plans is determined in a similar manner to the U.S. plans.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Another key assumption in determining net pension and OPEB expense is the assumed discount rate used to discount plan obligations. We estimate the assumed discount rate for U.S. plans using a cash flow matching approach, which uses projected cash flows matched to spot rates along a high quality corporate yield curve to determine the present value of cash flows. Effective 2016 we will apply the individual annual yield curve rates instead of the assumed discount rate to determine the service cost and interest cost. This refinement more specifically links the cash flows related to service cost and interest cost to bonds maturing in their year of payment. The refinement had no effect on service cost or interest cost in the year ended December 31, 2015 but will reduce the service cost and interest cost in 2016 by approximately $0.8 billion. There will be no effect on the determination of the plan obligations which will continue to be calculated using the assumed discount rate.</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have reviewed the mortality improvement tables published by the Society of Actuaries in the three months ended December 31, 2015 and determined our current assumptions are appropriate to measure our December 31, 2015 U.S. pension plans’ benefit obligations.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expense over future periods. The unamortized pre-tax actuarial loss on our pension plans was $3.7 billion and $4.6 billion at December 31, 2015 and 2014. The change is primarily due to the increase in discount rates partially offset by actual asset returns less than assumed returns. At December 31, 2015 $2.0 billion of the unamortized pre-tax actuarial loss is outside the corridor (10% of the projected benefit obligation (PBO)) and subject to amortization. The weighted-average amortization period is approximately 12 years resulting in amortization expense of $0.2 billion in 2016.</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underfunded status of the U.S. pension plans decreased by $0.5 billion in the year ended December 31, 2015 to $10.4 billion due primarily to: (1) a favorable effect due to an increase in discount rates of $2.6 billion; (2) a favorable effect of actual returns on plan assets of $0.8 billion; and (3) favorable contributions of $0.1 billion; partially offset by (4) interest and service cost of $3.0 billion.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illustrates the sensitivity to a change in certain assumptions for the pension plans, holding all other assumptions constant (dollars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938"/>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 on 2016</w:t>
            </w: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Effect on</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on 2016</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 2015</w:t>
            </w:r>
          </w:p>
        </w:tc>
        <w:tc>
          <w:tcPr>
            <w:tcW w:w="134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PBO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PBO</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discount rate</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discount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expected rate of return on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expected rate of return on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Refer to Note 13 to our consolidated financial statements for additional information on pension contributions, investment strategies, assumptions, the change in benefit obligation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Valuation of Deferred Tax Assets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ability to realize deferred tax assets depends on the ability to generate sufficient taxable income within the carryback or carryforward periods provided for in the tax law for each applicable tax jurisdiction. The assessment regarding whether a valuation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or events, could have a material effect on our ability to utilize deferred tax assets.</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2015 valuation allowances against deferred tax assets were $5.0 billion. Refer to Note 16 to our consolidated financial statements for additional information on the composition of these valuation allowances and information on the $3.9 billion income tax benefit resulting from the reversal of valuation allowances against deferred tax assets in Europe.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Valuation of GM Financial Equipment on Operating Leases Assets and Residuals</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GM Financial has investments in leased vehicles recorded as operating leases, which relate to vehicle leases to retail customers with lease terms ranging from two to five years. At the beginning of the lease contract a determination is made of the estimated realizable value (i.e., residual value) of the vehicle at the end of the lease term, which is the critical assumption underlying the estimated carrying value of leased assets. The estimated realizable value is based on the lower of the contracted residual value or the current market estimate of residual value based on independent lease guides. Since the customer is not obligated to purchase the vehicle at the end of the contract, GM Financial is exposed to a risk of loss to the extent the value of the vehicle at the end of the lease term is below the residual value estimated at contract inception. Over the life of the lease GM Financial evaluates the adequacy of the estimate of the residual value and may make adjustments to the extent the expected value of the vehicle at lease termination changes. Adjustments could result in a change in the depreciation rate of the leased asset or if an impairment exists, an impairment charge.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vehicles included in GM Financial equipment on operating leases, net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2015</w:t>
            </w:r>
          </w:p>
        </w:tc>
        <w:tc>
          <w:tcPr>
            <w:tcW w:w="158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Trucks</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302</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2015 GM Financial's estimated residual value of the leased assets at the end of the lease term was $13.4 billion. The following table illustrates the effect of a 1% change in the estimated residual values at December 31, 2015, which will increase or decrease depreciation expense over the remaining term of GM Financial's operating leases, holding all other assumptions constant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Impact to Depreciation</w:t>
            </w:r>
          </w:p>
        </w:tc>
      </w:tr>
      <w:tr>
        <w:trPr>
          <w:trHeight w:val="192"/>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27</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134</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Policy, Product Warranty and Recall Campaigns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GMNA we accrue the costs for recall campaigns at the time of vehicle sale. In the other regions, there is not sufficient historical data to support the application of an actuarial-based estimation technique and the estimated costs will be accrued at the time when they are probable and reasonably estimable, which typically occurs once it is determined a specific recall campaign is needed and announced.</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estimates related to policy and product warranties are established using historical information on the nature, frequency and average cost of claims of each vehicle line or each model year of the vehicle line and assumptions about future activity and events. When little or no claims experience exists for a model year or a vehicle line, the estimate is based on comparable models. The estimates related to recall campaigns accrued at the time of vehicle sale are established by applying a frequency times severity approach that considers the number of recall events, the number of vehicles per recall event, the assumed number of vehicles that will be brought in by customers for repair (take rate) and the cost per vehicle for each recall event. Estimates contemplate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nature, frequency and magnitude of historical events with consideration for changes in future expectations. Costs associated with campaigns not accrued at the time of vehicle sale are estimated based on the per unit part and labor cost, number of units impacted and the take rate. Depending on part availability and time to complete repairs we may, from time to time, offer courtesy transportation at no cost to our customers. These estimates are re-evaluated on an ongoing basis and based on the best available information. Revisions are made when necessary. We consider trends of claims and take action to improve vehicle quality and minimize claims.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estimated amount accrued for recall campaigns at the time of vehicle sale is most sensitive to the estimated number of recall events, the number of vehicles per recall event, the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$0.3 billion.</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Incentives</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The estimated effect of sales incentives to dealers and end customers is recorded as a reduction of Automotive net sales and revenue at the later of the time of sale or announcement of an incentive program to dealers. There may be numerous types of incentives available at any particular time, including a choice of incentives for a specific model. Incentive programs are generally brand specific, model specific or sales region specific and are for specified time periods, which may be extended. Significant factors used in estimating the cost of incentives include the volume of vehicles that will be affected by the incentive programs offered by product, product mix, the rate of customer acceptance of any incentive program and the likelihood that an incentive program will be extended, all of which are estimated based on historical experience and assumptions concerning customer behavior and future market conditions. When an incentive program is announced, the number of vehicles in dealer inventory eligible for the incentive program is determined and a reduction of Automotive net sales and revenue is recorded in the period in which the program is announced. If the actual number of affected vehicles differs from this estimate, or if a different mix of incentives is actually paid, the reduction in Automotive net sales and revenue incentives could be affected. There are a multitude of inputs affecting the calculation of the estimate for sales incentives and an increase or decrease of any of these variables could have a significant effect on recorded sales incentives.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2015 Form 10-K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profitability over the long-term, including our ability to fund and introduce new and improved vehicle models that are able to attract a sufficient number of consumers;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full-size pick-up trucks and SUVs;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automobile market sales volume, which can be volatile;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our joint ventures, which we cannot operate solely for our benefit and over which we may have limited control;</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realize production efficiencies and to achieve reductions in costs as we implement operating effectiveness initiatives throughout our automotive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maintain quality control over our vehicles and avoid material vehicle recalls and the cost and effect on our reputation and products;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 and our ability to deliver new products, services and customer experiences in response to new participants in the automotive industry;</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of and increases or volatility in the price of oil, including as a result of political instability;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our manufacturing facilities around the world;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restructure our operations in various countries;</w:t>
      </w:r>
    </w:p>
    <w:p>
      <w:pPr>
        <w:spacing w:after="0" w:line="117" w:lineRule="exact"/>
        <w:rPr>
          <w:rFonts w:ascii="Arial" w:cs="Arial" w:eastAsia="Arial" w:hAnsi="Arial"/>
          <w:sz w:val="18"/>
          <w:szCs w:val="18"/>
          <w:color w:val="auto"/>
        </w:rPr>
      </w:pPr>
    </w:p>
    <w:p>
      <w:pPr>
        <w:ind w:left="660" w:hanging="490"/>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continued availability of both wholesale and retail financing from finance companies in markets in which we operate to support our ability to sell vehicles, which is dependent on those entities' ability to obtain funding and their continued willingness to provide financing;</w:t>
      </w:r>
    </w:p>
    <w:p>
      <w:pPr>
        <w:spacing w:after="0" w:line="38" w:lineRule="exact"/>
        <w:rPr>
          <w:rFonts w:ascii="Arial" w:cs="Arial" w:eastAsia="Arial" w:hAnsi="Arial"/>
          <w:sz w:val="17"/>
          <w:szCs w:val="17"/>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economic conditions, commodity prices, housing prices, foreign currency exchange rates or political stability in the markets in which we operate;</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changes in economic, political, regulatory environment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existing, or the adoption of new, laws, regulations, policies or other activities of governments, agencies and similar organizations particularly laws, regulations and policies relating to vehicle safety including recalls, and, including where such actions may affect the production, licensing, distribution or sale of our products, the cost thereof or applicable tax rates;</w:t>
      </w:r>
    </w:p>
    <w:p>
      <w:pPr>
        <w:spacing w:after="0" w:line="73"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the terms of the DPA;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security breaches and other disruptions to our vehicles, information technology networks and systems;</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mortality or other assumption changes;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through GM Financial; and</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committees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extreme adverse market movements on our key exposures.</w:t>
      </w:r>
    </w:p>
    <w:p>
      <w:pPr>
        <w:spacing w:after="0" w:line="16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following analyses provide quantitative information regarding exposure to foreign currency exchange rate risk and interest rate risk. 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due primarily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pairs or offsetting long-short positions in currency pairs which may significantly reduce the potential loss in value.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foreign currency exposures related to buying, selling and financing in currencies other than the functional currencies of our operations. At December 31, 2015 our most significant foreign currency exposures were the Euro/British Pound, Euro/U.S. Dollar, U.S. Dollar/Mexican Peso, Euro/South Korean Won, U.S. Dollar/South Korean Won and U.S. Dollar/CAD. Derivative instruments such as foreign currency forwards, swaps and options are used primarily to hedge exposures with respect to forecasted revenues, costs and commitments denominated in foreign currencies. At December 31, 2015 such contracts had remaining maturities of up to 20 months.</w:t>
      </w:r>
    </w:p>
    <w:p>
      <w:pPr>
        <w:spacing w:after="0" w:line="18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At December 31, 2015 and 2014 the net fair value liability of financial instruments with exposure to foreign currency risk was $0.8 billion and $0.9 billion. These amounts are calculated utilizing a population of foreign currency exchange derivatives, embedded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$0.3 billion and $0.2 billion at December 31, 2015 and 2014.</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amounts of automotive foreign currency translation and transaction and remeasurement losses (dollars in millions):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9"/>
              </w:rPr>
              <w:t>Years Ended December 31,</w:t>
            </w:r>
          </w:p>
        </w:tc>
      </w:tr>
      <w:tr>
        <w:trPr>
          <w:trHeight w:val="264"/>
        </w:trPr>
        <w:tc>
          <w:tcPr>
            <w:tcW w:w="90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losses recorded in Accumulated other comprehensive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Transaction and remeasurement losses recorded in earnings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430</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are subject to market risk from exposure to changes in interest rates related to certain financial instruments, primarily debt, capital lease obligations and certain marketable securities. At December 31, 2015 and 2014 we did not have any interest rate swap positions to manage interest rate exposures in our automotive operations. At December 31, 2015 and 2014 the fair value liability of debt and capital leases was $9.1 billion and $9.8 billion. The potential increase in fair value resulting from a 10% decrease in quoted interest rates would have been $0.4 billion at December 31, 2015 and 2014.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2015 and 2014 we had marketable securities of $7.6 billion and $8.0 billion classified as available-for-sale and $0.6 billion and $1.3 billion classified as trading. The potential decrease in fair value from a 50 basis point increase in interest rates would have been insignificant at December 31, 2015 and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Fluctuations in market interest rates can affect GM Financial's gross interest rate spread, which is the difference between interest earned on finance receivables and interest paid on debt. Typically retail finance receivables purchased by GM Financial bear fixed interest rates and are funded by variable or fixed rate debt. Commercial finance receivables originated by GM Financial bear variable interest rates and are funded by variable rate debt. The variable rate debt is subject to adjustments to reflect prevailing market interest rates. To help mitigate interest rate risk or mismatched funding, GM Financial may employ hedging strategies to lock in the interest rate spread.</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Fixed interest rate receivables purchased by GM Financial are pledged to secure borrowings under its credit facilities. Amounts borrowed under these credit facilities bear interest at variable rates that are subject to frequent adjustments to reflect prevailing market interest rates. To protect the interest rate spread within each credit facility, GM Financial is contractually required to enter into interest rate cap agreements in connection with borrowings under its credit facilities.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GM Financial's securitization transactions it can transfer fixed rate finance receivables to securitization trusts that, in turn, sell either fixed rate or floating rate securities to investors. Derivative financial instruments, such as interest rate swaps and caps, are used to manage the gross interest rate spread on the floating rate transactions.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had interest rate swaps and caps in asset positions with notional amounts of $10.4 billion and $3.8 billion and interest rate swaps and caps in liability positions with notional amounts of $13.9 billion and $7.4 billion at December 31, 2015 and 2014. The fair value of these derivative financial instruments was insignificant.</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GM Financial's interest rate sensitive assets and liabilities, excluding derivatives, by year of expected maturity and the fair value of those assets and liabilities at December 31, 2015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97"/>
        </w:trPr>
        <w:tc>
          <w:tcPr>
            <w:tcW w:w="3120" w:type="dxa"/>
            <w:vAlign w:val="bottom"/>
          </w:tcPr>
          <w:p>
            <w:pPr>
              <w:ind w:left="40"/>
              <w:spacing w:after="0"/>
              <w:rPr>
                <w:sz w:val="20"/>
                <w:szCs w:val="20"/>
                <w:color w:val="auto"/>
              </w:rPr>
            </w:pPr>
            <w:r>
              <w:rPr>
                <w:rFonts w:ascii="Arial" w:cs="Arial" w:eastAsia="Arial" w:hAnsi="Arial"/>
                <w:sz w:val="14"/>
                <w:szCs w:val="14"/>
                <w:color w:val="auto"/>
              </w:rPr>
              <w:t>Retail finance receivables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28,545</w:t>
            </w: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finance receivables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8,162</w:t>
            </w: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22"/>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Secured Debt:</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5,563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7,494</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Securitization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23,177</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19,045</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 and other 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4,681</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41"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GM Financial's interest rate sensitive assets and liabilities, excluding derivatives, by year of expected maturity and the fair value of those assets and liabilities at December 31, 2014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Fair Value</w:t>
            </w:r>
          </w:p>
        </w:tc>
      </w:tr>
      <w:tr>
        <w:trPr>
          <w:trHeight w:val="258"/>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76"/>
        </w:trPr>
        <w:tc>
          <w:tcPr>
            <w:tcW w:w="3120" w:type="dxa"/>
            <w:vAlign w:val="bottom"/>
          </w:tcPr>
          <w:p>
            <w:pPr>
              <w:ind w:left="40"/>
              <w:spacing w:after="0"/>
              <w:rPr>
                <w:sz w:val="20"/>
                <w:szCs w:val="20"/>
                <w:color w:val="auto"/>
              </w:rPr>
            </w:pPr>
            <w:r>
              <w:rPr>
                <w:rFonts w:ascii="Arial" w:cs="Arial" w:eastAsia="Arial" w:hAnsi="Arial"/>
                <w:sz w:val="14"/>
                <w:szCs w:val="14"/>
                <w:color w:val="auto"/>
              </w:rPr>
              <w:t>Retail finance receivables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25,541</w:t>
            </w: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finance receivables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7,333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7,565</w:t>
            </w: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22"/>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Secured Debt:</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4,532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6,991</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Securitization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18,237</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8,707</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 and other 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2,611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3,772</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estimates the realization of finance receivables in future periods using discount rate, prepayment and credit loss assumptions similar to its historical experience. Credit facilities and securitization notes payable amounts have been classified based on expected payoff. Senior notes and convertible senior notes principal amounts have been classified based on maturity.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19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 assets to minimize any impact to earnings.</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had foreign currency swaps in asset positions with notional amounts of $1.5 billion and $1.6 billion and in liability positions with notional amounts of $0 and $1.1 billion at December 31, 2015 and 2014. The fair value of these derivative financial instruments was insignificant.</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amounts of GM Financial's foreign currency translation and transaction and remeasurement losses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7"/>
              </w:rPr>
              <w:t>Years Ended December 31,</w:t>
            </w:r>
          </w:p>
        </w:tc>
      </w:tr>
      <w:tr>
        <w:trPr>
          <w:trHeight w:val="264"/>
        </w:trPr>
        <w:tc>
          <w:tcPr>
            <w:tcW w:w="90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losses recorded in Accumulated other comprehensive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Losses resulting from foreign currency transactions and remeasurements recorded in earnings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resulting from foreign exchange swaps recorded in earnings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Net losses resulting from foreign currency exchange recorded in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41"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right"/>
        <w:ind w:right="22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341" w:right="1440"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its Directors, and Stockholders: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General Motors Company and subsidiaries (the Company) as of December 31, 2015,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2015 of the Company and our report dated February 3, 2016 expressed an unqualified opinion on those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its Directors, and Stockholders: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audited the accompanying Consolidated Balance Sheets of General Motors Company and subsidiaries (the Company) as of December 31, 2015 and 2014, and the related Consolidated Statements of Income, Comprehensive Income, Cash Flows and Equity for each of the three years in the period ended December 31, 2015. These financial statements are the responsibility of the Company's management. Our responsibility is to express an opinion on the financial statements based on our audits.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General Motors Company and subsidiaries at December 31, 2015 and 2014, and the results of their operations and their cash flows for each of the three years in the period ended December 31, 2015, in conformity with accounting principles generally accepted in the United States of America.</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3, 2016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145,922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152,092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GM Financial</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3,335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 and revenue</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155,929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155,427</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cost of sales (Note 11)</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134,925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GM Financial interest, operating and other expenses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2,448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Goodwill impairment charges (Note 9)</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154,399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150,296</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 (Note 18)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extinguishment of debt (Note 12)</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income (Note 7)</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expense (benefit) (Note 16)</w:t>
            </w:r>
          </w:p>
        </w:tc>
        <w:tc>
          <w:tcPr>
            <w:tcW w:w="3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2,127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3,770</w:t>
            </w:r>
          </w:p>
        </w:tc>
      </w:tr>
      <w:tr>
        <w:trPr>
          <w:trHeight w:val="297"/>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(Note 20)</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1,676</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 (Note 19)</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5,693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4,921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41"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2014</w:t>
            </w:r>
          </w:p>
        </w:tc>
        <w:tc>
          <w:tcPr>
            <w:tcW w:w="0" w:type="dxa"/>
            <w:vAlign w:val="bottom"/>
          </w:tcPr>
          <w:p>
            <w:pPr>
              <w:spacing w:after="0"/>
              <w:rPr>
                <w:sz w:val="1"/>
                <w:szCs w:val="1"/>
                <w:color w:val="auto"/>
              </w:rPr>
            </w:pPr>
          </w:p>
        </w:tc>
      </w:tr>
      <w:tr>
        <w:trPr>
          <w:trHeight w:val="210"/>
        </w:trPr>
        <w:tc>
          <w:tcPr>
            <w:tcW w:w="8120" w:type="dxa"/>
            <w:vAlign w:val="bottom"/>
          </w:tcPr>
          <w:p>
            <w:pPr>
              <w:ind w:left="376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Marketable securities (Note 3)</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9,222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marketable securities (Note 3; Note 10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and notes receivable (net of allowance of $327 and $340)</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8,337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4; Note 10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16,528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Inventories (Note 5)</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13,764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13,642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 (Note 6)</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income taxes (Note 16)</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9,760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78,007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83,626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Restricted cash and marketable securities (Note 3; Note 10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4; Note 10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7)</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9,201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8,350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 (Note 8)</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Goodwill and intangible assets, net (Note 9)</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6,410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equipment on operating leases, net (Note 6; Note 10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income taxes (Note 16)</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28,443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25,414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116,513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93,875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177,501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341" w:right="239" w:bottom="0" w:gutter="0" w:footer="0" w:header="0"/>
        </w:sect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12)</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10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12)</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10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13)</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15)</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Common stock, $0.01 par value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24,062</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22,529</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18,745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14,447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27,842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28,184</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71,466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65,657</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7,948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8,853</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35,601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22,868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5,685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6,229</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20,911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23,788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12,586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14,082</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82,731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75,820</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154,197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141,477</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27,607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28,937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20,285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14,577</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(8,036)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(8,073)</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39,871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35,457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567</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bottom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194,520</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177,501</w:t>
            </w:r>
          </w:p>
        </w:tc>
      </w:tr>
      <w:tr>
        <w:trPr>
          <w:trHeight w:val="33"/>
        </w:trPr>
        <w:tc>
          <w:tcPr>
            <w:tcW w:w="8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41" w:right="239" w:bottom="0" w:gutter="0" w:footer="0" w:header="0"/>
          <w:type w:val="continuous"/>
        </w:sectPr>
      </w:pPr>
    </w:p>
    <w:bookmarkStart w:id="57" w:name="page58"/>
    <w:bookmarkEnd w:id="5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9,615</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4,018</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5,331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amortization and impairment charges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8,017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7,238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8,041</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remeasurement and transaction losses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Amortization of discount and issuance costs on debt issues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Undistributed earnings of nonconsolidated affiliates and gains on investments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Pension contributions and OPEB payments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OPEB expense, net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(Gains) losses on extinguishment of debt</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(benefit) for deferred taxes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Change in other operating assets and liabilities (Note 24)</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11,978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10,058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12,630</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Expenditures for property</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(7,874)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(7,091)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(7,565)</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(3,214)</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3,566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6,538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companies/investments, net of cash acquired</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30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finance receivables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(17,495)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(10,838)</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11,726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10,860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7,555</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leased vehicles, net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(15,158)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Pr>
          <w:p>
            <w:pPr>
              <w:spacing w:after="0"/>
              <w:rPr>
                <w:sz w:val="14"/>
                <w:szCs w:val="14"/>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(28,035)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(15,698)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(14,362)</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Net increase in short-term debt</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35,679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31,373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28,041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(17,256)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(19,524)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(20,191)</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to purchase stock</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 (including charge related to redemption and purchase of Series A Preferred Stock)</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(1,687)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13,686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3,731</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74"/>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18,954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20,021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15,238</w:t>
            </w:r>
          </w:p>
        </w:tc>
        <w:tc>
          <w:tcPr>
            <w:tcW w:w="10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18,954</w:t>
            </w:r>
          </w:p>
        </w:tc>
        <w:tc>
          <w:tcPr>
            <w:tcW w:w="12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20,021</w:t>
            </w:r>
          </w:p>
        </w:tc>
        <w:tc>
          <w:tcPr>
            <w:tcW w:w="0" w:type="dxa"/>
            <w:vAlign w:val="bottom"/>
          </w:tcPr>
          <w:p>
            <w:pPr>
              <w:spacing w:after="0"/>
              <w:rPr>
                <w:sz w:val="1"/>
                <w:szCs w:val="1"/>
                <w:color w:val="auto"/>
              </w:rPr>
            </w:pPr>
          </w:p>
        </w:tc>
      </w:tr>
      <w:tr>
        <w:trPr>
          <w:trHeight w:val="100"/>
        </w:trPr>
        <w:tc>
          <w:tcPr>
            <w:tcW w:w="74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Significant Non-cash Investing and Financing Activity</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property additions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4,676</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3,313</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3,224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Mandatory conversion of Series B Preferred Stock into common stock (Note 19)</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4,854</w:t>
            </w:r>
          </w:p>
        </w:tc>
        <w:tc>
          <w:tcPr>
            <w:tcW w:w="0" w:type="dxa"/>
            <w:vAlign w:val="bottom"/>
          </w:tcPr>
          <w:p>
            <w:pPr>
              <w:spacing w:after="0"/>
              <w:rPr>
                <w:sz w:val="1"/>
                <w:szCs w:val="1"/>
                <w:color w:val="auto"/>
              </w:rPr>
            </w:pPr>
          </w:p>
        </w:tc>
      </w:tr>
      <w:tr>
        <w:trPr>
          <w:trHeight w:val="68"/>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568"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41" w:right="239" w:bottom="568"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77"/>
              <w:spacing w:after="0" w:line="144" w:lineRule="exact"/>
              <w:rPr>
                <w:sz w:val="20"/>
                <w:szCs w:val="20"/>
                <w:color w:val="auto"/>
              </w:rPr>
            </w:pPr>
            <w:r>
              <w:rPr>
                <w:rFonts w:ascii="Arial" w:cs="Arial" w:eastAsia="Arial" w:hAnsi="Arial"/>
                <w:sz w:val="13"/>
                <w:szCs w:val="13"/>
                <w:b w:val="1"/>
                <w:bCs w:val="1"/>
                <w:color w:val="auto"/>
                <w:w w:val="84"/>
              </w:rPr>
              <w:t>Series 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Series B</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8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Interests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January 1, 2013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23,834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37,000</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5,346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5,331</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4,921</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Purchase and cancellation of Series A Preferred Stock</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(2,427)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(2,427)</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Mandatory conversion of Series B Preferred Stock into common</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(4,855)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4,854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w w:val="88"/>
              </w:rPr>
              <w:t>Cash dividends paid on Series A Preferred Stock, charge related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0"/>
              <w:spacing w:after="0" w:line="135" w:lineRule="exact"/>
              <w:rPr>
                <w:sz w:val="20"/>
                <w:szCs w:val="20"/>
                <w:color w:val="auto"/>
              </w:rPr>
            </w:pPr>
            <w:r>
              <w:rPr>
                <w:rFonts w:ascii="Arial" w:cs="Arial" w:eastAsia="Arial" w:hAnsi="Arial"/>
                <w:sz w:val="13"/>
                <w:szCs w:val="13"/>
                <w:color w:val="auto"/>
                <w:w w:val="94"/>
              </w:rPr>
              <w:t>to purchase of Series A Preferred Stock and dividends 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200"/>
              <w:spacing w:after="0"/>
              <w:rPr>
                <w:sz w:val="20"/>
                <w:szCs w:val="20"/>
                <w:color w:val="auto"/>
              </w:rPr>
            </w:pPr>
            <w:r>
              <w:rPr>
                <w:rFonts w:ascii="Arial" w:cs="Arial" w:eastAsia="Arial" w:hAnsi="Arial"/>
                <w:sz w:val="13"/>
                <w:szCs w:val="13"/>
                <w:color w:val="auto"/>
              </w:rPr>
              <w:t>Series B Preferred Stock</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(1,587)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(1,587)</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 or paid to noncontrolling interests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4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December 31, 2013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43,174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57"/>
              <w:spacing w:after="0"/>
              <w:rPr>
                <w:sz w:val="20"/>
                <w:szCs w:val="20"/>
                <w:color w:val="auto"/>
              </w:rPr>
            </w:pPr>
            <w:r>
              <w:rPr>
                <w:rFonts w:ascii="Arial" w:cs="Arial" w:eastAsia="Arial" w:hAnsi="Arial"/>
                <w:sz w:val="13"/>
                <w:szCs w:val="13"/>
                <w:color w:val="auto"/>
              </w:rPr>
              <w:t>3,949</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37"/>
              <w:spacing w:after="0"/>
              <w:rPr>
                <w:sz w:val="20"/>
                <w:szCs w:val="20"/>
                <w:color w:val="auto"/>
              </w:rPr>
            </w:pPr>
            <w:r>
              <w:rPr>
                <w:rFonts w:ascii="Arial" w:cs="Arial" w:eastAsia="Arial" w:hAnsi="Arial"/>
                <w:sz w:val="13"/>
                <w:szCs w:val="13"/>
                <w:color w:val="auto"/>
              </w:rPr>
              <w:t>69</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ind w:right="37"/>
              <w:spacing w:after="0"/>
              <w:rPr>
                <w:sz w:val="20"/>
                <w:szCs w:val="20"/>
                <w:color w:val="auto"/>
              </w:rPr>
            </w:pPr>
            <w:r>
              <w:rPr>
                <w:rFonts w:ascii="Arial" w:cs="Arial" w:eastAsia="Arial" w:hAnsi="Arial"/>
                <w:sz w:val="13"/>
                <w:szCs w:val="13"/>
                <w:color w:val="auto"/>
              </w:rPr>
              <w:t>4,018</w:t>
            </w:r>
          </w:p>
        </w:tc>
        <w:tc>
          <w:tcPr>
            <w:tcW w:w="0" w:type="dxa"/>
            <w:vAlign w:val="bottom"/>
          </w:tcPr>
          <w:p>
            <w:pPr>
              <w:spacing w:after="0" w:line="20" w:lineRule="exact"/>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(4,983)</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w w:val="99"/>
              </w:rPr>
              <w:t>Redemption and cancellation of Series A Preferred Stock</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(3,109)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(3,109)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common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w w:val="93"/>
              </w:rPr>
              <w:t>Cash dividends paid on Series A Preferred Stock and charge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200"/>
              <w:spacing w:after="0"/>
              <w:rPr>
                <w:sz w:val="20"/>
                <w:szCs w:val="20"/>
                <w:color w:val="auto"/>
              </w:rPr>
            </w:pPr>
            <w:r>
              <w:rPr>
                <w:rFonts w:ascii="Arial" w:cs="Arial" w:eastAsia="Arial" w:hAnsi="Arial"/>
                <w:sz w:val="13"/>
                <w:szCs w:val="13"/>
                <w:color w:val="auto"/>
              </w:rPr>
              <w:t>related to redemption of Series A Preferred Stock</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paid on common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Dividends declared or paid to noncontrolling interests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8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December 31, 2014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700" w:type="dxa"/>
            <w:vAlign w:val="bottom"/>
            <w:tcBorders>
              <w:top w:val="single" w:sz="8" w:color="auto"/>
              <w:bottom w:val="single" w:sz="8" w:color="CCEEFF"/>
            </w:tcBorders>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680" w:type="dxa"/>
            <w:vAlign w:val="bottom"/>
            <w:tcBorders>
              <w:top w:val="single" w:sz="8" w:color="auto"/>
              <w:bottom w:val="single" w:sz="8" w:color="CCEEFF"/>
            </w:tcBorders>
          </w:tcPr>
          <w:p>
            <w:pPr>
              <w:jc w:val="right"/>
              <w:ind w:right="37"/>
              <w:spacing w:after="0"/>
              <w:rPr>
                <w:sz w:val="20"/>
                <w:szCs w:val="20"/>
                <w:color w:val="auto"/>
              </w:rPr>
            </w:pPr>
            <w:r>
              <w:rPr>
                <w:rFonts w:ascii="Arial" w:cs="Arial" w:eastAsia="Arial" w:hAnsi="Arial"/>
                <w:sz w:val="13"/>
                <w:szCs w:val="13"/>
                <w:color w:val="auto"/>
              </w:rPr>
              <w:t>28,937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jc w:val="right"/>
              <w:ind w:right="57"/>
              <w:spacing w:after="0"/>
              <w:rPr>
                <w:sz w:val="20"/>
                <w:szCs w:val="20"/>
                <w:color w:val="auto"/>
              </w:rPr>
            </w:pPr>
            <w:r>
              <w:rPr>
                <w:rFonts w:ascii="Arial" w:cs="Arial" w:eastAsia="Arial" w:hAnsi="Arial"/>
                <w:sz w:val="13"/>
                <w:szCs w:val="13"/>
                <w:color w:val="auto"/>
              </w:rPr>
              <w:t>14,577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3"/>
                <w:szCs w:val="13"/>
                <w:color w:val="auto"/>
              </w:rPr>
              <w:t>(8,073)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37"/>
              <w:spacing w:after="0"/>
              <w:rPr>
                <w:sz w:val="20"/>
                <w:szCs w:val="20"/>
                <w:color w:val="auto"/>
              </w:rPr>
            </w:pPr>
            <w:r>
              <w:rPr>
                <w:rFonts w:ascii="Arial" w:cs="Arial" w:eastAsia="Arial" w:hAnsi="Arial"/>
                <w:sz w:val="13"/>
                <w:szCs w:val="13"/>
                <w:color w:val="auto"/>
              </w:rPr>
              <w:t>567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jc w:val="right"/>
              <w:ind w:right="37"/>
              <w:spacing w:after="0"/>
              <w:rPr>
                <w:sz w:val="20"/>
                <w:szCs w:val="20"/>
                <w:color w:val="auto"/>
              </w:rPr>
            </w:pPr>
            <w:r>
              <w:rPr>
                <w:rFonts w:ascii="Arial" w:cs="Arial" w:eastAsia="Arial" w:hAnsi="Arial"/>
                <w:sz w:val="13"/>
                <w:szCs w:val="13"/>
                <w:color w:val="auto"/>
              </w:rPr>
              <w:t>36,024</w:t>
            </w:r>
          </w:p>
        </w:tc>
        <w:tc>
          <w:tcPr>
            <w:tcW w:w="0" w:type="dxa"/>
            <w:vAlign w:val="bottom"/>
          </w:tcPr>
          <w:p>
            <w:pPr>
              <w:spacing w:after="0"/>
              <w:rPr>
                <w:sz w:val="1"/>
                <w:szCs w:val="1"/>
                <w:color w:val="auto"/>
              </w:rPr>
            </w:pPr>
          </w:p>
        </w:tc>
      </w:tr>
      <w:tr>
        <w:trPr>
          <w:trHeight w:val="25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9,615</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common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(3,520)</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Cash dividends paid on common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(2,174)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(2,174)</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 or paid to noncontrolling interests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42"/>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December 31, 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27,607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40,323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General Motors Company was incorporated as a Delaware corporation in 2009. We design, build and sell cars, trucks and automobile parts worldwide. We also provide automotive financing services through GM Financial. We analyze the results of our business through the following segments: GMNA, GME, GMIO, GMSA and GM Financial. Nonsegment operations are classified as Corporate. Corporate includes certain centrally recorded income and costs such as interest, income taxes, corporate expenditures and certain nonsegment specific revenues and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consolidated financial statements are prepared in conformity with U.S. GAAP. All intercompany balances and transactions have been eliminated in consolidation.</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consolidate entities that we control due to ownership of a majority voting interest and we consolidate variable interest entities (VIEs) when we have variable interests and are the primary beneficiary. We continually evaluate our involvement with VIEs to determine when these criteria are met. Our share of earnings or losses of nonconsolidated affiliates is included in our consolidated operating results using the equity method of accounting when we are able to exercise significant influence over the operating and financial decisions of the affiliate. We use the cost method of accounting if we are not able to exercise significant influence over the operating and financial decisions of the affiliate.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Accounting estimates are an integral part of the consolidated financial statements. These 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amounts presented for GM Financial have been adjusted to include the effect of our tax attributes on GM Financial's deferred tax positions and provision for income taxes since the date of acquisition,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accounting policies which follow are utilized by our automotive and automotive financing operations, unless otherwise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Automotive net sales and revenue primarily consist of revenue generated from the sale of vehicles. Vehicle sales are recorded when title and risks and rewards of ownership have passed to our customers. For the majority of our automotive sales this occurs when a vehicle is released to the carrier responsible for transporting it to a dealer and when collectability is reasonably assured. Vehicle sales are recorded when the vehicle is delivered to the dealer in most remaining cases. Provisions for recurring or announced dealer and customer sales and leasing incentives, consisting of allowances and rebates, are recorded as reductions to Automotive net sales and revenue at the time of vehicle sales. All other incentives, allowances and rebates related to vehicles previously sold are recorded as reductions to Automotive net sales and revenue when announced. Taxes assessed by various government entities, such as sales, use and value-added taxes, collected at the time of sale are excluded from Automotive net sales and revenues.</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Vehicle sales to daily rental car companies with guaranteed repurchase obligations are accounted for as operating leases. Estimated lease revenue is recorded ratably over the estimated term of the lease based on the difference between net sales proceeds and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guaranteed repurchase amount. The difference between the cost of the vehicle and estimated residual value is depreciated on a straight-line basis over the estimated term of the lease.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Finance charge income earned on receivables is recognized using the effective interest method for retail finance receivables and accrual method for commercial finance receivables. Fees and commissions (including incentive payments) received and direct costs of originating loans are deferred and amortized over the term of the related finance receivables using the effective interest method and are removed from the consolidated balance sheets when the related finance receivables are sold,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recorded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Promotion Expenditures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Advertising and promotion expenditures, which are expensed as incurred in Automotive selling, general and administrative expense, were $5.1 billion, $5.2 billion and $5.5 billion in the years ended December 31, 2015,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Research and development expenditures, which are expensed as incurred in Automotive cost of sales, were $7.5 billion, $7.4 billion and $7.2 billion in the years ended December 31, 2015,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equivalents are defined as short-term, highly-liquid investments with original maturities of 90 days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 three-level valuation hierarchy, based upon observable and unobservable inputs, is used for fair value measurements.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90"/>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r>
        <w:rPr>
          <w:rFonts w:ascii="Arial" w:cs="Arial" w:eastAsia="Arial" w:hAnsi="Arial"/>
          <w:sz w:val="18"/>
          <w:szCs w:val="18"/>
          <w:color w:val="auto"/>
        </w:rPr>
        <w:t>.</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Financial instruments are transferred in and/or out of Level 1, 2 or 3 at the beginning of the accounting period in which there is a change in the valuation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classify marketable securities as available-for-sale or trading. Various factors, including turnover of holdings and investment guidelines, are considered in determining the classification of securities. Available-for-sale securities are recorded at fair value with unrealized gains and losses recorded net of related income taxes in Accumulated other comprehensive loss until realized.</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41"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Trading securities are recorded at fair value with changes in fair value recorded in Interest income and other non-operating income, net. We determine realized gains and losses for all securities using the specific identification method.</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measure the fair value of our marketable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Based on our review we believe the prices received from our pricing service are a reliable representation of exit prices.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securities are other-than-temporary. Factors considered include: (1) the length of time and extent to which the fair value has been below cost; (2) the financial condition and near-term prospects of the issuer; and (3) the intent to sell or likelihood to be forced to sell the security before any anticipated recovery.</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required to post cash and marketable securities as collateral as part of certain agreements that we enter into as part of our operations. Cash and marketable securities subject to contractual restrictions and not readily available are classified as Restricted cash and marketable securities. Restricted cash and marketable securities are invested in accordance with the terms of the underlying agreements and include amounts related to various deposits, escrows and other cash collateral.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receivables are carried at amortized cost, net of allowance for loan losses.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component of the allowance for retail finance receivables that is collectively evaluated for impairment is based on a statistical calculation which is supplemented by management judgment. GM Financial uses a combination of forecasting models to determine the allowance for loan losses. Factors that are considered when estimating the allowance include historical delinquency migration to loss, probability of default and loss given default. The loss confirmation period is a key assumption within the models and represents the average amount of time from when a loss event first occurs to when the receivable is charged-off. GM Financial also considers an evaluation of overall portfolio credit quality based on various indicators.</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finance receivables are generally charged off in the month in which the account becomes 120 days contractually delinquent if we have not yet recorded a repossession charge-off. A charge-off generally represents the difference between the estimated net sales proceeds and the amount of the contract, including accrued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Inventories are stated at the lower of cost or net realizable value. Net realizable value is the estimated selling price in the ordinary course of business less cost to sell, and considers general market and economic conditions, periodic reviews of current profitability of vehicles, product warranty costs and the effect of current and expected incentive offers at the balance sheet date. Net realizable value for off-lease and other vehicles is current auction sales proceeds less disposal and warranty costs. Productive material, work in process, supplies and service parts are reviewed to determine if inventory quantities are in excess of forecasted usage or if they have become obsolete.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on Operating Leases, net</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Equipment on operating leases, net is reported at cost, less accumulated depreciation and impairment, net of origination fees or costs and lease incentives. Estimated income from operating lease assets, which includes lease origination fees, net of lease origination costs, is recorded as operating lease revenue on a straight-line basis over the term of the lease agreement. Leased vehicles are depreciated on a straight-line basis to an estimated residual value over the term of the lease agreements.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significant investments in vehicle operating lease portfolios, which consist of vehicle leases to retail customers with lease terms of two to five years and vehicles leased to rental car companies with lease terms that average eight months or less. We are exposed to changes in the residual values of those assets. For impairment purposes the residual values represent estimates of the values of the vehicles leased at the end of the lease contracts and are determined based on forecasted auction proceeds when there is a reliable basis to make such a determination. Realization of the residual values is dependent on the future ability to market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vehicles under prevailing market conditions. The adequacy of the estimate of the residual value is evaluated over the life of the lease and adjustments may be made to the extent the expected value of the vehicle at lease termination changes. Adjustments may be in the form of revisions to the depreciation rate or recognition of an impairment charge. Impairment is determined to exist if an impairment indicator exists and the expected future cash flows, which include estimated residual values, are lower than the carrying amount of the vehicles leased. If the carrying amount is considered impaired an impairment charge is recorded for the amount by which the carrying amount exceeds fair value. Fair value is determined primarily using the anticipated cash flows, including estimated residual values.</w:t>
      </w:r>
    </w:p>
    <w:p>
      <w:pPr>
        <w:spacing w:after="0" w:line="19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7"/>
          <w:szCs w:val="17"/>
          <w:color w:val="auto"/>
        </w:rPr>
        <w:t>In our automotive operations when a leased vehicle is returned the asset is reclassified from Equipment on operating leases, net to Inventories at the lower of cost or estimated selling price, less cost to sell. Upon disposition proceeds are recorded in Automotive net sales and revenue and costs are recorded in Automotive cost of sales. In our automotive finance operations when a leased vehicle is returned or repossessed the asset is recorded in Other assets at the lower of cost or estimated selling price, less costs to sell. Upon disposition a gain or loss is recorded in GM Financial interest, operating and other expenses for any difference between the net book value of the leased asset and the proceeds from the disposition of the asset.</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and impairment charges related to Equipment on operating leases, net are recorded in Automotive cost of sales or GM Financial interest, operating and other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Cost and Equity Method Investments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When events and circumstances warrant, investments accounted for under the cost or equity method of accounting are evaluated for impairment. An impairment charge is recorded whenever a decline in value of an investment below its carrying amount is determined to be other-than-temporary. Impairment charges related to equity method investments are recorded in Equity income. Impairment charges related to cost method investments are recorded in Interest income and other non-operating income, net.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net</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Property, plant and equipment, including internal use software, is recorded at cost. Major improvements that extend the useful life or add functionality are capitalized. The gross amount of assets under capital leases is included in property, plant and equipment. Expenditures for repairs and maintenance are charged to expense as incurred. We depreciate all depreciable property using the straight-line method. Leasehold improvements are amortized over the period of lease or the life of the asset, whichever is shorter. The amortization of the assets under capital leases is included in depreciation expense. Upon retirement or disposition of property, plant and equipment, the cost and related accumulated depreciation are removed from the accounts and any resulting gain or loss is recorded in earnings. Impairment charges related to property are recorded in Automotive cost of sales, Automotive selling, general and administrative expense or GM Financial interest, operating and other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Tools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Special tools represent product-specific powertrain and non-powertrain related tools, dies, molds and other items used in the vehicle 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cost of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Goodwill is tested for impairment for all reporting units on an annual basis as of October 1, or more frequently if events occur or circumstances change that would warrant such a review. When performing our goodwill impairment testing, the fair values of our reporting units are determined based on valuation techniques using the best available information, primarily discounted cash flow projections. We make significant assumptions and estimates, which utilize Level 3 inputs, about the extent and timing of future cash flows, growth rates, market share and discount rates that represent unobservable inputs into our valuation methodologies. Our fair value estimates for annual and event-driven impairment tests assume the achievement of the future financial results contemplated in our forecasted cash flows and there can be no assurance that we will realize that value. Because the fair value of goodwill can be measured only as a residual amount and cannot be determined directly we calculate the implied goodwill for those reporting units failing Step 1 in the same manner that goodwill is recognized in a business combination pursuant to Accounting Standards Codification (ASC) 805.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Intangible assets, excluding goodwill, primarily include brand names, technology and intellectual property, customer relationships and dealer networks. Intangible assets are amortized on a straight-line or an accelerated method of amortization over their estimated useful lives. An accelerated amortization method reflecting the pattern in which the asset will be consumed is utilized if that pattern can be reliably determined. We consider the period of expected cash flows and underlying data used to measure the fair value of the intangible assets when selecting a useful life. Impairment charges related to intangible assets are recorded in Automotive selling, general and administrative expense or Automotive cost of sales. Amortization of developed technology and intellectual property is recorded in Automotive cost of sales. Amortization of brand names, customer relationships and our dealer networks is recorded in Automotive selling, general and administrative expense or GM Financial interest, operating and other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carrying amount of long-lived assets and finite-lived intangible assets to be held and used in the business are evaluated 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 reporting unit basis in GMNA and GME and tested at or within our various reporting units in GMIO, GMSA and GM Financial. Fair value is determined using either the market or sales comparison approach, cost approach or anticipated cash flows discounted at a rate commensurate with the risk involved. Long-lived assets to be disposed of other than by sale are considered held for use until disposition. Product-specific assets may become impaired as a result of declines in vehicle profitability due to changes in volume, pricing or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Attribution, Methods and Assumptions</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cost of benefits provided by defined benefit pension plans is recorded in the period employees provide service. The cost of pension plan amendments that provide for benefits already earned by plan participants is amortized over the expected period of benefit which may be: (1) the duration of the applicable collective bargaining agreement specific to the plan; (2) expected future working lifetime; or (3) the life expectancy of the plan participants.</w:t>
      </w:r>
    </w:p>
    <w:p>
      <w:pPr>
        <w:spacing w:after="0" w:line="14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(1) the average period to full eligibility; or (2) the average life expectancy of the plan participants.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discount rate assumption is established for each of the retirement-related benefit plans at their respective measurement dates. In the U.S. we use a cash flow matching approach that uses projected cash flows matched to spot rates along a high quality corporate yield curve to determine the present value of cash flows to calculate a single equivalent discount rate.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benefit obligation for pension plans in Canada, the United Kingdom and Germany represents 91% of the non-U.S. pension benefit obligation at December 31, 2015. The discount rates for plans in Canada, the United Kingdom and Germany are determined using a cash flow matching approach similar to the U.S. approach.</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Plan Asset Valuation</w:t>
      </w:r>
    </w:p>
    <w:p>
      <w:pPr>
        <w:spacing w:after="0" w:line="225"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Due to the lack of timely available market information for certain investments in the asset classes described below as well as the inherent uncertainty of valuation, reported fair values may differ from fair values that would have been used had timely available market information been available.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Common and Preferred Stock</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Common and preferred stock for which market prices are readily available at the measurement date are valued at the last 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among others, the use of adjusted market prices last available, bids or last available sales prices and/or other observable inputs and are classified in Level 2. Common and preferred stock classified in Level 3 are those privately issued securities or other issues that are valued via the use of valuation models using significant unobservable inputs that generally consider among others, aged (stale) pricing, earnings multiples, discounted cash flows and/or other qualitative and quantitative factors.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Securities</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Valuations for debt securities are based on quotations received from independent pricing services or from dealers who make markets in such 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within this category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Funds, Private Equity and Debt Investments and Real Estate Investments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Investment funds, private equity and debt investments and real estate investments are valued based on the Net Asset Value (NAV) per Share (or its equivalent) as a practical expedient to estimate fair value due to the absence of readily available market prices.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to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Extended Disability Benefits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provide extended disability benefits for employees currently disabled and those in the active workforce who may become disabled in the form of income replacement, healthcare costs and life insurance premiums. We recognize a liability for extended disability benefits over the expected service period using measurement provisions similar to those used to measure our OPEB obligations based on our best estimate of the probable liability at the measurement date. We record actuarial gains and losses immediately in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Our stock incentive plans include RSUs, Performance Share Units (PSUs), stock options and salary stock. We measure and record compensation expense based on the fair value of our common stock on the date of grant for RSUs and PSUs and the grant date fair value of stock options determined utilizing a lattice model or the Black-Scholes-Merton formula. Compensation cost for awards that do not have an established accounting grant date is based on the fair value of our common stock at the end of each reporting period. We record compensation cost for RSUs and PSUs on a straight-line basis over the entire vesting period, or for retirement eligible employees over the requisite service period. We use the graded vesting method to record compensation cost for stock options over the lesser of the vesting period or the time period an employee becomes eligible to retain the award at retirement. Salary stock awards are fully vested and nonforfeitable upon grant; therefore, compensation cost is recorded on the date of grant. The liability for stock incentive plan awards settled in cash is remeasured to fair value at the end of each reporting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Product Warranty and Recall Campaigns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estimated costs related to policy and product warranties are accrued at the time products are sold and are charged to Automotive cost of sales. These estimates are established using historical information on the nature, frequency and average cost of claims of each vehicle line or each model year of the vehicle line and assumptions about future activity and events. Revisions are made when necessary based on changes in these factors. The estimated costs related to recall campaigns are accrued at the time of vehicle sale in GMNA and when probable and reasonably estimable in other geographical regions.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liability method is used in accounting for income taxes. 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recorded in the results of operations in the period that includes the enactment date under the law.</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Deferred income tax assets are evaluated quarterly to determine if valuation allowances are required or should be adjusted. 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Income tax expense (benefit) for the year is allocated between continuing operations and other categories of income such as Other comprehensive income (loss). In periods in which there is a pre-tax loss from continuing operations and pre-tax income in another income category, the tax benefit allocated to continuing operations is determined by taking into account the pre-tax income of other categories.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 uncertain tax positions on the basis of a two-step process whereby: (1) we determine whether it is more likely than not that the tax positions will be sustained based on the technical merits of the position; and (2) for those tax positions that meet the more likely than not recognition, we recognize the largest amount of tax benefit that is greater than 50% likely to be realized upon ultimate settlement with the related tax authority. We record interest and penalties on uncertain tax positions in Income tax expense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 and Translation</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assets and liabilities of foreign subsidiaries that use the local currency as their functional currency 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Gains and losses arising from foreign currency transactions and the effects of remeasurements discussed in the preceding paragraph are recorded in Automotive cost of sales and GM Financial interest, operating and other expenses unless related to Automotive debt, which are recorded in Interest income and other non-operating income, net. Foreign currency transaction and remeasurement losses were $829 million, $437 million and $350 million in the years ended December 31, 2015, 2014 and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recognizes all of its derivative financial instruments as either assets or liabilities at fair value. The accounting for changes in the fair value of each derivative financial instrument depends on whether it has been designated and qualifies as an accounting hedge, as well as the type of hedging relationship identified. GM Financial does not use derivative instruments for trading or speculative purposes.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utilizes interest rate cap and interest rate swap agreements to manage interest rate risk. The change in fair value of the cap and swap agreements is recorded in GM Financial interest, operating and other expenses. Cash flows for all derivative financial instruments are classified as operating activities.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also utilizes certain interest rate swap agreements as fair value hedges of fixed-rate debt. The risk being hedged is the risk of changes in the fair value of the hedged debt attributable to changes in the benchmark interest rate. If the hedge relationship is deemed to be highly effective and the swap has been designated as a fair value hedge, the changes in the fair value of the hedged debt are recorded in debt with the offset in GM Financial interest, operating and other expenses. The change in fair value of the related derivative (excluding accrued interest) is also recorded in GM Financial interest, operating and other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2015 we adopted ASU 2015-02, “Amendments to the Consolidation Analysis” (ASU 2015-02), which is effective for annual reporting periods beginning on or after December 15, 2015, with early adoption permitted. ASU 2015-02 requires us to reassess whether certain entities should be consolidated. Also in 2015 we adopted the provisions of ASU 2015-03, “Simplifying the Presentation of Debt Issuance Costs” (ASU 2015-03), whereby debt issuance costs associated with non-revolving debt are presented as a reduction to the debt principal balance. The adoption of ASU 2015-02 and ASU 2015-03 did not have a material impact on our consolidated financial statements. Certain prior year amounts were reclassified to conform to our current year presentation.</w:t>
      </w:r>
    </w:p>
    <w:p>
      <w:pPr>
        <w:spacing w:after="0" w:line="15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2015 we also adopted the provisions of ASU 2015-07, “Disclosures for Investments in Certain Entities that Calculate Net Asset Value per Share (or Its Equivalent)”, in which investments measured at fair value using the net asset value per share method (or its equivalent) as a practical expedient are not required to be categorized in the fair value hierarchy and are separately presented to permit reconciliation of total pension plan assets. Refer to Note 13 for details of the impact of this adoption. Certain prior year amounts were reclassified to conform to our current year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November 2015 the Financial Accounting Standards Board (FASB) issued ASU 2015-17, “Balance Sheet Classification of Deferred Taxes” (ASU 2015-17), which changes how deferred taxes are classified on our balance sheets and is effective for financial statements issued for annual periods beginning after December 15, 2016, with early adoption permitted. ASU 2015-17 requires all deferred tax assets and liabilities to be classified as non-current. Upon adoption, we anticipate reclassifying deferred income taxes of approximately $9 billion from current to non-current assets.</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May 2014 the FASB issued ASU 2014-09, “Revenue from Contracts with Customers” (ASU 2014-09), which requires us to recognize revenue when a customer obtains control rather than when we have transferred substantially all risks and rewards of a good or service and requires expanded disclosures. ASU 2014-09, as amended, is effective for annual reporting periods beginning after December 15, 2017, with early adoption permitted as of annual periods beginning after December 15, 2016. We continue to assess the overall impact the adoption of ASU 2014-09 will have on our consolidated financial statements.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(ASU 2016-01), which requires equity investments that are not accounted for under the equity method of accounting to be measured at fair value with changes recognized in net income and updates certain presentation and disclosure requirements. ASU 2016-01 is effective beginning after December 15, 2017 and we are currently assessing the impact the adoption will have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securities which approximates cost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Trading securities – 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(including securities classified as cash equivalents)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15,671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20,543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Restricted cash, cash equivalents and time deposits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 included above with contractual maturities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Marketable securities classified as cash equivalents totaled $7.5 billion and $11.3 billion at December 31, 2015 and 2014 and consisted of U.S. government and agency securities, corporate debt, money market funds and sovereign debt.</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Sales proceeds from investments classified as available-for-sale and sold prior to maturity were $7.9 billion, $5.9 billion and $4.7 billion in the years ended December 31, 2015, 2014 and 2013. Cumulative unrealized gains and losses on available-for-sale securities and net unrealized gains and losses on trading securities were insignificant at and in the years ended December 31, 2015, 2014 and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GM Financial receivables, net (dollars in millions):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6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53"/>
        </w:trPr>
        <w:tc>
          <w:tcPr>
            <w:tcW w:w="46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33,229</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28,389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36,551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24,968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32,534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GM Financial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33,106</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Allowance for loan losses classified as current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r>
    </w:tbl>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Financial estimates the fair value of retail finance receivables using observable and unobservable inputs within a cash flow model, a Level 3 input.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or current interest rates. The weighted-average cost of capital uses unobservable debt and equity percentages, an unobservable cost of equity and an observable cost of debt based on companies with a similar credit rating and maturity profile as the portfolio. Macroeconomic factors could affect the credit performance of the portfolio and therefore could potentially affect the assumptions used in GM Financial's cash flow model. A</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341"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 majority of GM Financial's commercial finance receivables have variable interest rates and maturities of one year or less. Therefore, the carrying amount is considered to be a reasonable estimate of fair value using Level 2 inputs.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the allowance for loan losses on finance receivables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8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475</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8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362</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548</w:t>
            </w: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activity for the allowance for commercial loan losses was insignificant in the years ended December 31, 2015, 2014 and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Retail Finance Receivables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uses proprietary scoring systems in its underwriting process that measure the credit quality of the receivables using several factors, such as credit bureau information, consumer credit risk scores (e.g. FICO scores)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are considered to be prime credit quality. At December 31, 2015 and 2014, 60% and 83% of the retail finance receivables in North America were from consumers with sub-prime credit scores, which are defined as FICO scores of less than 620 at the time of loan origination.</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retail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December 31, 2015 and 2014 the accrual of finance charge income had been suspended on delinquent retail finance receivables with contractual amounts due of $778 million and $682 million. The following table summarizes the contractual amount of delinquent contracts, which is not significantly different than the recorded investment of the retail finance receivables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The credit lines for Group VI dealers are typically suspended and no further funding is extended to these dealers. At December 31, 2015 and 2014 the commercial finance receivables on non-accrual status were insignificant. The following table summarizes the credit risk profile by dealer grouping of the commercial finance receivables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2014</w:t>
            </w:r>
          </w:p>
        </w:tc>
      </w:tr>
      <w:tr>
        <w:trPr>
          <w:trHeight w:val="53"/>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Group I </w:t>
            </w:r>
            <w:r>
              <w:rPr>
                <w:rFonts w:ascii="Arial" w:cs="Arial" w:eastAsia="Arial" w:hAnsi="Arial"/>
                <w:sz w:val="21"/>
                <w:szCs w:val="21"/>
                <w:color w:val="auto"/>
              </w:rPr>
              <w:t>–</w:t>
            </w:r>
            <w:r>
              <w:rPr>
                <w:rFonts w:ascii="Arial" w:cs="Arial" w:eastAsia="Arial" w:hAnsi="Arial"/>
                <w:sz w:val="18"/>
                <w:szCs w:val="18"/>
                <w:color w:val="auto"/>
              </w:rPr>
              <w:t xml:space="preserve"> Dealers with superior financial metrics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II – Dealers with strong financial metrics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2,022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fair financial metrics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IV – Dealers with weak financial metrics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1,173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238</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components of Inventories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8,617</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13,764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8,262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3,172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 on Operating Leases,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net consists of vehicle sales to daily rental car companies with a guaranteed repurchase obligation. The following tables summarize information related to Equipment on operating leases, net (dollars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1"/>
              </w:rPr>
              <w:t>December 31, 2014</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3,037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7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3,564</w:t>
            </w:r>
          </w:p>
        </w:tc>
      </w:tr>
      <w:tr>
        <w:trPr>
          <w:trHeight w:val="20"/>
        </w:trPr>
        <w:tc>
          <w:tcPr>
            <w:tcW w:w="7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86"/>
        </w:trPr>
        <w:tc>
          <w:tcPr>
            <w:tcW w:w="7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24"/>
                <w:szCs w:val="24"/>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341</w:t>
            </w:r>
          </w:p>
        </w:tc>
        <w:tc>
          <w:tcPr>
            <w:tcW w:w="1000" w:type="dxa"/>
            <w:vAlign w:val="bottom"/>
            <w:tcBorders>
              <w:bottom w:val="single" w:sz="8" w:color="CCEEFF"/>
            </w:tcBorders>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215</w:t>
            </w:r>
          </w:p>
        </w:tc>
        <w:tc>
          <w:tcPr>
            <w:tcW w:w="100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168</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341"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 Financial originates leases to retail customers that are recorded as operating leases. The following table summarizes GM Financial equipment on operating leases, net (dollars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7,060</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GM Financial equipment on operating leases, net was $2.3 billion, $868 million and $450 million in the years ended December 31, 2015, 2014 and 2013.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as lessor under operating leases (dollars in millions):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rental receipts under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r>
      <w:tr>
        <w:trPr>
          <w:trHeight w:val="27"/>
        </w:trPr>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 Our nonconsolidated affiliates are involved in various aspects of the development, production and marketing of cars, trucks and automobile parts. We enter into transactions with certain nonconsolidated affiliates to purchase and sell component parts and vehicles.</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Revenue and expenses of our joint ventures are not consolidated into our financial statements; rather, our proportionate share of the earnings of each joint venture is reflected as Equity income. The following table summarizes information regarding Equity income (dollars in millions):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joint ventures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On January 2, 2015 GM Financial completed its acquisition of Ally Financial's 40% equity interest in SAIC-GMAC in China. The aggregate purchase price was $1.0 billion. Also on January 2, 2015 GM Financial sold a 5% equity interest in SAIC-GMAC to Shanghai Automotive Group Finance Company Ltd. (SAICFC), a current shareholder of SAIC-GMAC, for proceeds of $125 million. As a result of these transactions GM Financial now owns 35%, SAICFC owns 45% and, in the aggregate, GM indirectly owns 45% of SAIC-GMAC. GM Financial's share of earnings of SAIC-GMAC is included in the Equity income of Other joint ventures in the table above. The pro forma effect on earnings had this acquisition occurred on January 1, 2014 was not significant.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transactions with and balances related to our nonconsolidated affiliates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3920" w:type="dxa"/>
            <w:vAlign w:val="bottom"/>
            <w:tcBorders>
              <w:bottom w:val="single" w:sz="8" w:color="CCEEFF"/>
            </w:tcBorders>
          </w:tcPr>
          <w:p>
            <w:pPr>
              <w:spacing w:after="0"/>
              <w:rPr>
                <w:sz w:val="22"/>
                <w:szCs w:val="22"/>
                <w:color w:val="auto"/>
              </w:rPr>
            </w:pPr>
          </w:p>
        </w:tc>
        <w:tc>
          <w:tcPr>
            <w:tcW w:w="3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sales and revenue</w:t>
            </w:r>
          </w:p>
        </w:tc>
        <w:tc>
          <w:tcPr>
            <w:tcW w:w="3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Automotive purchases, net</w:t>
            </w:r>
          </w:p>
        </w:tc>
        <w:tc>
          <w:tcPr>
            <w:tcW w:w="3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724</w:t>
            </w:r>
          </w:p>
        </w:tc>
      </w:tr>
      <w:tr>
        <w:trPr>
          <w:trHeight w:val="27"/>
        </w:trPr>
        <w:tc>
          <w:tcPr>
            <w:tcW w:w="39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received</w:t>
            </w:r>
          </w:p>
        </w:tc>
        <w:tc>
          <w:tcPr>
            <w:tcW w:w="3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Operating cash flows</w:t>
            </w:r>
          </w:p>
        </w:tc>
        <w:tc>
          <w:tcPr>
            <w:tcW w:w="3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3,782</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3,607</w:t>
            </w:r>
          </w:p>
        </w:tc>
      </w:tr>
      <w:tr>
        <w:trPr>
          <w:trHeight w:val="486"/>
        </w:trPr>
        <w:tc>
          <w:tcPr>
            <w:tcW w:w="3920" w:type="dxa"/>
            <w:vAlign w:val="bottom"/>
          </w:tcPr>
          <w:p>
            <w:pPr>
              <w:spacing w:after="0"/>
              <w:rPr>
                <w:sz w:val="24"/>
                <w:szCs w:val="24"/>
                <w:color w:val="auto"/>
              </w:rPr>
            </w:pPr>
          </w:p>
        </w:tc>
        <w:tc>
          <w:tcPr>
            <w:tcW w:w="3520" w:type="dxa"/>
            <w:vAlign w:val="bottom"/>
          </w:tcPr>
          <w:p>
            <w:pPr>
              <w:jc w:val="right"/>
              <w:ind w:right="155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205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Undistributed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2,011</w:t>
            </w:r>
          </w:p>
        </w:tc>
      </w:tr>
      <w:tr>
        <w:trPr>
          <w:trHeight w:val="27"/>
        </w:trPr>
        <w:tc>
          <w:tcPr>
            <w:tcW w:w="7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Nonconsolidated Affiliates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of investments in nonconsolidated affiliates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 net assets of nonconsolidated affiliates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8,350</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2015 and 2014 the carrying amount of our investments in certain joint ventures exceeded our share of the underlying net assets by $4.3 billion and $3.9 billion primarily related to goodwill from the application of fresh-start reporting and purchase of additional interests in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Automotive China JVs at December 31, 2015 and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16"/>
                <w:szCs w:val="16"/>
                <w:color w:val="auto"/>
              </w:rPr>
            </w:pPr>
          </w:p>
        </w:tc>
        <w:tc>
          <w:tcPr>
            <w:tcW w:w="1900" w:type="dxa"/>
            <w:vAlign w:val="bottom"/>
          </w:tcPr>
          <w:p>
            <w:pPr>
              <w:jc w:val="right"/>
              <w:ind w:right="312"/>
              <w:spacing w:after="0"/>
              <w:rPr>
                <w:sz w:val="20"/>
                <w:szCs w:val="20"/>
                <w:color w:val="auto"/>
              </w:rPr>
            </w:pPr>
            <w:r>
              <w:rPr>
                <w:rFonts w:ascii="Arial" w:cs="Arial" w:eastAsia="Arial" w:hAnsi="Arial"/>
                <w:sz w:val="14"/>
                <w:szCs w:val="14"/>
                <w:b w:val="1"/>
                <w:bCs w:val="1"/>
                <w:color w:val="auto"/>
              </w:rPr>
              <w:t>Direct Ownership</w:t>
            </w:r>
          </w:p>
        </w:tc>
      </w:tr>
      <w:tr>
        <w:trPr>
          <w:trHeight w:val="53"/>
        </w:trPr>
        <w:tc>
          <w:tcPr>
            <w:tcW w:w="952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r>
      <w:tr>
        <w:trPr>
          <w:trHeight w:val="244"/>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Corp., Ltd. (SGM)</w:t>
            </w: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SAIC GM (Shenyang) Norsom Motors Co., Ltd. (SGM Norsom)</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Dong Yue Motors Co., Ltd. (SGM DY)</w:t>
            </w: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SAIC GM Dong Yue Powertrain Co., Ltd. (SGM DYPT)</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Wuling Automobile Co., Ltd.</w:t>
            </w: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50%</w:t>
            </w: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Chengxin Used Car Operation and Management Co., Ltd. (Shanghai Chengxin Used Car)</w:t>
            </w: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SAIC General Motors Sales Co., Ltd. (SGMS)</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SGM is a joint venture established by Shanghai Automotive Industry Corporation (SAIC) (50%) and us (50%). SGM has interests in three other joint ventures in China: SGM Norsom, SGM DY and SGM DYPT. These three joint ventures are jointly held by SGM (50%), SAIC (25%) and us (25%). These four joint ventures are engaged in the production, import and sale of a comprehensive range of products under the Buick, Chevrolet and Cadillac brands. SGM also has interests in Shanghai OnStar (20%), Shanghai Chengxin Used Car (33%) and SAIC-GMAC (20%).</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Summarized Financial Data of Nonconsolidated Affiliates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present summarized financial data for nonconsolidated affiliates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4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4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Automotive China</w:t>
            </w: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Others</w:t>
            </w:r>
          </w:p>
        </w:tc>
        <w:tc>
          <w:tcPr>
            <w:tcW w:w="280" w:type="dxa"/>
            <w:vAlign w:val="bottom"/>
          </w:tcPr>
          <w:p>
            <w:pPr>
              <w:spacing w:after="0"/>
              <w:rPr>
                <w:sz w:val="13"/>
                <w:szCs w:val="13"/>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5"/>
          </w:tcPr>
          <w:p>
            <w:pPr>
              <w:jc w:val="center"/>
              <w:ind w:right="299"/>
              <w:spacing w:after="0" w:line="153" w:lineRule="exact"/>
              <w:rPr>
                <w:sz w:val="20"/>
                <w:szCs w:val="20"/>
                <w:color w:val="auto"/>
              </w:rPr>
            </w:pPr>
            <w:r>
              <w:rPr>
                <w:rFonts w:ascii="Arial" w:cs="Arial" w:eastAsia="Arial" w:hAnsi="Arial"/>
                <w:sz w:val="14"/>
                <w:szCs w:val="14"/>
                <w:b w:val="1"/>
                <w:bCs w:val="1"/>
                <w:color w:val="auto"/>
                <w:w w:val="93"/>
              </w:rPr>
              <w:t>Automotive China</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Others</w:t>
            </w:r>
          </w:p>
        </w:tc>
        <w:tc>
          <w:tcPr>
            <w:tcW w:w="30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JVs</w:t>
            </w: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JVs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Balance Sheet Data</w:t>
            </w: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26,628</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15,442</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18,078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10,801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15,067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11,265</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28,071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13,624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41,695</w:t>
            </w:r>
          </w:p>
        </w:tc>
        <w:tc>
          <w:tcPr>
            <w:tcW w:w="4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4,143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29,343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27,618</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16,141</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3,065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10,410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30,683</w:t>
            </w:r>
          </w:p>
        </w:tc>
        <w:tc>
          <w:tcPr>
            <w:tcW w:w="4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19,746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913</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399"/>
        </w:trPr>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38,767</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sales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47,024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40,597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income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Property, net (dollars in millions):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 Lives in</w:t>
            </w:r>
          </w:p>
        </w:tc>
        <w:tc>
          <w:tcPr>
            <w:tcW w:w="18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4"/>
                <w:szCs w:val="14"/>
                <w:color w:val="auto"/>
              </w:rPr>
            </w:pPr>
          </w:p>
        </w:tc>
        <w:tc>
          <w:tcPr>
            <w:tcW w:w="15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plants and equipment</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27,833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(8,067)</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plants and equipment, net</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19,766</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Special tools, net</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net</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31,229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27,743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amount of capitalized software included in Property, net was $907 million and $817 million at December 31, 2015 and 2014. The amount of interest capitalized and excluded from Automotive interest expense related to Property, net was $101 million, $70 million and $81 million in the years ended December 31, 2015, 2014 and 2013.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depreciation, amortization and impairment charges related to Property, net (dollars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4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3,959</w:t>
            </w: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901</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amortization expense(a)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r>
      <w:tr>
        <w:trPr>
          <w:trHeight w:val="220"/>
        </w:trPr>
        <w:tc>
          <w:tcPr>
            <w:tcW w:w="20" w:type="dxa"/>
            <w:vAlign w:val="bottom"/>
          </w:tcPr>
          <w:p>
            <w:pPr>
              <w:spacing w:after="0"/>
              <w:rPr>
                <w:sz w:val="19"/>
                <w:szCs w:val="19"/>
                <w:color w:val="auto"/>
              </w:rPr>
            </w:pPr>
          </w:p>
        </w:tc>
        <w:tc>
          <w:tcPr>
            <w:tcW w:w="7400" w:type="dxa"/>
            <w:vAlign w:val="bottom"/>
          </w:tcPr>
          <w:p>
            <w:pPr>
              <w:jc w:val="right"/>
              <w:ind w:right="6430"/>
              <w:spacing w:after="0"/>
              <w:rPr>
                <w:sz w:val="20"/>
                <w:szCs w:val="20"/>
                <w:color w:val="auto"/>
              </w:rPr>
            </w:pPr>
            <w:r>
              <w:rPr>
                <w:rFonts w:ascii="Arial" w:cs="Arial" w:eastAsia="Arial" w:hAnsi="Arial"/>
                <w:sz w:val="18"/>
                <w:szCs w:val="18"/>
                <w:color w:val="auto"/>
                <w:w w:val="85"/>
              </w:rPr>
              <w:t>__________</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depreciation and amortization expense.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December 31, 2015 and 2014 our entire goodwill balances of $1.4 billion were recorded in GM Financial.</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Based on the results of our annual goodwill impairment tests for GMSA we recorded total Goodwill impairment charges of $120 million in the year ended December 31, 2014. The impairment charges primarily resulted from lower forecasted profitability in Brazil resulting from recent deterioration in local market conditions and in Venezuela resulting from challenging local market conditions, including unfavorable foreign exchange rates and the recent downward trend in the price of oil.</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2013 we recorded Goodwill impairment charges of $541 million in GMIO as a result of performed event-driven goodwill impairment tests for: (1) GM Korea (GM Korea Company) as the fair value of GM Korea continued to be below its carrying amount due to ongoing economic weakness in certain markets to which GM Korea exports, lower forecasted margins resulting from higher raw material costs and unfavorable foreign exchange rates and our announced plans to cease mainstream distribution of the Chevrolet brand in Western and Central Europe; and (2) GM India due to lower than expected sales performance of our current product offerings in India, higher raw material costs, unfavorable foreign exchange rates and deterioration in local market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52"/>
        </w:trPr>
        <w:tc>
          <w:tcPr>
            <w:tcW w:w="4240" w:type="dxa"/>
            <w:vAlign w:val="bottom"/>
          </w:tcPr>
          <w:p>
            <w:pPr>
              <w:spacing w:after="0"/>
              <w:rPr>
                <w:sz w:val="13"/>
                <w:szCs w:val="13"/>
                <w:color w:val="auto"/>
              </w:rPr>
            </w:pPr>
          </w:p>
        </w:tc>
        <w:tc>
          <w:tcPr>
            <w:tcW w:w="1180" w:type="dxa"/>
            <w:vAlign w:val="bottom"/>
            <w:gridSpan w:val="2"/>
          </w:tcPr>
          <w:p>
            <w:pPr>
              <w:jc w:val="right"/>
              <w:ind w:right="33"/>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Net Carrying</w:t>
            </w:r>
          </w:p>
        </w:tc>
        <w:tc>
          <w:tcPr>
            <w:tcW w:w="11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rPr>
              <w:t>Net Carrying</w:t>
            </w:r>
          </w:p>
        </w:tc>
      </w:tr>
      <w:tr>
        <w:trPr>
          <w:trHeight w:val="192"/>
        </w:trPr>
        <w:tc>
          <w:tcPr>
            <w:tcW w:w="4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8,263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Brands</w:t>
            </w:r>
          </w:p>
        </w:tc>
        <w:tc>
          <w:tcPr>
            <w:tcW w:w="2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3,764</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and 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Favorable contracts and other</w:t>
            </w:r>
          </w:p>
        </w:tc>
        <w:tc>
          <w:tcPr>
            <w:tcW w:w="2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14,036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9,192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4,983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amortization expense and impairment charges related to Intangible assets, net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327</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1,281</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523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expense related to Intangible assets, net is estimated to be approximately $300 million in each of the next five years.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a result of our strategic assessment of GM India we recorded impairment charges of $48 million in GMIO in the year ended December 31, 2013 to adjust the carrying amounts of Intangible assets, net, primarily favorable contract intangibles, to fair value</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41"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$0 because of a lack of economic support associated with GM India's declining operations. These charges were recorded primarily in Automotive cost of sales.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recorded impairment charges of $264 million in GMIO in the year ended December 31, 2013 to adjust the carrying amounts of Intangible assets, net, primarily dealer network intangibles related to the Chevrolet network in Europe, to fair value of $0 because we are winding down the dealer network in 2014 and we expect to incur losses during the wind-down period. These charges were recorded in Automotive cost of sales. Refer to Note 17 for additional information on the withdrawal of the Chevrolet brand from Europe.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Entities</w:t>
      </w:r>
    </w:p>
    <w:p>
      <w:pPr>
        <w:spacing w:after="0" w:line="22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by GM Financial to the VIEs (Securitized Assets). GM Financial holds variable interests in the VIEs that could potentially be significant to the VIEs. GM Financial determined that it is the primary beneficiary of the SPEs because: (1) the servicing responsibilities for the Securitized Assets give GM Financial the power to direct the activities that most significantly impact the performance of the VIEs; and (2)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consolidated financial statements, they are separate legal entities and their assets are legally owned by them and are not available to GM Financial's creditors.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8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1,345</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r>
      <w:tr>
        <w:trPr>
          <w:trHeight w:val="289"/>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611</w:t>
            </w:r>
          </w:p>
        </w:tc>
      </w:tr>
      <w:tr>
        <w:trPr>
          <w:trHeight w:val="30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GM Financial receivables, net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11,134</w:t>
            </w:r>
          </w:p>
        </w:tc>
      </w:tr>
      <w:tr>
        <w:trPr>
          <w:trHeight w:val="289"/>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GM Financial receivables, net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12,597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11,583</w:t>
            </w:r>
          </w:p>
        </w:tc>
      </w:tr>
      <w:tr>
        <w:trPr>
          <w:trHeight w:val="25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13,545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10,502</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12,292</w:t>
            </w:r>
          </w:p>
        </w:tc>
      </w:tr>
      <w:tr>
        <w:trPr>
          <w:trHeight w:val="27"/>
        </w:trPr>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Securitized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Liabilities and Other Liabilities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Accrued liabilities and Other liabilities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Dealer and customer allowances, claims and discounts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Deposits primarily from rental car companies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Payrolls and employee benefits excluding postemployment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28,184</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Non-current</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6,064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benefits excluding postemployment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Postemployment benefits including facility idling reserves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12,586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activity for product warranty and related liabilities which include policy, product warranty, recall campaigns and courtesy transportation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 and courtesy transportation</w:t>
            </w:r>
          </w:p>
        </w:tc>
        <w:tc>
          <w:tcPr>
            <w:tcW w:w="3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640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policy and product warranty</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7,601</w:t>
            </w: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connection with ongoing comprehensive safety reviews, engineering analysis and our overall commitment to customer satisfaction we have experienced an increase in costs associated with repairs and courtesy transportation for vehicles subject to recalls. During the three months ended September 30, 2014 we began accruing the costs for recall campaigns at the time of vehicle sale in GMNA, which resulted in a charge due to a change in estimate for previously sold vehicles of $0.9 billion recorded in the three months ended June 30, 2014. We had historically accrued estimated costs related to recall campaigns in GMNA when probable and reasonably estimable, which typically occurs once it is determined a specific recall campaign is needed and announced.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Short-Term and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our short-term and long-term debt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4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 2014</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00" w:type="dxa"/>
            <w:vAlign w:val="bottom"/>
          </w:tcPr>
          <w:p>
            <w:pPr>
              <w:spacing w:after="0"/>
              <w:rPr>
                <w:sz w:val="21"/>
                <w:szCs w:val="21"/>
                <w:color w:val="auto"/>
              </w:rPr>
            </w:pP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8,145</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968</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automotive debt(a)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8,765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9,350</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7,550</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 – a discounted cash flow model</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2,249</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automotive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9,088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9,799</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Available under credit facility agreements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12,168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12,026</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04"/>
        </w:trPr>
        <w:tc>
          <w:tcPr>
            <w:tcW w:w="20" w:type="dxa"/>
            <w:vAlign w:val="bottom"/>
          </w:tcPr>
          <w:p>
            <w:pPr>
              <w:spacing w:after="0"/>
              <w:rPr>
                <w:sz w:val="24"/>
                <w:szCs w:val="24"/>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range on outstanding debt(b)</w:t>
            </w:r>
          </w:p>
        </w:tc>
        <w:tc>
          <w:tcPr>
            <w:tcW w:w="2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0.0-18.0%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0.0-18.0%</w:t>
            </w:r>
          </w:p>
        </w:tc>
      </w:tr>
      <w:tr>
        <w:trPr>
          <w:trHeight w:val="297"/>
        </w:trPr>
        <w:tc>
          <w:tcPr>
            <w:tcW w:w="20" w:type="dxa"/>
            <w:vAlign w:val="bottom"/>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Weighted-average interest rate on outstanding short-term debt(b)</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on outstanding long-term debt(b)</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$549 million and $741 million at December 31, 2015 and 2014.</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17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observable inputs of the discounted cash flow model included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received an investment grade corporate rating from Moody's in September 2013 and from S&amp;P in September 2014 which allowed the release of the collateral securing our $11.0 billion revolving credit facilities under their terms.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October 2014 we amended our two primary revolving credit facilities, increasing our aggregate borrowing capacity from $11.0 billion to $12.5 billion. These facilities consist of a three-year, $5.0 billion facility and a five-year, $7.5 billion facility. Both facilities are available to the Company as well as certain wholly-owned subsidiaries, including GM Financial. The three-year, $5.0 billion facility allows for borrowings in U.S. Dollars and other currencies and includes a GM Financial borrowing sub-limit of $2.0 billion, a letter of credit sub-facility of $1.6 billion and a Brazilian Real sub-facility of $305 million. The five-year, $7.5 billion facility allows for borrowings in U.S. Dollars and other currencies and includes a GM Financial borrowing sub-limit of $2.0 billion, a letter of credit sub-limit of $500 million and a Brazilian Real sub-facility of $195 million.</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revolving credit facilities contain representations, warranties and covenants that are typical for these types of facilities. The facilities also require us to maintain at least $4.0 billion in global liquidity and at least $2.0 billion in U.S. liquidity and to guarantee any borrowings by our subsidiaries. If we fail to maintain an investment grade corporate rating from two or more of the credit rating agencies Fitch, Moody's and S&amp;P, we will be required to provide guarantees from certain domestic subsidiaries under the terms of the facilities. Interest rates on obligations under the revolving credit facilities are based on prevailing annual interest rates for Eurodollar loans or an alternative base rate, plus an applicable margin.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November 2014 we issued $2.5 billion in aggregate principal amount of senior unsecured notes comprising $500 million of 4.0% notes due in 2025, $750 million of 5.0% notes due in 2035 and $1.25 billion of 5.2% notes due in 2045. In September 2013 we issued $4.5 billion in aggregate principal amount of senior unsecured notes comprising $1.5 billion of 3.5% notes due in 2018, $1.5 billion of 4.875% notes due in 2023 and $1.5 billion of 6.25% notes due in 2043. These notes contain terms and covenants customary of these types of securities including limitations on the amount of certain secured debt we may issue.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Extinguishment of Debt</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years ended December 31, 2015 and 2014 we prepaid and retired debt obligations with a total carrying amount of $538 million and $325 million which primarily represented unsecured debt in Brazil and recorded a net gain on extinguishment of debt</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41"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$449 million and $202 million. In the year ended December 31, 2013 we prepaid and retired debt obligations with a total carrying amount of $1.8 billion which primarily represented the unamortized debt discount on GM Korea mandatorily redeemable preferred shares and recorded a net loss on extinguishment of debt of $212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25,228</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2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23,657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23,726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12,142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54,397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37,315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37,707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 – identical and similar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32,790</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For debt that has terms of one year or less or has been priced within the last six months, the carrying amount or par value is considered to be a reasonable estimate of fair value. The fair value of debt measured utilizing Level 3 inputs was based on the discounted future net cash flows expected to be settled using current risk-adjusted rates.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Most of the secured debt was issued by VIEs and is repayable only from proceeds related to the underlying pledged finance receivables and leases. Refer to Note 10 for additional information on GM Financial's involvement with VIEs. Secured debt consists of revolving credit facilities and securitization notes payable. The weighted-average interest rate on secured debt was 1.99% at December 31, 2015.</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revolving credit facilities have maturity dates over periods ranging up to six years. At the end of the revolving period, if not renewed, the debt will amortize over a defined period. GM Financial is required to hold certain funds in restricted cash accounts to provide additional collateral for borrowings under certain secured credit facilities. In the year ended December 31, 2015 GM Financial entered into new or renewed credit facilities with substantially the same terms as existing debt and a total net additional borrowing capacity of $5.2 billion.</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Securitization notes payable at December 31, 2015 are due beginning in 2016 through 2023. In the year ended December 31, 2015 GM Financial issued securitization notes payable of $14.3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Unsecured debt consists of senior notes, credit facilities and other unsecured debt. Senior notes outstanding at December 31, 2015 are due beginning in 2016 through 2025 and have a weighted-average interest rate of 3.37%. In the year ended December 31, 2015 GM Financial issued the following notes:</w:t>
      </w:r>
    </w:p>
    <w:p>
      <w:pPr>
        <w:spacing w:after="0" w:line="124" w:lineRule="exact"/>
        <w:rPr>
          <w:sz w:val="20"/>
          <w:szCs w:val="20"/>
          <w:color w:val="auto"/>
        </w:rPr>
      </w:pPr>
    </w:p>
    <w:p>
      <w:pPr>
        <w:ind w:left="660" w:hanging="490"/>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$2.25 billion in aggregate principal amount of senior notes issued in January comprising $1.0 billion of 3.15% notes due in January 2020, $1.0 billion of 4.0% notes due in January 2025 and $250 million of floating rate notes due in January 2020;</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 650 million of 0.85% term notes issued in February and due in February 2018;</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$2.4 billion in aggregate principal amount of senior notes issued in April comprising $850 million of 2.4% notes due in April 2018, $1.25 billion of 3.45% notes due in April 2022 and $300 million of floating rate notes due in April 2018;</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CAD $500 million of 3.08% senior notes issued in May and due in May 2020;</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$2.3 billion in aggregate principal amount of senior notes issued in July comprising $1.5 billion of 3.2% notes due in July 2020 and $800 million of 4.3% notes due in July 2025;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660" w:hanging="490"/>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$1.75 billion in aggregate principal amount of senior notes issued in October comprising $1.5 billion of 3.1% notes due in January 2019 and $250 million of floating rate notes due in January 2019; and</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 billion of 3.7% senior notes issued in November and due in November 2020.</w:t>
      </w:r>
    </w:p>
    <w:p>
      <w:pPr>
        <w:spacing w:after="0" w:line="2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September 30, 2015 GM Financial began accepting deposits from retail banking customers in Germany. At December 31, 2015 the outstanding balance of these deposits was $1.3 billion, of which 44% were overnight deposits, and had a weighted-average interest rate of 1.25%.</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terms of advances on revolving credit facilities and other unsecured debt have original maturities of up to five years. The weighted-average interest rate on credit facilities and other unsecured debt was 8.72% at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interest expense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Financing - GM Financial</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715</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contractual maturities including capital leases at December 31, 2015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Automotive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Automotive</w:t>
            </w:r>
          </w:p>
        </w:tc>
        <w:tc>
          <w:tcPr>
            <w:tcW w:w="28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Financing(a)</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19,609</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12,822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10,768</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4,285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5,050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11,240</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63,838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Secured debt, credit facilities and other unsecured debt are based on expected payoff date. Senior notes principal amounts are based on maturity.</w:t>
      </w:r>
    </w:p>
    <w:p>
      <w:pPr>
        <w:spacing w:after="0" w:line="20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December 31, 2015 future interest payments on automotive capital lease obligations were $388 million. GM Financial had no capital lease obligations at December 31, 2015.</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Compliance with Debt Covenants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Several of our loan facilities, including our revolving credit facilities, require compliance with certain financial and operational covenants as well as regular reporting to lenders, including providing certain subsidiary financial statements. Some of GM Financial’s secured and unsecured debt agreements also contain various covenants, including maintaining portfolio performance ratios as well as limits on deferment levels.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Pensions and Other Postretirement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and Other Postretirement Benefit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Defined benefit pension plans covering eligible U.S. hourly employees (hired prior to October 2007) and Canadian hourly employees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covering primarily U.S. executives for service prior to January 1, 2007 and it is based on an “excess plan” for service after that date.</w:t>
      </w:r>
    </w:p>
    <w:p>
      <w:pPr>
        <w:spacing w:after="0" w:line="17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funding policy for qualified defined benefit pension plans is to contribute annually not less than the minimum required by applicable laws and regulations or to directly pay benefit payments where appropriate. At December 31, 2015 all legal funding requirements had been met. We expect to contribute $71 million to our U.S. non-qualified plans and $947 million to our non-U.S. pension plans in 2016. We also expect to make a discretionary contribution of $2.0 billion to our U.S. hourly pension plan by mid-2016 which is expected to be financed by debt. The following table summarizes contributions made to the defined benefit pension plans (dollars in millions):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886</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Postretirement Benefit Plans</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Certain hourly and salaried defined benefit plans provide postretirement medical, dental, legal service and life 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$340 million, $354 million and $393 million in the years ended December 31, 2015, 2014 and 2013. Plan participants' contributions were insignificant in the years ended December 31, 2015, 2014 and 2013.</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defined contribution plans for eligible U.S. salaried and hourly employees that provide discretionary matching contributions. Contributions are also made to certain non-U.S. defined contribution plans. We made contributions to our defined contribution plans of $535 million, $513 million and $502 million in the years ended December 31, 2015, 2014 and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Life Insurance Plan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September 2013 we amended the U.S. salaried life insurance plan effective January 1, 2014 to eliminate benefits for retirees and eligible employees retiring on or after August 1, 2009. The remeasurement, settlement and curtailment resulted in a decrease in the OPEB liability of $319 million, a decrease in the net pre-tax actuarial loss component of Accumulated other comprehensive loss of $236 million and a pre-tax gain of $83 million.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year ended December 31, 2012 we provided short-term, interest-free, unsecured loans of $2.2 billion to provide the plan with incremental liquidity to pay ongoing benefits and administrative costs. Through December 31, 2013 contributions of $1.7 billion were made from the $2.2 billion loans and the remaining amounts were repaid.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Active salaried plan participants began receiving additional contributions in the defined contribution plan in October 2012. Lump-sum pension distributions in 2013 of $430 million resulted in a pre-tax settlement gain of $128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Remeasurements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December 31, 2014 the Society of Actuaries issued new mortality and mortality improvement tables that raised life expectancies and thereby indicate the amount of estimated aggregate benefit payments to our U.S. pension plans' participants is increasing. We incorporated these Society of Actuaries mortality and mortality improvement tables into our December 31, 2014 measurement of our U.S. pension plans' benefit obligations. The change in these assumptions increased the December 31, 2014 U.S. pension plans' obligations by $2.2 billion. The mortality improvement tables issued by the Society of Actuaries in the three months ended December 31, 2015 did not result in any change in our current assumptions used to measure the U.S. pension plans’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Obligations and Plan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 in benefit obligations and related plan assets (dollars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Year Ended December 31,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Year Ended December 31, 2014</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Global OPEB</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Global</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Non-U.S.</w:t>
            </w: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OPEB Plans</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benefit obligation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6,348</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Actuarial (gains) losses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7,770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settlements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benefit obligation</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71,486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23,763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76,724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27,897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6,625</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Beginning fair value of plan assets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65,823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14,669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64,166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14,986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fair value of plan assets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61,072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65,823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funded status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recorded in the consolidated balance sheets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0" w:type="dxa"/>
            <w:vAlign w:val="bottom"/>
          </w:tcPr>
          <w:p>
            <w:pPr>
              <w:spacing w:after="0"/>
              <w:rPr>
                <w:sz w:val="1"/>
                <w:szCs w:val="1"/>
                <w:color w:val="auto"/>
              </w:rPr>
            </w:pPr>
          </w:p>
        </w:tc>
      </w:tr>
      <w:tr>
        <w:trPr>
          <w:trHeight w:val="28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amount recorded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(6,066)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(6,625)</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recorded in Accumulated other comprehensive loss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Net actuarial gain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(3,796)</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(cost) credit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Total recorded in Accumulated other comprehensive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(5,076)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 summarizes the total accumulated benefit obligations (ABO), the ABO and fair value of plan assets for defined benefit pension plans with ABO in excess of plan assets, and the PBO and fair value of plan assets for defined benefit pension plans with PBO in excess of plan assets (dollars in millions):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2014</w:t>
            </w:r>
          </w:p>
        </w:tc>
      </w:tr>
      <w:tr>
        <w:trPr>
          <w:trHeight w:val="264"/>
        </w:trPr>
        <w:tc>
          <w:tcPr>
            <w:tcW w:w="6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Non-U.S.</w:t>
            </w:r>
          </w:p>
        </w:tc>
        <w:tc>
          <w:tcPr>
            <w:tcW w:w="30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Non-U.S.</w:t>
            </w: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27,425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Plans with ABO in excess of plan assets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61,072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12,160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65,823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13,638</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PBO in excess of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PBO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71,486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23,052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76,724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26,935</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61,072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12,170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65,823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13,643</w:t>
            </w:r>
          </w:p>
        </w:tc>
      </w:tr>
      <w:tr>
        <w:trPr>
          <w:trHeight w:val="27"/>
        </w:trPr>
        <w:tc>
          <w:tcPr>
            <w:tcW w:w="6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341"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summarizes the components of net periodic pension and OPEB expense along with the assumptions used to determine benefit obligations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9"/>
              </w:rPr>
              <w:t>Year Ended December 31, 2015</w:t>
            </w:r>
          </w:p>
        </w:tc>
        <w:tc>
          <w:tcPr>
            <w:tcW w:w="160" w:type="dxa"/>
            <w:vAlign w:val="bottom"/>
          </w:tcPr>
          <w:p>
            <w:pPr>
              <w:spacing w:after="0"/>
              <w:rPr>
                <w:sz w:val="12"/>
                <w:szCs w:val="12"/>
                <w:color w:val="auto"/>
              </w:rPr>
            </w:pPr>
          </w:p>
        </w:tc>
        <w:tc>
          <w:tcPr>
            <w:tcW w:w="224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8"/>
              </w:rPr>
              <w:t>Year Ended December 31, 2014</w:t>
            </w:r>
          </w:p>
        </w:tc>
        <w:tc>
          <w:tcPr>
            <w:tcW w:w="160" w:type="dxa"/>
            <w:vAlign w:val="bottom"/>
          </w:tcPr>
          <w:p>
            <w:pPr>
              <w:spacing w:after="0"/>
              <w:rPr>
                <w:sz w:val="12"/>
                <w:szCs w:val="12"/>
                <w:color w:val="auto"/>
              </w:rPr>
            </w:pPr>
          </w:p>
        </w:tc>
        <w:tc>
          <w:tcPr>
            <w:tcW w:w="2120" w:type="dxa"/>
            <w:vAlign w:val="bottom"/>
            <w:gridSpan w:val="7"/>
          </w:tcPr>
          <w:p>
            <w:pPr>
              <w:jc w:val="center"/>
              <w:ind w:right="58"/>
              <w:spacing w:after="0"/>
              <w:rPr>
                <w:sz w:val="20"/>
                <w:szCs w:val="20"/>
                <w:color w:val="auto"/>
              </w:rPr>
            </w:pPr>
            <w:r>
              <w:rPr>
                <w:rFonts w:ascii="Arial" w:cs="Arial" w:eastAsia="Arial" w:hAnsi="Arial"/>
                <w:sz w:val="11"/>
                <w:szCs w:val="11"/>
                <w:b w:val="1"/>
                <w:bCs w:val="1"/>
                <w:color w:val="auto"/>
                <w:w w:val="88"/>
              </w:rPr>
              <w:t>Year Ended December 31, 2013</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Global OPEB</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Global OPEB</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3"/>
              </w:rPr>
              <w:t>Global OPEB</w:t>
            </w:r>
          </w:p>
        </w:tc>
        <w:tc>
          <w:tcPr>
            <w:tcW w:w="0" w:type="dxa"/>
            <w:vAlign w:val="bottom"/>
          </w:tcPr>
          <w:p>
            <w:pPr>
              <w:spacing w:after="0"/>
              <w:rPr>
                <w:sz w:val="1"/>
                <w:szCs w:val="1"/>
                <w:color w:val="auto"/>
              </w:rPr>
            </w:pPr>
          </w:p>
        </w:tc>
      </w:tr>
      <w:tr>
        <w:trPr>
          <w:trHeight w:val="101"/>
        </w:trPr>
        <w:tc>
          <w:tcPr>
            <w:tcW w:w="4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Non-U.S.</w:t>
            </w:r>
          </w:p>
        </w:tc>
        <w:tc>
          <w:tcPr>
            <w:tcW w:w="14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Plans</w:t>
            </w:r>
          </w:p>
        </w:tc>
        <w:tc>
          <w:tcPr>
            <w:tcW w:w="160" w:type="dxa"/>
            <w:vAlign w:val="bottom"/>
          </w:tcPr>
          <w:p>
            <w:pPr>
              <w:spacing w:after="0"/>
              <w:rPr>
                <w:sz w:val="12"/>
                <w:szCs w:val="12"/>
                <w:color w:val="auto"/>
              </w:rPr>
            </w:pP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U.S.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Non-U.S.</w:t>
            </w:r>
          </w:p>
        </w:tc>
        <w:tc>
          <w:tcPr>
            <w:tcW w:w="16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Plans</w:t>
            </w:r>
          </w:p>
        </w:tc>
        <w:tc>
          <w:tcPr>
            <w:tcW w:w="160" w:type="dxa"/>
            <w:vAlign w:val="bottom"/>
          </w:tcPr>
          <w:p>
            <w:pPr>
              <w:spacing w:after="0"/>
              <w:rPr>
                <w:sz w:val="12"/>
                <w:szCs w:val="12"/>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Non-U.S.</w:t>
            </w:r>
          </w:p>
        </w:tc>
        <w:tc>
          <w:tcPr>
            <w:tcW w:w="140" w:type="dxa"/>
            <w:vAlign w:val="bottom"/>
          </w:tcPr>
          <w:p>
            <w:pPr>
              <w:spacing w:after="0"/>
              <w:rPr>
                <w:sz w:val="12"/>
                <w:szCs w:val="12"/>
                <w:color w:val="auto"/>
              </w:rPr>
            </w:pPr>
          </w:p>
        </w:tc>
        <w:tc>
          <w:tcPr>
            <w:tcW w:w="540" w:type="dxa"/>
            <w:vAlign w:val="bottom"/>
          </w:tcPr>
          <w:p>
            <w:pPr>
              <w:jc w:val="right"/>
              <w:ind w:right="158"/>
              <w:spacing w:after="0"/>
              <w:rPr>
                <w:sz w:val="20"/>
                <w:szCs w:val="20"/>
                <w:color w:val="auto"/>
              </w:rPr>
            </w:pPr>
            <w:r>
              <w:rPr>
                <w:rFonts w:ascii="Arial" w:cs="Arial" w:eastAsia="Arial" w:hAnsi="Arial"/>
                <w:sz w:val="11"/>
                <w:szCs w:val="11"/>
                <w:b w:val="1"/>
                <w:bCs w:val="1"/>
                <w:color w:val="auto"/>
              </w:rPr>
              <w:t>Plans</w:t>
            </w:r>
          </w:p>
        </w:tc>
        <w:tc>
          <w:tcPr>
            <w:tcW w:w="0" w:type="dxa"/>
            <w:vAlign w:val="bottom"/>
          </w:tcPr>
          <w:p>
            <w:pPr>
              <w:spacing w:after="0"/>
              <w:rPr>
                <w:sz w:val="1"/>
                <w:szCs w:val="1"/>
                <w:color w:val="auto"/>
              </w:rPr>
            </w:pPr>
          </w:p>
        </w:tc>
      </w:tr>
      <w:tr>
        <w:trPr>
          <w:trHeight w:val="22"/>
        </w:trPr>
        <w:tc>
          <w:tcPr>
            <w:tcW w:w="43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Components of expense</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3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Service cost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22"/>
                <w:szCs w:val="22"/>
                <w:color w:val="auto"/>
              </w:rPr>
            </w:pPr>
          </w:p>
        </w:tc>
        <w:tc>
          <w:tcPr>
            <w:tcW w:w="520" w:type="dxa"/>
            <w:vAlign w:val="bottom"/>
          </w:tcPr>
          <w:p>
            <w:pPr>
              <w:jc w:val="right"/>
              <w:ind w:right="59"/>
              <w:spacing w:after="0"/>
              <w:rPr>
                <w:sz w:val="20"/>
                <w:szCs w:val="20"/>
                <w:color w:val="auto"/>
              </w:rPr>
            </w:pPr>
            <w:r>
              <w:rPr>
                <w:rFonts w:ascii="Arial" w:cs="Arial" w:eastAsia="Arial" w:hAnsi="Arial"/>
                <w:sz w:val="13"/>
                <w:szCs w:val="13"/>
                <w:color w:val="auto"/>
              </w:rPr>
              <w:t>2,754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763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79"/>
              <w:spacing w:after="0"/>
              <w:rPr>
                <w:sz w:val="20"/>
                <w:szCs w:val="20"/>
                <w:color w:val="auto"/>
              </w:rPr>
            </w:pPr>
            <w:r>
              <w:rPr>
                <w:rFonts w:ascii="Arial" w:cs="Arial" w:eastAsia="Arial" w:hAnsi="Arial"/>
                <w:sz w:val="13"/>
                <w:szCs w:val="13"/>
                <w:color w:val="auto"/>
              </w:rPr>
              <w:t>3,060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1,031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59"/>
              <w:spacing w:after="0"/>
              <w:rPr>
                <w:sz w:val="20"/>
                <w:szCs w:val="20"/>
                <w:color w:val="auto"/>
              </w:rPr>
            </w:pPr>
            <w:r>
              <w:rPr>
                <w:rFonts w:ascii="Arial" w:cs="Arial" w:eastAsia="Arial" w:hAnsi="Arial"/>
                <w:sz w:val="13"/>
                <w:szCs w:val="13"/>
                <w:color w:val="auto"/>
              </w:rPr>
              <w:t>2,837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1,010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return on plan assets</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(3,896)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(3,914)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(3,562)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Amortization of prior service cost (credit)</w:t>
            </w:r>
          </w:p>
        </w:tc>
        <w:tc>
          <w:tcPr>
            <w:tcW w:w="1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net actuarial (gains) losses</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3"/>
                <w:szCs w:val="13"/>
                <w:color w:val="auto"/>
              </w:rPr>
              <w:t>Curtailments, settlements and other(a)</w:t>
            </w:r>
          </w:p>
        </w:tc>
        <w:tc>
          <w:tcPr>
            <w:tcW w:w="16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42"/>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periodic pension and OPEB (income) expense</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(732)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9"/>
              </w:rPr>
              <w:t>Weighted-average assumptions used to determine benefit obligations</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Discount rate</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Rate of compensation increase(b)</w:t>
            </w:r>
          </w:p>
        </w:tc>
        <w:tc>
          <w:tcPr>
            <w:tcW w:w="16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Weighted-average assumptions used to determine net expense</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Discount rate</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rate of return on plan assets</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51"/>
        </w:trPr>
        <w:tc>
          <w:tcPr>
            <w:tcW w:w="4360" w:type="dxa"/>
            <w:vAlign w:val="bottom"/>
          </w:tcPr>
          <w:p>
            <w:pPr>
              <w:ind w:left="40"/>
              <w:spacing w:after="0"/>
              <w:rPr>
                <w:sz w:val="20"/>
                <w:szCs w:val="20"/>
                <w:color w:val="auto"/>
              </w:rPr>
            </w:pPr>
            <w:r>
              <w:rPr>
                <w:rFonts w:ascii="Arial" w:cs="Arial" w:eastAsia="Arial" w:hAnsi="Arial"/>
                <w:sz w:val="13"/>
                <w:szCs w:val="13"/>
                <w:color w:val="auto"/>
              </w:rPr>
              <w:t>Rate of compensation increase(b)</w:t>
            </w:r>
          </w:p>
        </w:tc>
        <w:tc>
          <w:tcPr>
            <w:tcW w:w="16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182"/>
        </w:trPr>
        <w:tc>
          <w:tcPr>
            <w:tcW w:w="4360" w:type="dxa"/>
            <w:vAlign w:val="bottom"/>
          </w:tcPr>
          <w:p>
            <w:pPr>
              <w:spacing w:after="0"/>
              <w:rPr>
                <w:sz w:val="20"/>
                <w:szCs w:val="20"/>
                <w:color w:val="auto"/>
              </w:rPr>
            </w:pPr>
            <w:r>
              <w:rPr>
                <w:rFonts w:ascii="Arial" w:cs="Arial" w:eastAsia="Arial" w:hAnsi="Arial"/>
                <w:sz w:val="14"/>
                <w:szCs w:val="14"/>
                <w:color w:val="auto"/>
              </w:rPr>
              <w:t>_________</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8"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curtailment charges recorded in the year ended December 31, 2015 were due primarily to the GM Canada hourly pension plan that was remeasured as a result of a voluntary separation program.</w:t>
      </w:r>
    </w:p>
    <w:p>
      <w:pPr>
        <w:ind w:left="34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a result of ceasing the accrual of additional benefits for salaried plan participants, the rate of compensation increase does not have a significant effect on our U.S. pension and OPEB plans.</w:t>
      </w:r>
    </w:p>
    <w:p>
      <w:pPr>
        <w:spacing w:after="0" w:line="15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U.S. pension plan service cost includes administrative expenses of $134 million, $133 million and $97 million in the years ended December 31, 2015, 2014 and 2013. Weighted-average assumptions used to determine net expense are determined at the beginning of the period and updated for remeasurements. Non-U.S. pension plan administrative expenses included in service cost were insignificant in the years ended December 31, 2015, 2014 and 2013.</w:t>
      </w:r>
    </w:p>
    <w:p>
      <w:pPr>
        <w:spacing w:after="0" w:line="14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Estimated amounts to be amortized from Accumulated other comprehensive loss into net periodic benefit cost in the year ending December 31, 2016 based on December 31, 2015 plan measurements are $172 million, consisting primarily of amortization of the net actuarial loss in the non-U.S. pension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Strategies and Long-Term Rate of Return</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Detailed periodic studies are conducted by our internal asset management group and outside actuaries and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long-term return on plan asset assumptions are determined based on long-term prospective rates of return.</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41"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Derivatives may be used to provide cost effective solutions for rebalancing investment portfolios, increasing or decreasing exposure to various asset classes and for mitigating risks, primarily interest rate and currency risks. Equity and fixed income managers are permitted to utilize derivatives as efficient substitutes for traditional physical securities. Interest rate derivatives may be used to adjust portfolio duration to align with a plan's targeted investment policy. Alternative investment managers are permitted to employ leverage, including through the use of derivatives, which may alter economic exposure.</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December 2015 an investment policy study was completed for the U.S. pension plans. The study resulted in new target asset allocations being approved for the U.S. pension plans with resulting changes to the expected long-term rate of return on assets. The weighted-average long-term rate of return on assets decreased from 6.4% at December 31, 2014 to 6.3% at December 31, 2015. The expected long-term rate of return on plan assets used in determining pension expense for non-U.S. plans is determined in a similar manner to the U.S. plans.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Target Allocation Percentages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target allocations by asset category for U.S. and non-U.S. defined benefit pension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87"/>
              </w:rPr>
              <w:t>U.S.</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4870"/>
              <w:spacing w:after="0"/>
              <w:rPr>
                <w:sz w:val="20"/>
                <w:szCs w:val="20"/>
                <w:color w:val="auto"/>
              </w:rPr>
            </w:pPr>
            <w:r>
              <w:rPr>
                <w:rFonts w:ascii="Arial" w:cs="Arial" w:eastAsia="Arial" w:hAnsi="Arial"/>
                <w:sz w:val="18"/>
                <w:szCs w:val="18"/>
                <w:color w:val="auto"/>
                <w:w w:val="87"/>
              </w:rPr>
              <w:t>__________</w:t>
            </w: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Primarily includes private equity, real estate and absolute return strategies which mainly consist of hedge funds.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Fair Value Measurements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fair value of U.S. and non-U.S. defined benefit pension plan assets by asset class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U.S. Pension Plan Assets</w:t>
            </w: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7,637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7,663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10,033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10,066</w:t>
            </w:r>
          </w:p>
        </w:tc>
        <w:tc>
          <w:tcPr>
            <w:tcW w:w="0" w:type="dxa"/>
            <w:vAlign w:val="bottom"/>
          </w:tcPr>
          <w:p>
            <w:pPr>
              <w:spacing w:after="0"/>
              <w:rPr>
                <w:sz w:val="1"/>
                <w:szCs w:val="1"/>
                <w:color w:val="auto"/>
              </w:rPr>
            </w:pPr>
          </w:p>
        </w:tc>
      </w:tr>
      <w:tr>
        <w:trPr>
          <w:trHeight w:val="266"/>
        </w:trPr>
        <w:tc>
          <w:tcPr>
            <w:tcW w:w="436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14,318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14,318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16,143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16,143</w:t>
            </w:r>
          </w:p>
        </w:tc>
        <w:tc>
          <w:tcPr>
            <w:tcW w:w="0" w:type="dxa"/>
            <w:vAlign w:val="bottom"/>
          </w:tcPr>
          <w:p>
            <w:pPr>
              <w:spacing w:after="0"/>
              <w:rPr>
                <w:sz w:val="1"/>
                <w:szCs w:val="1"/>
                <w:color w:val="auto"/>
              </w:rPr>
            </w:pPr>
          </w:p>
        </w:tc>
      </w:tr>
      <w:tr>
        <w:trPr>
          <w:trHeight w:val="274"/>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22,963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22,964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22,725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22,808</w:t>
            </w:r>
          </w:p>
        </w:tc>
        <w:tc>
          <w:tcPr>
            <w:tcW w:w="0" w:type="dxa"/>
            <w:vAlign w:val="bottom"/>
          </w:tcPr>
          <w:p>
            <w:pPr>
              <w:spacing w:after="0"/>
              <w:rPr>
                <w:sz w:val="1"/>
                <w:szCs w:val="1"/>
                <w:color w:val="auto"/>
              </w:rPr>
            </w:pPr>
          </w:p>
        </w:tc>
      </w:tr>
      <w:tr>
        <w:trPr>
          <w:trHeight w:val="266"/>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466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472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1,068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662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1,193</w:t>
            </w:r>
          </w:p>
        </w:tc>
        <w:tc>
          <w:tcPr>
            <w:tcW w:w="0" w:type="dxa"/>
            <w:vAlign w:val="bottom"/>
          </w:tcPr>
          <w:p>
            <w:pPr>
              <w:spacing w:after="0"/>
              <w:rPr>
                <w:sz w:val="1"/>
                <w:szCs w:val="1"/>
                <w:color w:val="auto"/>
              </w:rPr>
            </w:pPr>
          </w:p>
        </w:tc>
      </w:tr>
      <w:tr>
        <w:trPr>
          <w:trHeight w:val="241"/>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8,103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37,429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481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46,013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10,695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38,718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50,210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3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6,321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6,172</w:t>
            </w:r>
          </w:p>
        </w:tc>
        <w:tc>
          <w:tcPr>
            <w:tcW w:w="0" w:type="dxa"/>
            <w:vAlign w:val="bottom"/>
          </w:tcPr>
          <w:p>
            <w:pPr>
              <w:spacing w:after="0"/>
              <w:rPr>
                <w:sz w:val="1"/>
                <w:szCs w:val="1"/>
                <w:color w:val="auto"/>
              </w:rPr>
            </w:pPr>
          </w:p>
        </w:tc>
      </w:tr>
      <w:tr>
        <w:trPr>
          <w:trHeight w:val="266"/>
        </w:trPr>
        <w:tc>
          <w:tcPr>
            <w:tcW w:w="436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4,529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5,347</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3,828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3,525</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14,678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15,044</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net(b)</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381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241"/>
        </w:trPr>
        <w:tc>
          <w:tcPr>
            <w:tcW w:w="436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61,072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65,823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Non-U.S. Pension Plan Assets</w:t>
            </w: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1,962</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3,258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3,258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3,614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3,614</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1,953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1,986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1,986</w:t>
            </w: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642</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736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726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910</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5,259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644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7,029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5,649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8,472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4,440</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529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509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1,262</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6,099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6,211</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(liabilities), net(b)</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41"/>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14,669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U.S. and sovereign government issues.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Cash held by the plans, net of amounts receivable/payable for unsettled security transactions and payables for investment manager fees, custody fees and other expenses.</w:t>
      </w:r>
    </w:p>
    <w:p>
      <w:pPr>
        <w:spacing w:after="0" w:line="22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activity attributable to U.S. and non-U.S. Level 3 defined benefit pension plan investments was insignificant in the years ended December 31, 2015 and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Alternative Investment Strategies</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Investment funds consist primarily of funds of hedge funds, equity funds and fixed income funds. Funds of 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markets countries. Fixed 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178"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Real estate investments include funds that invest in entities which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Significant Concentrations of Risk</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assets of the pension plans include certain investment funds, private equity and debt investments and real estate 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66"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41"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Funding Requirements</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Based on our current assumptions, we expect no significant mandatory contributions to our U.S. qualified pension plans for the next five years; however, we expect mandatory contributions totaling $2.1 billion to our Canada and United Kingdom pension plans over the next five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Benefits for most U.S. pension plans and certain non-U.S. pension plans are paid out of plan assets rather than our Cash and cash equivalents. The following table summarizes net benefit payments expected to be paid in the future, which include assumptions related to estimated future employee service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Other Benefits</w:t>
            </w:r>
          </w:p>
        </w:tc>
      </w:tr>
      <w:tr>
        <w:trPr>
          <w:trHeight w:val="264"/>
        </w:trPr>
        <w:tc>
          <w:tcPr>
            <w:tcW w:w="7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Non-U.S. Plans</w:t>
            </w:r>
          </w:p>
        </w:tc>
        <w:tc>
          <w:tcPr>
            <w:tcW w:w="16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Global Plans</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376</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2021 - 2025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22,874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1,745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At December 31, 2015 and 2014 our derivative instruments consisted primarily of options and forward contracts primarily related to foreign currency. We had derivative instruments in asset positions with notional amounts of $7.2 billion and $8.8 billion and liability positions with notional amounts of $264 million and $953 million at December 31, 2015 and 2014. The fair value of these derivative instruments was insignificant. In 2015 we designated certain foreign currency forward contracts as cash flow hedges. The notional amounts of these designated instruments were insignificant at December 31,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had interest rate swaps and caps and foreign currency swaps in asset positions with notional amounts of $11.9 billion and $5.4 billion and liability positions with notional amounts of $13.9 billion and $8.5 billion at December 31, 2015 and 2014. The fair value of these derivative financial instruments was insignificant. In 2015 GM Financial designated certain interest rate swaps as fair value hedges of fixed rate debt with notional amounts of $1.0 billion at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related to the liabilities recorded for Commitments and contingencies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4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liability and tax administrative matters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Product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732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Ignition Switch Recall compensation program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Credit card programs(a)</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Redemption liability – recorded in 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Deferred revenue – recorded in 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263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Guarantees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340" w:right="20" w:hanging="332"/>
        <w:spacing w:after="0" w:line="26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Credit card programs offer rebates that can be applied primarily against the purchase or lease of our vehicles. At December 31, 2015 and 2014 qualified cardholders had rebates available, net of deferred program revenue, of $2.0 billion and $2.3 billion.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Litigation-Related Liability and Tax Administrative Matters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normal course of business we are named, from time to time, as a defendant in various legal actions, including arbitrations, class actions and other litigation, that arise in connection with our business as a global company. We identify below the material individual proceedings and investigatory activity in connection with which we believe a material loss is reasonably possible or probable.</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With regard to the various legal matters we have established reserves for matters for which we believe that losses are probable and can be reasonably estimated. In many proceedings, however, it is inherently difficult to determine whether any loss is probable or even reasonably possible or to estimate the size or range of the possible loss. Accordingly it is possible that an adverse outcome from such proceedings could exceed the amounts accrued in an amount that could be material to our consolidated financial position, results of operations or cash flows in any particular reporting period. Reserves for losses deemed probable and reasonably estimable are recorded in Accrued liabilities and Other liabilities.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and Other Recalls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2014 we announced various recalls relating to safety, customer satisfaction and other 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81"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Through January 27, 2016 we were aware of 100 putative class actions pending against GM in various federal and state trial courts in the U.S. alleging that consumers who purchased or leased vehicles manufactured by GM or General Motors Corporation had been economically harmed by one or more of the recalls announced in 2014 and/or the underlying vehicle conditions associated with those recalls (economic-loss cases). Additionally through January 27, 2016 we were aware of 21 putative class actions pending in various Provincial Courts in Canada seeking relief similar to that sought in the economic-loss cases in the U.S. In the aggregate these economic-loss cases seek recovery for purported compensatory damages, such as alleged diminution in value of the vehicles, as well as punitive damages, injunctive relief and other relief. There are also two civil actions brought by state governmental entities relating to the 2014 recalls that seek injunctive relief as well as economic damages and attorneys' fees for alleged violations of state consumer protection statutes.</w:t>
      </w:r>
    </w:p>
    <w:p>
      <w:pPr>
        <w:spacing w:after="0" w:line="16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Through January 27, 2016 we were aware of 235 actions pending in various federal and state trial courts in the U.S. against GM alleging injury or death as a result of defects that may be the subject of recalls announced in 2014 (personal injury cases). Additionally through January 27, 2016 we were aware of nine actions pending in various Provincial Courts in Canada seeking relief similar to that sought in the personal injury cases in the U.S. In general, these personal injury cases seek recovery for purported compensatory damages, punitive damages and other relief.</w:t>
      </w:r>
    </w:p>
    <w:p>
      <w:pPr>
        <w:spacing w:after="0" w:line="171"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Since June 2014 the United States Judicial Panel on Multidistrict Litigation (JPML) has issued orders from time to time directing that certain pending economic-loss and personal injury federal lawsuits involving faulty or allegedly faulty ignition switches or other defects that may be related to the recalls announced in the year ended December 31, 2014 be transferred to, and consolidated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 single federal court, the Southern District of New York (the multidistrict litigation). Through January 27, 2016 the JPML has transferred 262 pending cases to, and consolidated them with, the multidistrict litigation. At the court's suggestion, the parties to the multidistrict litigation engage from time to time in discussions of possible mechanisms to resolve pending litigation. As described below, on September 17, 2015 we announced that we had reached a memorandum of understanding with certain personal injury claimants regarding possible settlement of their claims.</w:t>
      </w:r>
    </w:p>
    <w:p>
      <w:pPr>
        <w:spacing w:after="0" w:line="17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Because many plaintiffs in the actions described in the above paragraphs are suing over the conduct of General Motors Corporation or vehicles manufactured by that entity for liabilities not expressly assumed by GM, we moved to enforce the terms of the July 2009 Sale Order and Injunction issued by the United States Bankruptcy Court for the Southern District of New York (Bankruptcy Court) to preclude claims from being asserted against us for, among other things, personal injuries based on pre-sale accidents, any economic-loss claims based on acts or conduct of General Motors Corporation and claims asserting successor liability for obligations owed by General Motors Corporation (successor liability claims). On April 15, 2015 the Bankruptcy Court issued a Decision precluding claims against us based upon pre-sale accidents, claims based upon the acts or conduct by General Motors Corporation and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 Plaintiffs have appealed the Bankruptcy Court’s decision and we have cross appealed with respect to certain issues to preserve our rights. The United States Court of Appeals for the Second Circuit (Second Circuit) has accepted a direct appeal of the matter and the parties have briefed the appeal pursuant to an expedited schedule set by the Second Circuit. Oral argument is scheduled for March 15, 2016. In addition on December 4, 2015 the Bankruptcy Court issued a judgment regarding certain issues left unresolved by the April 15, 2015 decision including the extent to which punitive damages could be asserted against GM based on claims involving vehicles manufactured by General Motors Corporation. Various groups of plaintiffs have appealed that decision to the district court overseeing the multidistrict litigation.</w:t>
      </w:r>
    </w:p>
    <w:p>
      <w:pPr>
        <w:spacing w:after="0" w:line="17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putative shareholder class action filed in the United States District Court for the Eastern District of Michigan (Shareholder Class Action), the court appointed the New York State Teachers’ Retirement System as the lead plaintiff. On January 15, 2015 the New York State Teachers’ Retirement System filed a Consolidated Class Action Complaint against GM and several current and former officers and employees (Defendants) on behalf of purchasers of our common stock from November 17, 2010 to July 24, 2014. The Consolidated Class Action Complaint alleges that Defendants made material misstatements and omissions relating to problems with the ignition switch and other matters in SEC filings and other public statements. On September 17, 2015 we announced that we had entered into a binding term sheet regarding settlement of this matter. On November 20, 2015 the district court granted its preliminary approval of the settlement and has scheduled a final settlement fairness hearing for April 20, 2016.</w:t>
      </w:r>
    </w:p>
    <w:p>
      <w:pPr>
        <w:spacing w:after="0" w:line="17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With regard to the shareholder derivative actions, the two shareholder derivative actions pending in the United States District Court for the Eastern District of Michigan have been consolidated and all proceedings, including those related to the motion to dismiss we filed in that court in October 2014, remain suspended pending disposition of the parallel action being litigated in Delaware Chancery Court. With regard to that pending litigation in Delaware Chancery Court, the four shareholder derivative actions pending in that court were consolidated and plaintiffs filed an amended consolidated complaint on October 13, 2014. On June 26, 2015 the Delaware Chancery Court granted our motion to dismiss the amended consolidated complaint. Plaintiffs have appealed that decision to the Delaware Supreme Court, which has set oral argument for February 10, 2016. With regard to the two derivative actions filed in the Circuit Court of Wayne County, Michigan, those actions have been consolidated and remain stayed pending disposition of the federal derivative actions.</w:t>
      </w:r>
    </w:p>
    <w:p>
      <w:pPr>
        <w:spacing w:after="0" w:line="16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connection with the 2014 recalls, various investigations, inquiries and complaints have been received from the United States Attorney’s Office for the Southern District of New York (the Office), Congress, the SEC, Transport Canada and 50 state attorneys general. In connection with the foregoing we have received subpoenas and requests for additional information and we have participated in discussions with various governmental authorities. On June 3, 2015 we received notice of an investigation by the Federal Trade Commission concerning certified pre-owned vehicle advertising where dealers had certified vehicles that allegedly needed recall repairs. We believe we are cooperating fully with all requests for information in ongoing investigations. Such matters could in the future result in the imposition of material damages, fines, civil consent orders, civil and criminal penalties or other remedies.</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described more specifically below, substantial activity took place during the six months ended December 31, 2015 that resulted in total or partial resolution of several matters including the recognition of additional liabilities for such matters.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First, with regard to the investigation by the Office, without prior notice, the Office approached us during the three months ended September 30, 2015 with a specific proposal. We accepted the proposal on September 16, 2015 and entered into the DPA with the Office regarding its investigation of the events leading up to certain recalls regarding faulty ignition switches announced in February and March 2014. Under the DPA we consented to the filing of a two-count information (the Information) in the U.S. District Court for the Southern District of New York (the Court) charging GM with: (1) a scheme to conceal material facts from a government regulator, in violation of Title 18, United States Code, Section 1001; and (2) wire fraud, in violation of Title 18, United States Code, Section 1343. We have pled not guilty to the charges alleged in the Information. Under the DPA we agreed to pay the United States $900 million as a financial penalty. Prior to the three months ended September 30, 2015 there had been little to no discussions concerning potential resolution of the matter such that no possible range of potential liability could be determined. Payment was made in the three months ended September 30, 2015.</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Pursuant to the DPA, the Office agreed to recommend to the Court that prosecution of GM on the Information be deferred for three years. The Office also agreed that if we are in compliance with all of our obligations under the DPA, the Office will, within 30 days after the expiration of the period of deferral (including any extensions thereto), seek dismissal with prejudice of the Information filed against GM. The DPA further provides that, in the event the Office determines during the period of deferral of prosecution (or any extensions thereof) that we have violated any provision of the DPA, the Office may, in its discretion, either prosecute GM on the charges alleged in the Information or impose an extension of the period of deferral of prosecution of up to one additional year, but in no event will the total term of the deferral-of-prosecution period under the DPA exceed four years.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DPA, we also agreed to retain an independent monitor (the Monitor) to review and assess our policies, practices or procedures related to statements about motor vehicle safety, the provision of information to those responsible for recall decisions, recall processes and addressing known defects in certified pre-owned vehicles. The Monitor’s authority will extend for a period of three years. The Office has the authority to lengthen the Monitor’s term for up to one year if the Office determines we have violated the DPA. Likewise, the Office may shorten the Monitor’s term if the Office determines that a monitor is no longer necessary. We are required to pay the compensation and expenses of the Monitor and of the persons hired under his or her authority. The Monitor commenced his term in October 2015.</w:t>
      </w:r>
    </w:p>
    <w:p>
      <w:pPr>
        <w:spacing w:after="0" w:line="19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Second, with regard to the Shareholder Class Action described previously, prior to the three months ended September 30, 2015 there had been no discussions concerning potential resolution of the matter such that no possible range of potential liability could be determined. During the three months ended September 30, 2015 the parties both commenced and reached a proposed settlement of the lawsuit. On September 17, 2015 we announced we had entered into a binding term sheet for the settlement of the Shareholder Class Action described above for $300 million. The court entered preliminary approval of the settlement on November 20, 2015 and has set a final settlement fairness hearing for April 20, 2016.</w:t>
      </w:r>
    </w:p>
    <w:p>
      <w:pPr>
        <w:spacing w:after="0" w:line="173"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Third, in the three months ended September 30, 2015 GM and attorneys representing certain personal injury claimants in the multidistrict litigation engaged in substantive settlement discussions in which an agreement was reached as to both material financial and non-financial terms. On September 17, 2015 we announced we had reached a memorandum of understanding regarding a $275 million settlement that could potentially cover approximately 1,400 personal injury claimants who have lawsuits pending in the multidistrict litigation or who have otherwise asserted claims related to the Ignition Switch Recall or certain other recalls announced in 2014. Prior to the three months ended September 30, 2015 the parties had a substantial gap in their respective positions on financial issues such that no possible range of potential liability could be determined pursuant to the applicable accounting standard. Further, prior to the three months ended September 30, 2015 the parties had also either not engaged in meaningful discussions concerning material non-financial issues necessary for any agreement or had opposing positions on these issues. In December 2015 the court overseeing the multidistrict litigation established a qualified settlement fund and appointed a special master to administer certain facets of the settlement pursuant to the terms of the memorandum of understanding. The special master commenced his work in the three months ended December 31, 2015 and his work continues.</w:t>
      </w:r>
    </w:p>
    <w:p>
      <w:pPr>
        <w:spacing w:after="0" w:line="16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three months ended September 30, 2015 we recorded charges of approximately $1.5 billion in Automotive selling, general and administrative expense in Corporate as a result of the DPA financial penalty and the settlements of the Shareholder Class Action and the multidistrict litigation and other litigation associated with the ignition switch recalls described previously. These charges were treated as adjustments for EBIT-adjusted reporting purposes.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it is probable that we will incur additional liabilities with regard to at least a portion of the remaining investigations, claims, and/or litigation relating to the ignition switch recalls and other related recalls, whether through settlement or judgment. With regard to pending personal injury claims, we have concluded from our analysis of available information that an additional $90 million in liability is probable beyond what has already been accrued. The related charges were recorded in Automotive selling,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 in Corporate and treated as adjustments for EBIT-adjusted reporting purposes in the three months ended December 31, 2015. The total amount accrued at December 31, 2015 represents a combination of our best estimates and, where no such estimate is determinable, our estimate of the low end of the range of probable loss with regard to such claims. The ultimate resolution of these remaining investigations, claims and/or litigation could have a material adverse effect on our financial position, results of operations or cash flows.</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 xml:space="preserve">In January 2016 the first of several “bellwether” trials, </w:t>
      </w:r>
      <w:r>
        <w:rPr>
          <w:rFonts w:ascii="Arial" w:cs="Arial" w:eastAsia="Arial" w:hAnsi="Arial"/>
          <w:sz w:val="18"/>
          <w:szCs w:val="18"/>
          <w:i w:val="1"/>
          <w:iCs w:val="1"/>
          <w:color w:val="auto"/>
        </w:rPr>
        <w:t>Scheuer v. General Motors, LLC</w:t>
      </w:r>
      <w:r>
        <w:rPr>
          <w:rFonts w:ascii="Arial" w:cs="Arial" w:eastAsia="Arial" w:hAnsi="Arial"/>
          <w:sz w:val="18"/>
          <w:szCs w:val="18"/>
          <w:color w:val="auto"/>
        </w:rPr>
        <w:t>, took place in the multidistrict litigation associated with the ignition switch recalls. On January 22, 2016 a Stipulation of Dismissal was filed by which plaintiff voluntarily dismissed his lawsuit with prejudice. No payment was made to plaintiff. Each bellwether trial will be tried on its facts and the result of any subsequent bellwether trial may be different from this first bellwether trial. Further, this first bellwether trial does not allow us to estimate the possible loss associated with the resolution of the multidistrict litigation. The second bellwether trial is expected to commence in March 2016.</w:t>
      </w:r>
    </w:p>
    <w:p>
      <w:pPr>
        <w:spacing w:after="0" w:line="18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The uncertainties referenced above include the legal theory or the nature of the claims, the complexity of the facts, the results of any investigation or litigation, and the timing of resolution of the investigations or litigation. For example, the appeal from the Bankruptcy Court’s April 2015 decision is currently pending before the Second Circuit (discussed previously), as is the appeal to the district court overseeing the multidistrict litigation from the Bankruptcy Court's December 2015 judgment. The resolution of these appeals could have a substantial impact on the potential liability of GM for acts or conduct of General Motors Corporation and what claims plaintiffs may pursue against GM in the multidistrict litigation and other courts. Further, there have been little or no discussions to date concerning any potential resolution of the SEC investigation, the state attorneys general’s investigations, the various claims for economic loss, or the claims concerning death or personal injury not covered by the memorandum of understanding, discussed previously. We will continue to consider potential resolution of open matters involving ignition switch recalls and other recalls where it makes sense to do so.</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Canada Dealers' Claim</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GM Canada on behalf of a purported class of over 200 former GM Canada dealers (the Plaintiff Dealers) which had entered into wind-down agreements with GM Canada. In May 2009 in the context of the global restructuring of the business and the possibility that GM Canada might be required to initiate insolvency proceedings, GM Canada offered the Plaintiff Dealers the wind-down agreements to assist with their exit from the GM Canada dealer network and to facilitate winding down their operations in an orderly fashion by December 31, 2009 or such other date as GM Canada approved but no later than on October 31, 2010. The Plaintiff Dealers allege that the Dealer Sales and Service Agreements were wrongly terminated by GM Canada and that GM Canada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 Canada breached its obligation of "good faith" in offering the wind-down agreements; (2) whether GM Canada interfered with the Plaintiff Dealers' rights of free association; (3) whether GM Canada was obligated to provide a disclosure statement and/or disclose more specific information regarding its restructuring plans in connection with proffering the wind-down agreements; and (4) whether the Plaintiff Dealers can recover damages in the aggregate (as opposed to proving individual damages). A number of former dealers opted out of participation in the litigation, leaving 181 dealers in the certified class. Trial of the class issues was completed in the three months ended December 31, 2014. On July 8, 2015 the Ontario Superior Court dismissed the Plaintiff Dealers’ claim against GM Canada, holding that GM Canada did not breach any common law or statutory obligations toward the class members. The court also dismissed GM Canada’s counterclaim against the Plaintiff Dealers for repayment of the wind-down payments made to them by GM Canada as well as for other relief. All parties have filed notices of appeal. We anticipate that the appeal will be heard in the year ending December 31, 2016.</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that was contrary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that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On May 29, 2014 the Supreme Court rendered its decision with respect to the case involving the five GM Korea hourly employees and remanded the case to the Seoul High Court consistent with its December 2013 ruling. This case was decided by the Seoul High Court on October 30, 2015 in GM Korea's favor. Plaintiffs appealed to the Supreme Court. In July 2014 GM Korea and its labor union also agreed to include bonuses and certain allowances in Ordinary Wages retroactive to March 1, 2014. Therefore our accrual related to these cases was reclassified from a contingent liability to the Pensions liability. We estimate our reasonably possible loss in excess of amounts accrued to be 585 billion South Korean Won (equivalent to $499 million) at December 31, 2015, which relates to periods before March 1, 2014. We are also party to litigation with current and former salaried employees over allegations relating to Ordinary Wages regulation. On November 26 and 27, 2015 the Supreme Court remanded two salary cases to the Seoul High Court for a review of the merits. At December 31, 2015 we identified a reasonably possible loss for salary cases in excess of the amounts accrued to be 174 billion South Korean Won (equivalent to $148 million). Both the scope of claims asserted and GM Korea's assessment of any or all of the individual claim elements may change if new information becomes available. These cases are currently pending before various courts in Korea.</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Subpoena</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In July 2014 GM Financial was served with a subpoena by the U.S. Department of Justice directing GM Financial to produce certain documents relating to the origination and securitization of sub-prime automobile loans by GM Financial and its subsidiaries and affiliates since 2007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loans and the representations and warranties relating to those underwriting criteria that were made in connection with the securitization of the automobile loans. GM Financial was subsequently served with additional investigative subpoenas from state attorneys general and other governmental offices to produce documents relating to its retail automobile loan business and securitization of automobile loans. In October 2014 GM Financial received a document request from the SEC in connection with its investigation into certain practices in sub-prime automobile loan securitization. GM Financial is investigating these matters internally and believes it is cooperating with all requests. These investigations are ongoing and could in the future result in the imposition of damages, fines or civil or criminal claims and/or penalties. No assurance can be given that the ultimate outcome of the investigations or any resulting proceedings would not materially and adversely affect GM Financial or any of its subsidiaries and affiliates.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Litigation-Related Liability and Tax Administrative Matters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Various other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government regulations relating to payments to foreign companies; tax-related matters not subject to the provision of ASC 740, "Income Taxes" (indirect tax-related matters); and environmental matters.</w:t>
      </w:r>
    </w:p>
    <w:p>
      <w:pPr>
        <w:spacing w:after="0" w:line="171"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$400 million to $600 million. Some of the matters may involve compensatory, punitive or other treble damage claims, environmental remediation programs or sanctions that, if granted, could require us to pay damages or make other expenditures in amounts that could not be reasonably estimated at December 31, 2015. We believe that appropriate accruals have been established for losses that are probable and can be reasonably estimated. For indirect tax matters we estimate our reasonably possible loss in excess of amounts accrued to be up to approximately $850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4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With respect to product liability claims, other than claims relating to the ignition switch recalls discussed above, involving our and General 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Liabilities have been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Ignition Switch Recall Compensation Program</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three months ended June 30, 2014 we created a compensation program (the Program) for accident victims who died or suffered physical injury (or for their families) as a result of a faulty ignition switch related to the 2.6 million vehicles recalled in the three months ended March 31, 2014. The Program is being administered by an independent program administrator, who established a protocol that defined the eligibility requirements to participate in the Program. The Program accepted claims from August 1, 2014 through January 31, 2015 and received a total of 4,343 claims. The Program completed its claims review process in the three months ended September 30, 2015 and the independent program administrator determined that 399 claims were eligible for payment under the Program. Payments to eligible claimants began in the three months ended December 31, 2014 and will continue through the first quarter of 2016. At January 29, 2016 we had paid 345 eligible claimants $554 million out of the 362 claimants who accepted offers under the Program. The other 37 accident victims (or their families) chose not to participate in the Program and could pursue litigation against us. Accident victims (or their families) that accept a payment under the Program agree to settle all claims against GM related to the accident.</w:t>
      </w:r>
    </w:p>
    <w:p>
      <w:pPr>
        <w:spacing w:after="0" w:line="18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recorded a charge of $400 million in the year ended December 31, 2014 and based on the Program's claims experience we recorded an additional $195 million in the year ended December 31, 2015. These charges were recorded in Automotive selling, general and administrative expense in Corporate and were treated as adjustments for EBIT-adjusted reporting purposes. Based on currently available information we believe our accrual at December 31, 2015 is adequate to cover the estimated costs under the Program. The following table summarizes the activity for the Program since its inception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Activity</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400</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Automotive operations, like operations of other companies engaged in similar businesses, are subject to a wide range of environmental protection laws, including laws regulating air emissions, water discharges, waste management and environmental remediation. Liabilities have been recorded primarily in Other liabilities for the expected costs to be paid over the periods of remediation for the applicable sites, which typically range from five to 30 years.</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December 31, 2015 we estimate the remediation losses could range from $100 million to $210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enter into indemnification agreements for liability claims involving products manufactured primarily by certain joint ventures. We also provide vehicle repurchase guarantees and payment guarantees on commercial loans outstanding with third parties such as dealers. These guarantees terminate in years ranging from 2016 to 2030 or upon the occurrence of specific events or are ongoing and we believe that the related potential costs incurred are adequately covered by recorded accruals. The maximum liability for these guarantees was $2.6 billion and $2.7 billion at December 31, 2015 and 2014, calculated as future undiscounted payments.</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 Excise Tax Incentive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program that requires participating companies to meet certain criteria, such as local investment and fuel efficiency standards. Participating companies that fail to meet the required criteria are subject to clawback provisions and fines. At December 31, 2015 we believe it is reasonably assured that the program requirements will be met.</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Korea Fuel Economy Certification</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2014 we determined the certified fuel economy ratings on our Cruze 1.8L gasoline vehicles sold in Korea were incorrect. We retested and recertified the Cruze fuel economy ratings which fell below our prior certification and self-reported this issue to local government authorities. We voluntarily announced a customer compensation program for current and previous Cruze owners and recorded an insignificant charge in the three months ended December 31, 2014. In November 2014 the Korean government released new fuel economy certification guidelines. Since then, in accordance with the new guidelines, we have completed retesting and recertification of the Chevrolet Captiva 2.0L and 2.2L diesel vehicles and the Malibu 2.0L gas, 2.4L gas and 2.0 liquefied petroleum gas vehicles. The Captiva 2.0L diesel was subsequently selected for confirmatory testing by the Korean government and was approved. There are no other domestic models in production to be retested and recertified under the new guidelines.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 Tavera Emissions Compliance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2013 we determined there was an emissions compliance issue with certain Tavera models produced in India. We self-reported this issue in the three months ended September 30, 2013 to local government authorities and are continuing to cooperate. We developed a solution, and while the issue was not safety related, we voluntarily recalled the vehicles to serve our customers. We believe our accrual at December 31, 2015 is adequate to cover the estimated costs of the recalled vehicles.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Noncancelable Operating Leases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our minimum commitments under noncancelable operating leases having initial terms in excess of one year, primarily for property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Thereafter</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commitments(a)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minimum commitments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80" w:type="dxa"/>
            <w:vAlign w:val="bottom"/>
            <w:gridSpan w:val="2"/>
          </w:tcPr>
          <w:p>
            <w:pPr>
              <w:spacing w:after="0"/>
              <w:rPr>
                <w:sz w:val="20"/>
                <w:szCs w:val="20"/>
                <w:color w:val="auto"/>
              </w:rPr>
            </w:pPr>
            <w:r>
              <w:rPr>
                <w:rFonts w:ascii="Arial" w:cs="Arial" w:eastAsia="Arial" w:hAnsi="Arial"/>
                <w:sz w:val="16"/>
                <w:szCs w:val="16"/>
                <w:color w:val="auto"/>
                <w:w w:val="95"/>
              </w:rPr>
              <w:t>(a)  Certain leases contain escalation clauses and renewal or purchase options.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34"/>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Rental expense under operating leases was $357 million, $444 million and $477 million in the years ended December 31, 2015, 2014 and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income before income taxes and equity income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Non-U.S. income (loss)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equity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5,648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Tax Expense (Benefit)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The following table summarizes Income tax expense (benefit) (dollars in millions):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Current income tax expense (benefit)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Total current income tax expense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Provisions are made for estimated U.S. and non-U.S. income taxes, less available tax credits and deductions, which may be incurred on the remittance of our basis differences in investments in foreign subsidiaries and corporate joint ventures not deemed to be indefinitely reinvested. Taxes have not been provided on basis differences in investments primarily as a result of earnings in foreign subsidiaries and corporate joint ventures which are deemed indefinitely reinvested of $2.8 billion and $3.0 billion at December 31, 2015 and 2014. Additional basis differences related to investments in nonconsolidated Automotive China JVs exist of $4.1 billion at December 31, 2015 and 2014 primarily related to fresh-start reporting. Quantification of the deferred tax liability, if any, associated with indefinitely reinvested basis differences is not practicable. The Non-U.S. deferred income tax benefit in the year ended December 31, 2015 relates primarily to the release of valuation allowances in GME.</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a reconciliation of Income tax expense (benefit) compared with the amounts at the U.S. federal statutory income tax rate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U.S. federal statutory income tax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and local tax expense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income taxed at other than 35%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tax on Non-U.S.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tax laws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manufacturing incentives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prior year tax matters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Realization of basis differences in affiliates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remeasurement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Financial penalty under the DPA(a)</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Note 15 for additional information on the DPA.</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 Assets and Liabilities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Deferred income tax assets and liabilities at December 31, 2015 and 2014 reflect the effect of temporary differences between amounts of assets, liabilities and equity for financial reporting purposes and the bases of such assets, liabilities and equity as measured by tax laws, as well as tax loss and tax credit carryforwards. The following table summarizes the components of temporary differences and carryforwards that give rise to deferred tax assets and liabilities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benefits other than pensions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Pension and other employee benefit plans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Warranties, dealer and customer allowances, claims and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Property, plants and equipment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capitalized research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U.S. operating loss and tax credit carryforwards(a)</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operating loss and tax credit carryforwards(b)</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deferred tax assets before valuation allowances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Less: valuation allowances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36,257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6970"/>
              <w:spacing w:after="0"/>
              <w:rPr>
                <w:sz w:val="20"/>
                <w:szCs w:val="20"/>
                <w:color w:val="auto"/>
              </w:rPr>
            </w:pPr>
            <w:r>
              <w:rPr>
                <w:rFonts w:ascii="Arial" w:cs="Arial" w:eastAsia="Arial" w:hAnsi="Arial"/>
                <w:sz w:val="18"/>
                <w:szCs w:val="18"/>
                <w:color w:val="auto"/>
                <w:w w:val="88"/>
              </w:rPr>
              <w:t>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December 31, 2015 U.S. operating loss and tax credit carryforwards of $8.0 billion expire by 2035 if not utilized and the remaining balance of $607 million may be carried forward indefinitely.</w:t>
      </w:r>
    </w:p>
    <w:p>
      <w:pPr>
        <w:ind w:left="340" w:hanging="332"/>
        <w:spacing w:after="0" w:line="25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December 31, 2015 Non-U.S. operating loss and tax credit carryforwards of $1.7 billion expire by 2035 if not utilized and the remaining balance of $4.1 billion may be carried forward indefinitely.</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41"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As a result of business restructuring and improving profitability in certain European businesses evidenced by three years of adjusted cumulative earnings and the completion of our near- and medium-term business plans in the three months ended December 31, 2015 that forecast continuing improvement in profitability, we determined that it was more likely than not that our future earnings will be sufficient to realize the deferred tax assets in these European businesses. Accordingly we reversed $3.9 billion of GME's valuation allowances resulting in an income tax benefit. We retained valuation allowances of $2.5 billion at December 31, 2015 against deferred tax assets in GME which we continue to believe do not meet the more likely than not threshold for releasing the valuation allowance.</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2015 we retained additional valuation allowances against deferred tax assets of $2.5 billion, primarily in South Korea and India business units with cumulative losses in recent years and in the U.S. related to capital loss tax attributes and state loss carryforwards that we do not expect to have the ability to utilize within the carryforward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of the total amounts of unrecognized tax benefits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Additions to current year tax positions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251</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prior years'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Reductions to prior years' tax positions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2,530</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2015 and 2014 there were $896 million and $1.2 billion of unrecognized tax benefits that if recognized would favorably affect our effective tax rate in the future. In the years ended December 31, 2015, 2014 and 2013 income tax related interest and penalties were insignificant. At December 31, 2015 and 2014 we had liabilities of $183 million and $246 million for income tax related interest and penalties.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we remeasured a previously disclosed uncertain tax position and recorded a $473 million tax benefit that increased net operating loss carryforwards, reducing future taxable income.</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2015 it is not possible to reasonably estimate the expected change to the total amount of unrecognized tax benefits in the next twelve months.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Income tax returns are filed in multiple jurisdictions and are subject to examination by taxing authorities throughout the world. We have open tax years from 2005 to 2015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 Given the global nature of our operations there is a risk that transfer pricing disputes may arise.</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net operating loss carryforwards in Germany through November 30, 2009 that, as a result of reorganizations that took place in 2008 and 2009, were not recorded as deferred tax assets. Depending on the outcome of European court decisions these loss carryforwards may be available to reduce future taxable income in Germany.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4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January 2013 the U.S. Congress enacted federal income tax legislation including an extension of the research credit for tax years 2012 and 2013. As a result, in the year ended December 31, 2013 we recorded an income tax benefit related to the 2012 research credit of approximately $200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reserves related to restructuring and other initiatives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GMNA</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GME</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GMIO</w:t>
            </w: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GMSA</w:t>
            </w:r>
          </w:p>
        </w:tc>
        <w:tc>
          <w:tcPr>
            <w:tcW w:w="30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2013(a)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3790"/>
              <w:spacing w:after="0"/>
              <w:rPr>
                <w:sz w:val="20"/>
                <w:szCs w:val="20"/>
                <w:color w:val="auto"/>
              </w:rPr>
            </w:pPr>
            <w:r>
              <w:rPr>
                <w:rFonts w:ascii="Arial" w:cs="Arial" w:eastAsia="Arial" w:hAnsi="Arial"/>
                <w:sz w:val="16"/>
                <w:szCs w:val="16"/>
                <w:color w:val="auto"/>
                <w:w w:val="89"/>
              </w:rPr>
              <w:t>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$14 million, $354 million and $353 million at December 31, 2015, 2014 and 2013 for GMNA, relate primarily to postemployment benefits to be paid.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Restructuring and other initiatives related primarily to: (1) reversal of the U.S. Supplemental Unemployment Benefit Plan accrual for temporary layoff benefits of $317 million resulting from a plan amendment in the 2015 UAW Agreement at GMNA; (2) the change in our business model in Russia described below; and (3) separation and other programs in Australia, Korea, Thailand, Indonesia and India and the withdrawal of the Chevrolet brand from Europe which had a total cost since inception of $722 million and affected a total of approximately 5,490 employees at GMIO through December 31, 2015. We expect to complete these programs in GMIO in 2017 and incur additional restructuring and other charges of approximately $210 million.</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2015 labor agreement with the UAW includes cash severance incentive programs to qualified U.S. hourly employees. We will record restructuring charges of $250 million upon irrevocable acceptance received in February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Restructuring and other initiatives related primarily to: (1) the termination of all vehicle and transmission production at our Bochum, Germany facility completed in December 2014, which had a total cost since inception of $841 million at GME; (2) separation programs in Australia and Korea, the withdrawal of the Chevrolet brand from Europe and the cessation of manufacturing in Australia which had a total cost since inception of $514 million at GMIO through December 31, 2014; and (3) completed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4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separation programs in Brazil and Venezuela which had a total cost since inception of $169 million at GMSA through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Restructuring and other initiatives related primarily to: (1) cash severance incentive programs for skilled trade U.S. hourly employees and service cost for hourly layoff benefits at GMNA; (2) our plan to terminate all vehicle and transmission production at our Bochum, Germany facility by the end of 2014 which had a total cost since inception of $194 million at GME through December 31, 2013; (3) separation programs in Australia and Korea and programs related to the withdrawal of the Chevrolet brand from Europe, described below, which had a total cost since inception of $420 million at GMIO through December 31, 2013; and (4) active separation programs in Brazil which had a total cost since inception of $103 million at GMSA through December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Business Model in Russia</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March 2015 we announced plans to change our business model in Russia and have ceased manufacturing, eliminated Opel brand distribution and reduced Chevrolet brand distribution in the year ended December 31, 2015. This decision impacts 300 dealers and distributors and 1,130 employees. As a result we recorded pre-tax charges of $443 million at GME and GMIO through December 31, 2015, net of noncontrolling interests of $56 million. These charges included dealer restructuring and other contract cancellation costs of $103 million and employee severance costs of $13 million which are reflected in the table above. The remaining charges for cumulative translation adjustment associated with the substantial liquidation of certain legal entities and other of $183 million, sales incentives and inventory related costs of $144 million and asset impairment charges of $56 million are not included in the table above. We may incur additional charges for exit costs of up to approximately $100 million through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the Chevrolet Brand from Europe</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December 2013 we announced our plans to focus our marketing and product portfolio on our Opel and Vauxhall brands in Western and Central Europe and cease mainstream distribution of the Chevrolet brand in those markets in 2015. This decision impacts approximately 1,200 Chevrolet dealers and distributors in the affected countries and approximately 480 Chevrolet Europe employees. In the three months ended December 31, 2013 we recorded pre-tax charges of $636 million, net of noncontrolling interests of $124 million. These charges included dealer restructuring costs of $233 million and employee severance costs of $30 million which are reflected in the table above. The remaining charges for intangible asset impairments of $264 million and sales incentive, inventory related and other costs of $233 million are not included in the table above. Refer to Note 9 for additional information on the intangible asset impairment charges.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Operations at Holden</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December 2013 we announced plans to cease vehicle and engine manufacturing and significantly reduce engineering operations at GM Holden Ltd. (Holden) by the end of 2017. Holden will continue to sell imported vehicles through its Holden dealer network and maintain its global design studio. This decision affects approximately 2,900 employees at certain Holden facilities. In the three months ended December 31, 2013 we recorded pre-tax charges of $536 million in Automotive cost of sales consisting primarily of asset impairment charges of $477 million, including property, plant and equipment, which are not included in the table above. The remaining charges relate to exit-related costs, including certain employee severance related costs, of which $59 million are included in the table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Interest Income and Other Non-Operating Income,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Interest income and other non-operating income, net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4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Foreign currency transaction and remeasurement gains (losses)</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7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on securities and other investments - realized and unrealized</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280</w:t>
            </w:r>
          </w:p>
        </w:tc>
      </w:tr>
      <w:tr>
        <w:trPr>
          <w:trHeight w:val="27"/>
        </w:trPr>
        <w:tc>
          <w:tcPr>
            <w:tcW w:w="7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and other non-operating income, net</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621</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December 2013 we sold our investment in Ally Financial common stock through a private offering for net proceeds of $880 million and recorded a gain of $483 million. Also in December 2013 we sold our seven percent investment in Peugeot S. A. (PSA) common stock for $339 million, net of disposal costs and we recorded a net gain of $152 million in Interest income and other non-operating income, net. Other includes net gains and losses on derivatives, dividends, royalties and deferred income recorded from technology agreement that ended in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Stockholders’ Equity and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1.5 billion and 1.6 billion shares of common stock issued and outstanding at December 31, 2015 and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significant features related to our preferred stock (dollars in millions, except for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Dividends Paid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Liquidation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Preference Per</w:t>
            </w:r>
          </w:p>
        </w:tc>
        <w:tc>
          <w:tcPr>
            <w:tcW w:w="1420" w:type="dxa"/>
            <w:vAlign w:val="bottom"/>
            <w:gridSpan w:val="2"/>
            <w:vMerge w:val="restart"/>
          </w:tcPr>
          <w:p>
            <w:pPr>
              <w:ind w:left="260"/>
              <w:spacing w:after="0" w:line="139" w:lineRule="exact"/>
              <w:rPr>
                <w:sz w:val="20"/>
                <w:szCs w:val="20"/>
                <w:color w:val="auto"/>
              </w:rPr>
            </w:pPr>
            <w:r>
              <w:rPr>
                <w:rFonts w:ascii="Arial" w:cs="Arial" w:eastAsia="Arial" w:hAnsi="Arial"/>
                <w:sz w:val="14"/>
                <w:szCs w:val="14"/>
                <w:b w:val="1"/>
                <w:bCs w:val="1"/>
                <w:color w:val="auto"/>
              </w:rPr>
              <w:t>Dividend Per</w:t>
            </w: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Annum</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Series B Preferred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December 2014 we redeemed all of the remaining outstanding shares of our Series A Preferred Stock at a price equal to the aggregate liquidation amount, including accumulated dividends, of $3.9 billion, which reduced Net income attributable to common stockholders by $809 million and is included within dividends paid in the table above.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2013 we purchased 120 million shares (or 43.5% of the total shares outstanding) of our Series A Preferred Stock held by the New VEBA at a price equal to 108.1% of the aggregate liquidation amount for $3.2 billion, which reduced Net income attributable to common stockholders by $816 million and is included within dividends paid in the table above.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December 1, 2013 each of the 100 million shares of our Series B Preferred Stock outstanding automatically converted into 1.3736 shares of our common stock for a total of 137 million common shares. The number of shares of our common stock issued upon mandatory conversion of each share of Series B Preferred Stock was determined based on the average of the closing prices of our common stock over the 40 consecutive trading day period ended November 26, 2013.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Holders of our common stock are entitled to dividends at the sole discretion of our Board of Directors. No common stock dividends were declared or paid prior to 2014. Our dividends declared per common share were $1.38 and $1.20 and our total dividends declared on common stock were $2.2 billion and $1.9 billion for the years ended December 31, 2015 and 2014. Holders of common stock are entitled to one vote per share on all matters submitted to our stockholders for a vote. The liquidation rights</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41"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holders of our common stock are secondary to the payment or provision for payment of all our debts and liabilities and to holders of our preferred stock, if any such shares are then outstanding.</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2015 we purchased 102 million shares of our outstanding common stock for $3.5 billion as part of the common stock repurchase program announced in March 2015.</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September 2014 we repurchased 5 million shares of our outstanding common stock at a weighted-average price of $33.69 per share, to offset the dilution from the June 2014 grant of stock incentive awards under the 2014 Long-Term Incentive Plan.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July 2009 we issued two tranches of warrants, each to acquire 136 million shares of our common stock, to Motors Liquidation Company (MLC) which have all been distributed to creditors of General Motors Corporation and to the Motors Liquidation Company GUC Trust by MLC and one tranche of warrants to acquire 46 million shares of common stock to the New VEBA. The first tranche of MLC warrants is exercisable at any time prior to July 10, 2016 at an exercise price of $10.00 per share and the second tranche of MLC warrants is exercisable at any time prior to July 10, 2019 at an exercise price of $18.33 per share. The New VEBA warrants, which were subsequently sold by the New VEBA, had an exercise price of $42.31 per share and expired December 31, 2015. Upon exercise of the warrants, the shares issued will be included in the number of basic shares outstanding used in the computation of earnings per share. The number of shares of common stock underlying each of the warrants and the per share exercise price are subject to adjustment as a result of certain events, including stock splits, reverse stock splits and stock dividends. The number of warrants outstanding was 70 million and 165 million at December 31, 2015 and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b w:val="1"/>
                <w:bCs w:val="1"/>
                <w:color w:val="auto"/>
              </w:rPr>
              <w:t>Foreign Currency Translation Adjustments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 xml:space="preserve">Other comprehensive loss </w:t>
            </w:r>
            <w:r>
              <w:rPr>
                <w:rFonts w:ascii="Arial" w:cs="Arial" w:eastAsia="Arial" w:hAnsi="Arial"/>
                <w:sz w:val="18"/>
                <w:szCs w:val="18"/>
                <w:color w:val="auto"/>
              </w:rPr>
              <w:t>before reclassification adjustment, net of tax(a)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Reclassification adjustment, net of tax(a)(b)</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comprehensive loss, net of tax(a)</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attributable to noncontrolling interests, net of tax(a)</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Defined Benefit Plans, Net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(7,006)</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(2,501)</w:t>
            </w:r>
          </w:p>
        </w:tc>
        <w:tc>
          <w:tcPr>
            <w:tcW w:w="100" w:type="dxa"/>
            <w:vAlign w:val="bottom"/>
          </w:tcPr>
          <w:p>
            <w:pPr>
              <w:spacing w:after="0"/>
              <w:rPr>
                <w:sz w:val="20"/>
                <w:szCs w:val="20"/>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(8,194)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8,679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Tax expense (benefit)</w:t>
            </w:r>
          </w:p>
        </w:tc>
        <w:tc>
          <w:tcPr>
            <w:tcW w:w="30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3,087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 adjustment,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5,592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Reclassification adjustment, net of tax(a)(c)</w:t>
            </w:r>
          </w:p>
        </w:tc>
        <w:tc>
          <w:tcPr>
            <w:tcW w:w="30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5,693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loss attributable to noncontrolling interests, net of tax(a)</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(2,501)</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6434"/>
              <w:spacing w:after="0"/>
              <w:rPr>
                <w:sz w:val="20"/>
                <w:szCs w:val="20"/>
                <w:color w:val="auto"/>
              </w:rPr>
            </w:pPr>
            <w:r>
              <w:rPr>
                <w:rFonts w:ascii="Arial" w:cs="Arial" w:eastAsia="Arial" w:hAnsi="Arial"/>
                <w:sz w:val="18"/>
                <w:szCs w:val="18"/>
                <w:color w:val="auto"/>
                <w:w w:val="87"/>
              </w:rPr>
              <w:t>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income tax effect was insignificant in the years ended December 31, 2015, 2014 and 2013.</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Related to the change of our business model in Russia. Included in Automotive cost of sales. Refer to Note 17 for additional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6"/>
          <w:szCs w:val="16"/>
          <w:color w:val="auto"/>
        </w:rPr>
        <w:t>Included in the computation of net periodic pension and OPEB (income) expense. Refer to Note 13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Earnings Per Share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41"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 The following table summarizes basic and diluted earnings per share (in millions, except for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5,346</w:t>
            </w: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5"/>
              </w:rPr>
              <w:t>Less: cumulative dividends on preferred stock and charge related to redemption and purchase of</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00"/>
              <w:spacing w:after="0"/>
              <w:rPr>
                <w:sz w:val="20"/>
                <w:szCs w:val="20"/>
                <w:color w:val="auto"/>
              </w:rPr>
            </w:pPr>
            <w:r>
              <w:rPr>
                <w:rFonts w:ascii="Arial" w:cs="Arial" w:eastAsia="Arial" w:hAnsi="Arial"/>
                <w:sz w:val="18"/>
                <w:szCs w:val="18"/>
                <w:color w:val="auto"/>
              </w:rPr>
              <w:t>preferred stock(a)</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3,770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6.11</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9,687</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3,770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preferred dividends to holders of Series B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3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3,988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conversion of Series B Preferred Stock</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1,676</w:t>
            </w:r>
          </w:p>
        </w:tc>
      </w:tr>
      <w:tr>
        <w:trPr>
          <w:trHeight w:val="109"/>
        </w:trPr>
        <w:tc>
          <w:tcPr>
            <w:tcW w:w="7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20"/>
        </w:trPr>
        <w:tc>
          <w:tcPr>
            <w:tcW w:w="7440" w:type="dxa"/>
            <w:vAlign w:val="bottom"/>
          </w:tcPr>
          <w:p>
            <w:pPr>
              <w:spacing w:after="0"/>
              <w:rPr>
                <w:sz w:val="20"/>
                <w:szCs w:val="20"/>
                <w:color w:val="auto"/>
              </w:rPr>
            </w:pPr>
            <w:r>
              <w:rPr>
                <w:rFonts w:ascii="Arial" w:cs="Arial" w:eastAsia="Arial" w:hAnsi="Arial"/>
                <w:sz w:val="16"/>
                <w:szCs w:val="16"/>
                <w:color w:val="auto"/>
              </w:rPr>
              <w:t>__________</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earned but undeclared dividends of $15 million on our Series A Preferred Stock in the year ended December 31, 2013.</w:t>
      </w:r>
    </w:p>
    <w:p>
      <w:pPr>
        <w:spacing w:after="0" w:line="176"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Prior to the December 2013 conversion to common shares, the Series B Preferred Stock was a participating security and, as such, required the application of the more dilutive of the two-class or if-converted method to calculate earnings per share when the applicable market value of our common stock was below or above the range of $33.00 to $39.60 per common share. On the mandatory conversion date of our Series B Preferred Stock, December 1, 2013, the applicable market value of our common stock was within the range of $33.00 to $39.60 per common share and, as such, we applied the if-converted method for purposes of calculating diluted earnings per share in the year ended December 31, 2013. The impact on diluted earnings per share was an increase of $0.13 in the year ended December 31, 2013 using the if-converted method as compared to the two-class method.</w:t>
      </w:r>
    </w:p>
    <w:p>
      <w:pPr>
        <w:spacing w:after="0" w:line="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years ended December 31, 2015, 2014 and 2013 warrants to purchase 46 million shares were not included in the computation of diluted earnings per share because the warrants' exercise price was greater than the average market price of the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 Incentive Plans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Stock incentive plan awards outstanding at December 31, 2015 consist of awards granted under the 2014 Long-Term Incentive Plan, the 2009 Long-Term Incentive Plan and the Salary Stock Plan. The 2014 Long-Term Incentive Plan was approved by stockholders in June 2014 and replaced the 2009 Long-Term Incentive Plan and Salary Stock Plan. These plans are administered by the Executive Compensation Committee of our Board of Directors. The aggregate number of shares with respect to which awards may be granted under the 2014 Long-Term Incentive Plan shall not exceed 60 million. In January 2014 we amended the 2009 Long-Term Incentive Plan and the Salary Stock Plan to provide cash payment, on a going forward basis, of dividend equivalents upon settlement to active employees and certain former employees with outstanding awards as of the amendment date.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grant to certain employees RSUs, PSUs and stock options under our 2014 Long-Term Incentive Plan and, prior to our 2014 Long-Term Incentive Plan, RSUs under our 2009 Long-Term Incentive Plan. Shares awarded under the plans are subject to forfeiture</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341"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the participant leaves the company for reasons other than those permitted under the plans such as retirement, death or disability. Our practice is to issue new shares upon settlement of RSUs and PSUs. The following table summarizes awards granted or issued under these plans (units in millions):</w:t>
      </w:r>
    </w:p>
    <w:p>
      <w:pPr>
        <w:spacing w:after="0" w:line="152"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PSUs</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26.4</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7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RSU awards granted either cliff vest or ratably vest generally over a three-year service period, as defined in the terms of each award. Vesting and subsequent settlement will generally occur based upon employment at the end of each specified service period.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ultimate number of PSUs earned will be determined at the end of the specified performance period, which is three years,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PSU awards generally vest and settle at the end of a three-year period.</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Stock options were granted to senior leaders to maintain the leadership consistency needed to achieve our short-term and long-term goals. Each recipient was required to accept non-compete and non-solicitation covenants. These non-qualified stock options have a vesting feature whereby two-fifths of the award are exercisable approximately 19 months after the date of grant and the remainder vest ratably over the next three years based on the performance of our common stock relative to that of a specified peer group. The stock options expire 10 years from the grant date.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Salary Stock Plan</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a portion of each participant's salary was accrued on each salary payment date and converted to RSUs on a quarterly basis. In June 2013 we amended the plan to provide for cash or share settlement of awards based on election by the participant. The liability for these awards continues to be remeasured to fair value at the end of each reporting period.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RSUs, PSUs and Stock Options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PSUs and stock options under our stock incentive plans (units in millions):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 Grant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January 1, 2015</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December 31, 2015</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unvested and expected to vest at December 31, 2015</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Units vested and payable at December 31, 2015</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granted in the year ended December 31, 2014</w:t>
            </w: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Units granted in the year ended December 31, 2013</w:t>
            </w:r>
          </w:p>
        </w:tc>
        <w:tc>
          <w:tcPr>
            <w:tcW w:w="1040" w:type="dxa"/>
            <w:vAlign w:val="bottom"/>
          </w:tcPr>
          <w:p>
            <w:pPr>
              <w:spacing w:after="0"/>
              <w:rPr>
                <w:sz w:val="21"/>
                <w:szCs w:val="21"/>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compensation expense recorded for our stock incentive plans, which is recorded in Automotive cost of sales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Automotive selling, general and administrative expense (dollars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4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151</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At December 31, 2015 the total unrecognized compensation expense for nonvested equity awards granted was $294 million. This expense is expected to be recorded over a weighted-average period of 3.3 years. The total fair value of RSUs, PSUs and stock options vested in the years ended December 31, 2015, 2014 and 2013 was $228 million, $221 million and $342 million. In the years ended December 31, 2015, 2014 and 2013 total payments for 1.8 million, 2.4 million and 3.1 million RSUs settled under stock incentive plans were $64 million, $85 million and $94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Supplementary Quarterly Financial Information (Unaudited)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supplementary quarterly financial information (dollars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6"/>
                <w:szCs w:val="16"/>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4,756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6,266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3.92</w:t>
            </w:r>
          </w:p>
        </w:tc>
      </w:tr>
      <w:tr>
        <w:trPr>
          <w:trHeight w:val="426"/>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24"/>
                <w:szCs w:val="24"/>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4,266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1,987</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0.66</w:t>
            </w: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December 31, 2015 included the following:</w:t>
      </w:r>
    </w:p>
    <w:p>
      <w:pPr>
        <w:spacing w:after="0" w:line="225" w:lineRule="exact"/>
        <w:rPr>
          <w:sz w:val="20"/>
          <w:szCs w:val="20"/>
          <w:color w:val="auto"/>
        </w:rPr>
      </w:pPr>
    </w:p>
    <w:p>
      <w:pPr>
        <w:ind w:left="660" w:hanging="490"/>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 benefit of $3.9 billion related to the reversal of deferred tax asset valuation allowances at GME.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Gain on extinguishment of debt of $449 million related to unsecured debt in Brazil in GMSA on a pre-tax basis.</w:t>
      </w:r>
    </w:p>
    <w:p>
      <w:pPr>
        <w:spacing w:after="0" w:line="225"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color w:val="auto"/>
        </w:rPr>
        <w:t>The three months ended September 30, 2015 included charges for various legal matters of approximately $1.5 billion related to the Ignition Switch Recall in Corporate on a pre-tax basis.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June 30, 2015 included the following on a pre-tax basis:</w:t>
      </w:r>
    </w:p>
    <w:p>
      <w:pPr>
        <w:spacing w:after="0" w:line="225" w:lineRule="exact"/>
        <w:rPr>
          <w:sz w:val="20"/>
          <w:szCs w:val="20"/>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 impairment charges of $297 million related to our Thailand subsidiaries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Charge of $604 million for the Venezuela currency devaluation in GMSA.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March 31, 2015 included the following on a pre-tax basis:</w:t>
      </w:r>
    </w:p>
    <w:p>
      <w:pPr>
        <w:spacing w:after="0" w:line="225" w:lineRule="exact"/>
        <w:rPr>
          <w:sz w:val="20"/>
          <w:szCs w:val="20"/>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related to the change in our business model in Russia of $337 million in GME and $91 million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Charge of $150 million for Ignition Switch Recall compensation program in Corporate.</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341"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three months ended December 31, 2014 included the following on a pre-tax basis:</w:t>
      </w:r>
    </w:p>
    <w:p>
      <w:pPr>
        <w:spacing w:after="0" w:line="225" w:lineRule="exact"/>
        <w:rPr>
          <w:sz w:val="20"/>
          <w:szCs w:val="20"/>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 on extinguishment of debt of $207 million related to unsecured debt in Brazil in GMSA.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impairment charges of $158 million related to our Thailand subsidiary in GMIO.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three months ended September 30, 2014 included asset impairment charges of $194 million related to Russian subsidiaries in GME on a pre-tax basis.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June 30, 2014 included the following on a pre-tax basis:</w:t>
      </w:r>
    </w:p>
    <w:p>
      <w:pPr>
        <w:spacing w:after="0" w:line="225" w:lineRule="exact"/>
        <w:rPr>
          <w:sz w:val="20"/>
          <w:szCs w:val="20"/>
          <w:color w:val="auto"/>
        </w:rPr>
      </w:pPr>
    </w:p>
    <w:p>
      <w:pPr>
        <w:ind w:left="660" w:hanging="49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campaign and courtesy transportation charges of $1.1 billion in GMNA.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Catch-up adjustment of $874 million related to change in estimate of recall campaigns in GMNA.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Charge of $400 million for Ignition Switch Recall compensation program in Corporate.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March 31, 2014 included the following on a pre-tax basis:</w:t>
      </w:r>
    </w:p>
    <w:p>
      <w:pPr>
        <w:spacing w:after="0" w:line="225" w:lineRule="exact"/>
        <w:rPr>
          <w:sz w:val="20"/>
          <w:szCs w:val="20"/>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campaign and courtesy transportation charges of $1.3 billion in GMNA.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Charge of $419 million for the Venezuela currency devaluation in GMSA.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Reporting</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The chief operating decision maker evaluates GM Financial through income before income taxes-adjusted because he/she believes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such as CAFE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8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Substantially all of the cars, trucks, crossovers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addition to the products sold to dealers for consumer retail sales, cars, trucks and crossovers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companies design, manufacture and market vehicles under the Baojun, Buick, Cadillac, Chevrolet, Jiefang and Wuling brands.</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Our automotive operations' interest income and interest expense are recorded centrally in Corporate. Corporate assets consist primarily of cash and cash equivalents, marketable securities and intercompany balances. All intersegment balances and transactions have been eliminated in consolidation.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4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At and For the Year Ended December 31, 2015</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106,622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145,922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152,356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11,026</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(813)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1,397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(622)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9,987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10,814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(3,199)</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Gain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7,718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ind w:left="20"/>
              <w:spacing w:after="0" w:line="143"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8,113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8,215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9,201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92,570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129,603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66,081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194,520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5,688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7,784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7,874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7,171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846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39"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Consists primarily of net insurance recoveries related to flood damage of $47 million in GMNA; costs related to the change in our business model in Russia of $358 million in GME and $85 million in GMIO, which is net of noncontrolling interests; asset impairment charges of $297 million related to our Thailand subsidiaries in GMIO; Venezuela currency devaluation charges of $604 million and asset impairment charges of $116 million related to our Venezuela subsidiaries in GMSA; and charges related to the Ignition Switch Recall including the compensation program of $195 million and various settlements and legal matters of $1.6 billion in Corporate.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At and For the Year Ended December 31, 2014</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101,199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151,092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155,929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6,603</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(1,369)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1,222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5,696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6,494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(2,327)</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Gain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4,246</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ind w:left="20"/>
              <w:spacing w:after="0" w:line="143"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8,254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8,350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8,350</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92,864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131,674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47,745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177,501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4,985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359</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7,039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7,091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6,238</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Impairment charges, excluding goodwill</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69"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Consists of a catch-up adjustment related to the change in estimate for recall campaigns of $874 million and charges related to flood damage, net of insurance recoveries, of $101 million in GMNA; asset impairment charges of $245 million related to our Russian subsidiaries in GME; asset impairment charges of $158 million related to our Thailand subsidiary in GMIO; Venezuela currency devaluation charges of $419 million and Goodwill impairment charges of $120 million in GMSA; a charge related to the Ignition Switch Recall compensation program of $400 million in Corporate; and other of $10 million.</w:t>
      </w:r>
    </w:p>
    <w:p>
      <w:pPr>
        <w:sectPr>
          <w:pgSz w:w="11900" w:h="16838" w:orient="portrait"/>
          <w:cols w:equalWidth="0" w:num="1">
            <w:col w:w="11420"/>
          </w:cols>
          <w:pgMar w:left="240" w:top="34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341"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At and For the Year Ended December 31, 2013</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95,099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21,962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152,100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155,427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jc w:val="center"/>
              <w:ind w:right="1717"/>
              <w:spacing w:after="0"/>
              <w:rPr>
                <w:sz w:val="20"/>
                <w:szCs w:val="20"/>
                <w:color w:val="auto"/>
              </w:rPr>
            </w:pPr>
            <w:r>
              <w:rPr>
                <w:rFonts w:ascii="Arial" w:cs="Arial" w:eastAsia="Arial" w:hAnsi="Arial"/>
                <w:sz w:val="13"/>
                <w:szCs w:val="13"/>
                <w:color w:val="auto"/>
                <w:w w:val="85"/>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7,461</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(869)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1,255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7,680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8,578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jc w:val="center"/>
              <w:ind w:right="1717"/>
              <w:spacing w:after="0"/>
              <w:rPr>
                <w:sz w:val="20"/>
                <w:szCs w:val="20"/>
                <w:color w:val="auto"/>
              </w:rPr>
            </w:pPr>
            <w:r>
              <w:rPr>
                <w:rFonts w:ascii="Arial" w:cs="Arial" w:eastAsia="Arial" w:hAnsi="Arial"/>
                <w:sz w:val="13"/>
                <w:szCs w:val="13"/>
                <w:color w:val="auto"/>
                <w:w w:val="85"/>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7,458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ind w:left="20"/>
              <w:spacing w:after="0" w:line="143"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jc w:val="center"/>
              <w:ind w:right="1697"/>
              <w:spacing w:after="0"/>
              <w:rPr>
                <w:sz w:val="20"/>
                <w:szCs w:val="20"/>
                <w:color w:val="auto"/>
              </w:rPr>
            </w:pPr>
            <w:r>
              <w:rPr>
                <w:rFonts w:ascii="Arial" w:cs="Arial" w:eastAsia="Arial" w:hAnsi="Arial"/>
                <w:sz w:val="13"/>
                <w:szCs w:val="13"/>
                <w:color w:val="auto"/>
                <w:w w:val="92"/>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7,921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8,094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8,094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87,978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26,421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130,011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38,010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166,231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5,466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444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7,549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7,565</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5,908</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Impairment charges, excluding goodwill</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1,592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1,592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jc w:val="center"/>
              <w:ind w:right="1717"/>
              <w:spacing w:after="0" w:line="144" w:lineRule="exact"/>
              <w:rPr>
                <w:sz w:val="20"/>
                <w:szCs w:val="20"/>
                <w:color w:val="auto"/>
              </w:rPr>
            </w:pPr>
            <w:r>
              <w:rPr>
                <w:rFonts w:ascii="Arial" w:cs="Arial" w:eastAsia="Arial" w:hAnsi="Arial"/>
                <w:sz w:val="13"/>
                <w:szCs w:val="13"/>
                <w:color w:val="auto"/>
                <w:w w:val="85"/>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39"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Consists of pension settlement charges of $56 million and charges related to PSA product development agreement of $49 million in GMNA; gain on sale of equity investment in PSA of $152 million in GME; property and intangible asset impairment charges of $774 million, costs related to the withdrawal of the Chevrolet brand in Europe of $621 million and goodwill impairment charges of $442 million, partially offset by GM Korea hourly wage litigation of $577 million and acquisition of GM Korea preferred shares of $67 million in GMIO, all net of noncontrolling interests; Venezuela currency devaluation charges of $162 million in GMSA; gain on sale of equity investment in Ally Financial of $483 million in Corporate; costs related to the withdrawal of the Chevrolet brand in Europe of $15 million in GM Financial; and income related to various insurance recoveries of $35 million.</w:t>
      </w:r>
    </w:p>
    <w:p>
      <w:pPr>
        <w:spacing w:after="0" w:line="13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Automotive revenue is attributed to geographic areas based on the country in which our subsidiary is located. Automotive Financing revenue is attributed to the geographic area where the financing is originated. The following table summarizes information concerning principal geographic areas (dollars in millions):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7"/>
              </w:rPr>
              <w:t>At and For the Years Ended December 31,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9"/>
              </w:rPr>
              <w:t>2015</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2014</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2013</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80" w:type="dxa"/>
            <w:vAlign w:val="bottom"/>
          </w:tcPr>
          <w:p>
            <w:pPr>
              <w:spacing w:after="0"/>
              <w:rPr>
                <w:sz w:val="13"/>
                <w:szCs w:val="13"/>
                <w:color w:val="auto"/>
              </w:rPr>
            </w:pPr>
          </w:p>
        </w:tc>
        <w:tc>
          <w:tcPr>
            <w:tcW w:w="9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100,008</w:t>
            </w:r>
          </w:p>
        </w:tc>
        <w:tc>
          <w:tcPr>
            <w:tcW w:w="60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93,559</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88,784</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15,844</w:t>
            </w: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12,289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Total consolidated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152,356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54,224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155,929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155,427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individual country other than the U.S. represented more than 10% of our total Net sales and revenue or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Supplemental Information for the Consolidated Statements of Cash Flows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sources (uses) of cash provided by Change in other operating assets and liabilities and Cash paid for income taxes and interest (dollars in millions):</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341"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Purchases of wholesale receivables,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equipment on operating leases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Accrued liabilities and other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paid for income taxes and interest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Cash paid for interest (net of amounts capitalized) – Automotive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 (net of amounts capitalized) – GM Financial</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cash paid for interest (net of amounts capitalized)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Subsequent Events</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January 2016 we invested $500 million in Lyft, a privately held company, representing a 9% equity ownership interest. We plan to develop with Lyft an integrated network of on-demand autonomous vehicles in the U.S. We applied the cost method of accounting to our investment in Lyft.</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Also in January 2016 we announced the next step in our strategy to redefine personal mobility with a new car-sharing service called Maven, which combines our multiple car-sharing programs under one single brand and will expand its offerings to multiple cities and communities in the U.S. Maven gives customers access to highly personalized, on-demand mobility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4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7"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CEO and Executive Vice President and CFO, evaluated the effectiveness of our disclosure controls and procedures (as defined in Rules 13a-15(e) or 15d-15(e) promulgated under the Exchange Act) at December 31, 2015. Based on this evaluation required by paragraph (b) of Rules 13a-15 or 15d-15, our CEO and CFO concluded that our disclosure controls and procedures were effective as of December 31,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88"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Our management performed an assessment of the effectiveness of our internal control over financial reporting at December 31, 2015,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at December 31, 2015. Based on management's assessment, we have concluded that our internal control over financial reporting was effective at December 31, 2015.</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Deloitte &amp; Touche LLP, an independent registered public accounting firm,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December 31, 2015 that have materially affected, or are reasonably likely to materially affect, our internal control over financial reporting.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  CHARLES K. STEVENS III</w:t>
            </w:r>
          </w:p>
        </w:tc>
      </w:tr>
      <w:tr>
        <w:trPr>
          <w:trHeight w:val="27"/>
        </w:trPr>
        <w:tc>
          <w:tcPr>
            <w:tcW w:w="344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44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30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Charles K. Stevens III</w:t>
            </w: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Chairman &amp; Chief Executive Officer</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February 3, 2016</w:t>
            </w:r>
          </w:p>
        </w:tc>
        <w:tc>
          <w:tcPr>
            <w:tcW w:w="308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3, 2016</w:t>
            </w:r>
          </w:p>
        </w:tc>
      </w:tr>
      <w:tr>
        <w:trPr>
          <w:trHeight w:val="459"/>
        </w:trPr>
        <w:tc>
          <w:tcPr>
            <w:tcW w:w="3440" w:type="dxa"/>
            <w:vAlign w:val="bottom"/>
          </w:tcPr>
          <w:p>
            <w:pPr>
              <w:spacing w:after="0"/>
              <w:rPr>
                <w:sz w:val="24"/>
                <w:szCs w:val="24"/>
                <w:color w:val="auto"/>
              </w:rPr>
            </w:pPr>
          </w:p>
        </w:tc>
        <w:tc>
          <w:tcPr>
            <w:tcW w:w="3080" w:type="dxa"/>
            <w:vAlign w:val="bottom"/>
          </w:tcPr>
          <w:p>
            <w:pPr>
              <w:jc w:val="right"/>
              <w:ind w:right="130"/>
              <w:spacing w:after="0"/>
              <w:rPr>
                <w:sz w:val="20"/>
                <w:szCs w:val="20"/>
                <w:color w:val="auto"/>
              </w:rPr>
            </w:pPr>
            <w:r>
              <w:rPr>
                <w:rFonts w:ascii="Arial" w:cs="Arial" w:eastAsia="Arial" w:hAnsi="Arial"/>
                <w:sz w:val="18"/>
                <w:szCs w:val="18"/>
                <w:color w:val="auto"/>
              </w:rPr>
              <w:t>* * * * * * *</w:t>
            </w:r>
          </w:p>
        </w:tc>
        <w:tc>
          <w:tcPr>
            <w:tcW w:w="49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4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 xml:space="preserve">We have adopted a code of ethics that applies to the Company's directors, officers, and employees, including the CEO, CFO, Controller and Chief Accounting Officer and any other persons performing similar functions. The text of our code of ethics, “Winning With Integrity,” has been posted on our website at </w:t>
      </w:r>
      <w:r>
        <w:rPr>
          <w:rFonts w:ascii="Arial" w:cs="Arial" w:eastAsia="Arial" w:hAnsi="Arial"/>
          <w:sz w:val="17"/>
          <w:szCs w:val="17"/>
          <w:u w:val="single" w:color="auto"/>
          <w:color w:val="auto"/>
        </w:rPr>
        <w:t>www.gm.com/company/investors</w:t>
      </w:r>
      <w:r>
        <w:rPr>
          <w:rFonts w:ascii="Arial" w:cs="Arial" w:eastAsia="Arial" w:hAnsi="Arial"/>
          <w:sz w:val="17"/>
          <w:szCs w:val="17"/>
          <w:color w:val="auto"/>
        </w:rPr>
        <w:t xml:space="preserve"> at Corporate Governance. We will provide a copy of the code of ethics without charge upon request to Corporate Secretary, General Motors Company, Mail Code 482-C25-A36, 300 Renaissance Center, P.O. Box 300, Detroit, MI 48265-3000. We will disclose on our website any amendment to or waiver from our code of ethics on behalf of any of our executive officers or directors.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Information required by (Items 10, 11, 12, 13 and 14) of this Form 10-K is incorporated by reference from our definitive Proxy Statement for our 2016 Annual Meeting of Stockholders, which will be filed with the SEC, pursuant to Regulation 14A, not later than 120 days after the end of the 2015 fiscal year, all of which information is hereby incorporated by reference in, and made part of, this Form 10-K, except the information required by Item 10 with respect to our code of ethics in Item 10 above and disclosure of our executive officers, which is included in Item 1 of this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4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0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All Financial Statements and Supplemental Information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and notes thereto in Item 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5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5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8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3"/>
              </w:rPr>
              <w:t>Restated Certificate of Incorporation of General Motors Company dated December 7, 2010, incorporated herein by reference to</w:t>
            </w:r>
          </w:p>
        </w:tc>
        <w:tc>
          <w:tcPr>
            <w:tcW w:w="1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3.2 to the Current Report on Form 8-K of General Motors Company filed December 13,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1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1"/>
              </w:rPr>
              <w:t>Bylaws of General Motors Company, as amended and restated as of June 9, 2015, incorporated herein by reference to Exhibit 3.1</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to the Quarterly Report on Form 10-Q of General Motors Company filed July 23, 2015</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Indenture dated as of September 27, 2013, between General Motors Company and the Bank of New York Mellon, as Trustee,</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incorporated herein by reference to Exhibit 4.2 to the Registration Statement on Form S-3 of General Motors Company filed</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30,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1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First Supplemental Indenture dated as of September 27, 2013 to the Indenture dated as of September 27, 2013 between General</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Motors Company and the Bank of New York Mellon, as Trustee, incorporated herein by reference to Exhibit 4.3 to the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Registration Statement on Form S-4 of General Motors Company filed May 22,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Second Supplemental Indenture dated as of November 12, 2014 to the Indenture dated as of September 27, 2013 between General</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Motors Company and the Bank of New York Mellon, as Trustee, incorporated herein by reference to Exhibit 4.4 to the Current</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 on Form 8-K of General Motors Company filed November 12,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Stockholders Agreement, dated as of October 15, 2009 between General Motors Company, the United States Department of the</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Treasury, Canada GEN Investment Corporation (fka 7176384 Canada Inc.), the UAW Retiree Medical Benefits Trust, and, for</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limited purposes, General Motors LLC, incorporated herein by reference to Exhibit 10.8 to the Current Report on Form 8-K of</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General Motors Company filed November 16, 2009</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Equity Registration Rights Agreement, dated as of October 15, 2009, between General Motors Company, the United States</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Department of Treasury, Canada GEN Investment Corporation (fka 7176384 Canada Inc.), the UAW Retiree Medical Benefits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Trust, Motors Liquidation Company, and, for limited purposes, General Motors LLC, incorporated herein by reference to Exhibit</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 to the Current Report on Form 8-K of Motors Liquidation Company filed October 21, 2009</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Letter Agreement regarding Equity Registration Rights Agreement, dated October 21, 2010, among General Motors Company,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the United States Department of Treasury, Canada GEN Investment Corporation, the UAW Retiree Medical Benefits Trust and</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Motors Liquidation Company, incorporated herein by reference to Exhibit 10.43 to Amendment No. 5 to the Registration</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Statement on Form S-1 (File No. 333-168919) of General Motors Company filed November 3,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Form of Compensation Statement, incorporated herein by reference to Exhibit 10.14 to the Annual Report on Form 10-K of</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Motors Company filed April 7,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General Motors Company 2009 Long-Term Incentive Plan, as amended January 13, 2014, incorporated herein by reference to</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Exhibit 10.7 to the Annual Report on Form 10-K of General Motors Company filed February 6,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The General Motors Company Deferred Compensation Plan for Non-Employee Directors, incorporated herein by reference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10.1 to the Quarterly Report on Form 10-Q of General Motors Company filed May 6, 2011</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7"/>
              </w:rPr>
              <w:t>General Motors Company Executive Retirement Plan, with modifications through October 10, 2012, incorporated herein by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reference to Exhibit 10.12 to the Annual Report on Form 10-K of General Motors Company filed February 15, 2013</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General Motors Company Salary Stock Plan, as amended January 13, 2014, incorporated herein by reference to Exhibit 10.10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Annual Report on Form 10-K of General Motors Company filed February 6, 2014</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34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5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5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85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2"/>
              </w:rPr>
              <w:t>General Motors Company 2014 Short-Term Incentive Plan, incorporated herein by reference to Exhibit 10.2 to the Current Report</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on Form 8-K of General Motors Company filed June 12,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General Motors Company 2014 Long-Term Incentive Plan, incorporated herein by reference to Exhibit 10.1 to the Current Report</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 Form 8-K of General Motors Company filed June 12,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Form of General Motors Company Restricted Stock Unit Agreement (cash settlement) dated December 15, 2011 under the 2009</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6"/>
              </w:rPr>
              <w:t>Long-Term Incentive Plan, incorporated herein by reference to Exhibit 10.26 to the Annual Report on Form 10-K of General</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Motors Company filed February 27, 2012</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Form of General Motors Company Restated Stock Agreement (share settlement) dated December 15, 2011 under the 2009 Long-</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Term Incentive Plan, incorporated herein by reference to Exhibit 10.27 to the Annual Report on Form 10-K of General Motors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 filed February 27, 2012</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General Motors Company Vehicle Operations — Senior Management Vehicle Program (SMVP) Supplement, revised December</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15, 2005, incorporated herein by reference to Exhibit 10(g) to the Annual Report on Form 10-K of Motors Liquidation Company</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filed March 28, 2006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Warrant Agreement, dated as of October 16, 2009, between General Motors Company and U.S. Bank</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National Association, including Form of Warrant Certificate attached as Exhibit D thereto, relating to warrants with a $30 original</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($10 after stock split) exercise price and a July 10, 2016 expiration date, incorporated herein by reference to Exhibit 10.29 to the</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Report on Form 10-K of General Motors Company filed April 7,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Amended and Restated Warrant Agreement, dated as of October 16, 2009, between General Motors Company and U.S. Bank</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9"/>
              </w:rPr>
              <w:t>National Association, as Warrant Agent, including a Form of Warrant Certificate attached as Exhibit D thereto, relating to</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warrants with a $55 original ($18.33 after stock split) exercise price and a July 10, 2019 expiration date, incorporated herein by</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reference to Exhibit 10.30 to the Annual Report on Form 10-K of General Motors Company filed April 7,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10.16†</w:t>
            </w: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Amended and Restated Master Agreement, dated as of December 19, 2012, between General Motors Holdings LLC and Peugeot</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S.A., incorporated herein by reference to Exhibit 10.24 to the Annual Report on Form 10-K of General Motors Company filed</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6,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gridSpan w:val="2"/>
          </w:tcPr>
          <w:p>
            <w:pPr>
              <w:ind w:left="40"/>
              <w:spacing w:after="0"/>
              <w:rPr>
                <w:sz w:val="20"/>
                <w:szCs w:val="20"/>
                <w:color w:val="auto"/>
              </w:rPr>
            </w:pPr>
            <w:r>
              <w:rPr>
                <w:rFonts w:ascii="Arial" w:cs="Arial" w:eastAsia="Arial" w:hAnsi="Arial"/>
                <w:sz w:val="16"/>
                <w:szCs w:val="16"/>
                <w:color w:val="auto"/>
              </w:rPr>
              <w:t>10.17†</w:t>
            </w:r>
          </w:p>
        </w:tc>
        <w:tc>
          <w:tcPr>
            <w:tcW w:w="8500" w:type="dxa"/>
            <w:vAlign w:val="bottom"/>
          </w:tcPr>
          <w:p>
            <w:pPr>
              <w:ind w:left="40"/>
              <w:spacing w:after="0"/>
              <w:rPr>
                <w:sz w:val="20"/>
                <w:szCs w:val="20"/>
                <w:color w:val="auto"/>
              </w:rPr>
            </w:pPr>
            <w:r>
              <w:rPr>
                <w:rFonts w:ascii="Arial" w:cs="Arial" w:eastAsia="Arial" w:hAnsi="Arial"/>
                <w:sz w:val="16"/>
                <w:szCs w:val="16"/>
                <w:color w:val="auto"/>
                <w:w w:val="94"/>
              </w:rPr>
              <w:t>Amended and Restated 3-Year Revolving Credit Agreement, dated as of October 17, 2014, among General Motors Company,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6"/>
              </w:rPr>
              <w:t>General Motors Financial Company, Inc., GM Europe Treasury Company AB, General Motors do Brasil Ltda., the subsidiary</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borrowers from time to time parties thereto, the several lenders from time to time party thereto, JPMorgan Chase Bank, N.A., as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administrative agent, and Citibank, N.A., as syndication agent, incorporated herein by reference to Exhibit 10.1 to the Current</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Report on Form 8-K filed October 22,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10.18†</w:t>
            </w: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5-Year Revolving Credit Agreement, dated as of October 17, 2014, among General Motors Company,</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General Motors Financial Company, Inc., General Motors do Brasil Ltda., the subsidiary borrowers from time to time parties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thereto, the several lenders from time to time party thereto, JPMorgan Chase Bank, N.A., as administrative agent, and Citibank,</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N.A., as syndication agent, incorporated herein by reference to Exhibit 10.2 to the Current Report on Form 8-K filed October 22,</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7"/>
              </w:rPr>
              <w:t>Director's Service Agreement between Adam Opel AG and Dr. Karl-Thomas Neumann, incorporated herein by reference to</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Exhibit 10.28 to the Annual Report on Form 10-K of General Motors Company filed February 6,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Amendment to Warrant Agreements between General Motors Company and U.S. Bank National Association incorporated herein</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reference to Exhibit 10.1 to the Quarterly Report on Form 10-Q of General Motors Company filed April 24,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Form of General Motors Company Restricted Stock Unit Award Agreement under the 2014 Long-Term Incentive Plan</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incorporated herein by reference to Exhibit 10.1 to the Quarterly Report on Form 10-Q of General Motors Company filed July 24,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Form of General Motors Company Performance Stock Unit Award Agreement under the 2014 Long-Term Incentive Plan</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incorporated herein by reference to Exhibit 10.2 to the Quarterly Report on Form 10-Q of General Motors Company filed July 24,</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Form of Non-Qualified Stock Option Agreement under the 2014 Long-Term Incentive Plan, incorporated herein by reference to</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Exhibit 10.1 to the Current Report on Form 8-K of General Motors Company filed July 30, 2015</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Computations of Ratio of Earnings to Fixed Charges and Ratio of Earnings to Combined Fixed Charges</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Preferred Stock Dividends for the Years Ended December 31, 2015, 2014, 2013, 2012 and 2011</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0" w:type="dxa"/>
            <w:vAlign w:val="bottom"/>
          </w:tcPr>
          <w:p>
            <w:pPr>
              <w:ind w:lef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Subsidiaries of the Registrant as of December 31, 2015</w:t>
            </w:r>
          </w:p>
        </w:tc>
        <w:tc>
          <w:tcPr>
            <w:tcW w:w="1900" w:type="dxa"/>
            <w:vAlign w:val="bottom"/>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5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Consent of Independent Registered Public Accounting Firm for audited financial statements of General Motors Company</w:t>
            </w: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900" w:type="dxa"/>
            <w:vAlign w:val="bottom"/>
          </w:tcPr>
          <w:p>
            <w:pPr>
              <w:ind w:left="4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Consent of Independent Auditors for audited financial statements of SAIC General Motors Corp., Ltd.</w:t>
            </w:r>
          </w:p>
        </w:tc>
        <w:tc>
          <w:tcPr>
            <w:tcW w:w="1900" w:type="dxa"/>
            <w:vAlign w:val="bottom"/>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5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Power of Attorney for Directors of General Motors Company</w:t>
            </w: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900" w:type="dxa"/>
            <w:vAlign w:val="bottom"/>
          </w:tcPr>
          <w:p>
            <w:pPr>
              <w:ind w:left="4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Section 302 Certification of the Chief Executive Officer</w:t>
            </w:r>
          </w:p>
        </w:tc>
        <w:tc>
          <w:tcPr>
            <w:tcW w:w="1900" w:type="dxa"/>
            <w:vAlign w:val="bottom"/>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5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Section 302 Certification of the Chief Financial Officer</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500" w:type="dxa"/>
            <w:vAlign w:val="bottom"/>
            <w:shd w:val="clear" w:color="auto" w:fill="CCEEFF"/>
          </w:tcPr>
          <w:p>
            <w:pPr>
              <w:spacing w:after="0"/>
              <w:rPr>
                <w:sz w:val="4"/>
                <w:szCs w:val="4"/>
                <w:color w:val="auto"/>
              </w:rPr>
            </w:pPr>
          </w:p>
        </w:tc>
        <w:tc>
          <w:tcPr>
            <w:tcW w:w="1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4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00"/>
          </w:cols>
          <w:pgMar w:left="240" w:top="341" w:right="25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780" w:type="dxa"/>
            <w:vAlign w:val="bottom"/>
            <w:vMerge w:val="restart"/>
          </w:tcPr>
          <w:p>
            <w:pPr>
              <w:ind w:left="3960"/>
              <w:spacing w:after="0"/>
              <w:rPr>
                <w:sz w:val="20"/>
                <w:szCs w:val="20"/>
                <w:color w:val="auto"/>
              </w:rPr>
            </w:pPr>
            <w:r>
              <w:rPr>
                <w:rFonts w:ascii="Arial" w:cs="Arial" w:eastAsia="Arial" w:hAnsi="Arial"/>
                <w:sz w:val="14"/>
                <w:szCs w:val="14"/>
                <w:b w:val="1"/>
                <w:bCs w:val="1"/>
                <w:color w:val="auto"/>
              </w:rPr>
              <w:t>Exhibit Name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78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8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c>
          <w:tcPr>
            <w:tcW w:w="1580" w:type="dxa"/>
            <w:vAlign w:val="bottom"/>
          </w:tcPr>
          <w:p>
            <w:pPr>
              <w:ind w:left="1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9"/>
                <w:szCs w:val="19"/>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SAIC General Motors Corp., Ltd. (F.K.A. Shanghai General Motors Corp., Ltd.) and subsidiaries audited consolidated financial</w:t>
            </w:r>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statements including the consolidated balance sheet as of December 31, 2015 and 2014, and the related consolidated statements of</w:t>
            </w: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and comprehensive income, equity and cash flow for the years then ended</w:t>
            </w: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8780" w:type="dxa"/>
            <w:vAlign w:val="bottom"/>
          </w:tcPr>
          <w:p>
            <w:pPr>
              <w:ind w:left="40"/>
              <w:spacing w:after="0"/>
              <w:rPr>
                <w:sz w:val="20"/>
                <w:szCs w:val="20"/>
                <w:color w:val="auto"/>
              </w:rPr>
            </w:pPr>
            <w:r>
              <w:rPr>
                <w:rFonts w:ascii="Arial" w:cs="Arial" w:eastAsia="Arial" w:hAnsi="Arial"/>
                <w:sz w:val="16"/>
                <w:szCs w:val="16"/>
                <w:color w:val="auto"/>
              </w:rPr>
              <w:t>XBRL Instance Document</w:t>
            </w:r>
          </w:p>
        </w:tc>
        <w:tc>
          <w:tcPr>
            <w:tcW w:w="1580" w:type="dxa"/>
            <w:vAlign w:val="bottom"/>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101.SCH*</w:t>
            </w:r>
          </w:p>
        </w:tc>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XBRL Taxonomy Extension Schema Document</w:t>
            </w:r>
          </w:p>
        </w:tc>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8780" w:type="dxa"/>
            <w:vAlign w:val="bottom"/>
          </w:tcPr>
          <w:p>
            <w:pPr>
              <w:ind w:left="40"/>
              <w:spacing w:after="0"/>
              <w:rPr>
                <w:sz w:val="20"/>
                <w:szCs w:val="20"/>
                <w:color w:val="auto"/>
              </w:rPr>
            </w:pPr>
            <w:r>
              <w:rPr>
                <w:rFonts w:ascii="Arial" w:cs="Arial" w:eastAsia="Arial" w:hAnsi="Arial"/>
                <w:sz w:val="16"/>
                <w:szCs w:val="16"/>
                <w:color w:val="auto"/>
              </w:rPr>
              <w:t>XBRL Taxonomy Extension Calculation Linkbase Document</w:t>
            </w:r>
          </w:p>
        </w:tc>
        <w:tc>
          <w:tcPr>
            <w:tcW w:w="1580" w:type="dxa"/>
            <w:vAlign w:val="bottom"/>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101.DEF*</w:t>
            </w:r>
          </w:p>
        </w:tc>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XBRL Taxonomy Extension Definition Linkbase Document</w:t>
            </w:r>
          </w:p>
        </w:tc>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8780" w:type="dxa"/>
            <w:vAlign w:val="bottom"/>
          </w:tcPr>
          <w:p>
            <w:pPr>
              <w:ind w:left="40"/>
              <w:spacing w:after="0"/>
              <w:rPr>
                <w:sz w:val="20"/>
                <w:szCs w:val="20"/>
                <w:color w:val="auto"/>
              </w:rPr>
            </w:pPr>
            <w:r>
              <w:rPr>
                <w:rFonts w:ascii="Arial" w:cs="Arial" w:eastAsia="Arial" w:hAnsi="Arial"/>
                <w:sz w:val="16"/>
                <w:szCs w:val="16"/>
                <w:color w:val="auto"/>
              </w:rPr>
              <w:t>XBRL Taxonomy Extension Label Linkbase Document</w:t>
            </w:r>
          </w:p>
        </w:tc>
        <w:tc>
          <w:tcPr>
            <w:tcW w:w="1580" w:type="dxa"/>
            <w:vAlign w:val="bottom"/>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101.PRE*</w:t>
            </w:r>
          </w:p>
        </w:tc>
        <w:tc>
          <w:tcPr>
            <w:tcW w:w="8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7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840" w:hanging="805"/>
        <w:spacing w:after="0"/>
        <w:tabs>
          <w:tab w:leader="none" w:pos="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Certain confidential portions have been omitted pursuant to a granted request for confidential treatment, which has been separately filed with the SEC.</w:t>
      </w:r>
    </w:p>
    <w:p>
      <w:pPr>
        <w:spacing w:after="0" w:line="84" w:lineRule="exact"/>
        <w:rPr>
          <w:sz w:val="20"/>
          <w:szCs w:val="20"/>
          <w:color w:val="auto"/>
        </w:rPr>
      </w:pPr>
    </w:p>
    <w:p>
      <w:pPr>
        <w:ind w:left="840" w:hanging="805"/>
        <w:spacing w:after="0"/>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34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as amended, the Registrant has duly caused this report to be signed on its behalf by the undersigned, 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315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&amp; Chief Executive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3, 2016</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34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3rd day of February 2016 by the following persons on behalf of the Registrant and in the capacities indicated, including a majority of the directors.</w:t>
      </w:r>
    </w:p>
    <w:p>
      <w:pPr>
        <w:spacing w:after="0" w:line="176" w:lineRule="exact"/>
        <w:rPr>
          <w:sz w:val="20"/>
          <w:szCs w:val="20"/>
          <w:color w:val="auto"/>
        </w:rPr>
      </w:pPr>
    </w:p>
    <w:p>
      <w:pPr>
        <w:ind w:left="2120"/>
        <w:spacing w:after="0"/>
        <w:tabs>
          <w:tab w:leader="none" w:pos="83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Mary T. Barra</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Charles K. Stevens III</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Thomas S. Timko</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Theodore M. Solso</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J.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J. Ashton</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Stephen J. Girsky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Linda R. Gooden</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Jimenez</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KATHRYN V.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Kathryn V. Marinello</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Admiral Michael G. Mullen, USN (ret.)</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James J. Mulva</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Patricia F. Russo</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Thomas M. Schoewe</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3044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Carol M. Stephenson</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Chairman &amp; Chief Executive Officer</w:t>
      </w:r>
    </w:p>
    <w:p>
      <w:pPr>
        <w:spacing w:after="0" w:line="200" w:lineRule="exact"/>
        <w:rPr>
          <w:sz w:val="20"/>
          <w:szCs w:val="20"/>
          <w:color w:val="auto"/>
        </w:rPr>
      </w:pPr>
    </w:p>
    <w:p>
      <w:pPr>
        <w:spacing w:after="0" w:line="345" w:lineRule="exact"/>
        <w:rPr>
          <w:sz w:val="20"/>
          <w:szCs w:val="20"/>
          <w:color w:val="auto"/>
        </w:rPr>
      </w:pPr>
    </w:p>
    <w:p>
      <w:pPr>
        <w:jc w:val="center"/>
        <w:ind w:right="2320"/>
        <w:spacing w:after="0"/>
        <w:rPr>
          <w:sz w:val="20"/>
          <w:szCs w:val="20"/>
          <w:color w:val="auto"/>
        </w:rPr>
      </w:pPr>
      <w:r>
        <w:rPr>
          <w:rFonts w:ascii="Arial" w:cs="Arial" w:eastAsia="Arial" w:hAnsi="Arial"/>
          <w:sz w:val="14"/>
          <w:szCs w:val="14"/>
          <w:color w:val="auto"/>
        </w:rPr>
        <w:t>Executive Vice President and Chief Financial Officer</w:t>
      </w:r>
    </w:p>
    <w:p>
      <w:pPr>
        <w:spacing w:after="0" w:line="200" w:lineRule="exact"/>
        <w:rPr>
          <w:sz w:val="20"/>
          <w:szCs w:val="20"/>
          <w:color w:val="auto"/>
        </w:rPr>
      </w:pPr>
    </w:p>
    <w:p>
      <w:pPr>
        <w:spacing w:after="0" w:line="368" w:lineRule="exact"/>
        <w:rPr>
          <w:sz w:val="20"/>
          <w:szCs w:val="20"/>
          <w:color w:val="auto"/>
        </w:rPr>
      </w:pPr>
    </w:p>
    <w:p>
      <w:pPr>
        <w:jc w:val="center"/>
        <w:ind w:right="2120"/>
        <w:spacing w:after="0"/>
        <w:rPr>
          <w:sz w:val="20"/>
          <w:szCs w:val="20"/>
          <w:color w:val="auto"/>
        </w:rPr>
      </w:pPr>
      <w:r>
        <w:rPr>
          <w:rFonts w:ascii="Arial" w:cs="Arial" w:eastAsia="Arial" w:hAnsi="Arial"/>
          <w:sz w:val="15"/>
          <w:szCs w:val="15"/>
          <w:color w:val="auto"/>
        </w:rPr>
        <w:t>Vice President, Controller and Chief Accounting Officer</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Lead 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470" w:lineRule="exact"/>
        <w:rPr>
          <w:sz w:val="20"/>
          <w:szCs w:val="20"/>
          <w:color w:val="auto"/>
        </w:rPr>
      </w:pPr>
    </w:p>
    <w:p>
      <w:pPr>
        <w:sectPr>
          <w:pgSz w:w="11900" w:h="16838" w:orient="portrait"/>
          <w:cols w:equalWidth="0" w:num="2">
            <w:col w:w="4920" w:space="720"/>
            <w:col w:w="5780"/>
          </w:cols>
          <w:pgMar w:left="240" w:top="341" w:right="239" w:bottom="1440" w:gutter="0" w:footer="0" w:header="0"/>
          <w:type w:val="continuous"/>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341"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COMPUTATIONS OF RATIO OF EARNINGS TO FIXED CHARGES AND RATIO OF EARNINGS TO COMBINED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millions</w:t>
      </w:r>
      <w:r>
        <w:rPr>
          <w:rFonts w:ascii="Arial" w:cs="Arial" w:eastAsia="Arial" w:hAnsi="Arial"/>
          <w:sz w:val="18"/>
          <w:szCs w:val="18"/>
          <w:b w:val="1"/>
          <w:bCs w:val="1"/>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right"/>
              <w:ind w:right="42"/>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0"/>
        </w:trPr>
        <w:tc>
          <w:tcPr>
            <w:tcW w:w="4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58"/>
        </w:trPr>
        <w:tc>
          <w:tcPr>
            <w:tcW w:w="4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2011</w:t>
            </w:r>
          </w:p>
        </w:tc>
      </w:tr>
      <w:tr>
        <w:trPr>
          <w:trHeight w:val="206"/>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Income (loss) from continuing operations before income taxes and equity</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38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(30,257)</w:t>
            </w:r>
          </w:p>
        </w:tc>
        <w:tc>
          <w:tcPr>
            <w:tcW w:w="3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Fixed charges excluding capitalized interest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960</w:t>
            </w:r>
          </w:p>
        </w:tc>
      </w:tr>
      <w:tr>
        <w:trPr>
          <w:trHeight w:val="3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capitalized interest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Dividends from nonconsolidated affiliates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1,350</w:t>
            </w:r>
          </w:p>
        </w:tc>
      </w:tr>
      <w:tr>
        <w:trPr>
          <w:trHeight w:val="33"/>
        </w:trPr>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(losses) available for fixed charges</w:t>
            </w:r>
          </w:p>
        </w:tc>
        <w:tc>
          <w:tcPr>
            <w:tcW w:w="38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(27,758)</w:t>
            </w:r>
          </w:p>
        </w:tc>
        <w:tc>
          <w:tcPr>
            <w:tcW w:w="3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related charges on debt</w:t>
            </w:r>
          </w:p>
        </w:tc>
        <w:tc>
          <w:tcPr>
            <w:tcW w:w="38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805</w:t>
            </w:r>
          </w:p>
        </w:tc>
        <w:tc>
          <w:tcPr>
            <w:tcW w:w="36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799</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Portion of rentals deemed to be interest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161</w:t>
            </w:r>
          </w:p>
        </w:tc>
      </w:tr>
      <w:tr>
        <w:trPr>
          <w:trHeight w:val="3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capitalized in period</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r>
      <w:tr>
        <w:trPr>
          <w:trHeight w:val="217"/>
        </w:trPr>
        <w:tc>
          <w:tcPr>
            <w:tcW w:w="4980" w:type="dxa"/>
            <w:vAlign w:val="bottom"/>
          </w:tcPr>
          <w:p>
            <w:pPr>
              <w:ind w:left="40"/>
              <w:spacing w:after="0"/>
              <w:rPr>
                <w:sz w:val="20"/>
                <w:szCs w:val="20"/>
                <w:color w:val="auto"/>
              </w:rPr>
            </w:pPr>
            <w:r>
              <w:rPr>
                <w:rFonts w:ascii="Arial" w:cs="Arial" w:eastAsia="Arial" w:hAnsi="Arial"/>
                <w:sz w:val="16"/>
                <w:szCs w:val="16"/>
                <w:color w:val="auto"/>
              </w:rPr>
              <w:t>Total fixed charges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1,051</w:t>
            </w:r>
          </w:p>
        </w:tc>
      </w:tr>
      <w:tr>
        <w:trPr>
          <w:trHeight w:val="3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dividends grossed up to a pre-tax basis</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844</w:t>
            </w:r>
          </w:p>
        </w:tc>
      </w:tr>
      <w:tr>
        <w:trPr>
          <w:trHeight w:val="217"/>
        </w:trPr>
        <w:tc>
          <w:tcPr>
            <w:tcW w:w="4980" w:type="dxa"/>
            <w:vAlign w:val="bottom"/>
          </w:tcPr>
          <w:p>
            <w:pPr>
              <w:ind w:left="40"/>
              <w:spacing w:after="0"/>
              <w:rPr>
                <w:sz w:val="20"/>
                <w:szCs w:val="20"/>
                <w:color w:val="auto"/>
              </w:rPr>
            </w:pPr>
            <w:r>
              <w:rPr>
                <w:rFonts w:ascii="Arial" w:cs="Arial" w:eastAsia="Arial" w:hAnsi="Arial"/>
                <w:sz w:val="16"/>
                <w:szCs w:val="16"/>
                <w:color w:val="auto"/>
              </w:rPr>
              <w:t>Combined fixed charges and preferred stock dividends</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1,895</w:t>
            </w:r>
          </w:p>
        </w:tc>
      </w:tr>
      <w:tr>
        <w:trPr>
          <w:trHeight w:val="73"/>
        </w:trPr>
        <w:tc>
          <w:tcPr>
            <w:tcW w:w="49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102"/>
        </w:trPr>
        <w:tc>
          <w:tcPr>
            <w:tcW w:w="4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Ratio of earnings to fixed charges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7.90</w:t>
            </w:r>
          </w:p>
        </w:tc>
      </w:tr>
      <w:tr>
        <w:trPr>
          <w:trHeight w:val="3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Ratio of earnings to combined fixed charges and preferred stock dividends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4.38</w:t>
            </w:r>
          </w:p>
        </w:tc>
      </w:tr>
      <w:tr>
        <w:trPr>
          <w:trHeight w:val="33"/>
        </w:trPr>
        <w:tc>
          <w:tcPr>
            <w:tcW w:w="4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Earnings in the year ended December 31, 2012 were inadequate to cover fixed charges by $28.8 billion and combined fixed charges and preferred stock dividends by $29.7 billion.</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2015</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2140879 Ontario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ACAR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ACF Investment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Adam Opel AG</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AFS Management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AFS SenSub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Aftermarket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Consumer Loan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Financial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Funding Corp. XI</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Syndicated Warehouse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Annunciata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APGO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Approach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Argonaut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Auto Lease Finance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Auto Partners III,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Banco GMAC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Baylis (Gloucester)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Bean Chevrolet Buick GMC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Berse Road (No. 1)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Berse Road (No. 2)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Bochum Perspektive 2022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Boden Brussels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Bridge Motors (Banbury)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Bridgewater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Britain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Cadillac Europe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Cadillac of Greenwich,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Carve-Out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Cadillac of Pawling,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of Columbus,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of Novato,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India Private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CHEVYPLAN S.A. Sociedad Administradora de Planes de Autofinanciamiento Comercial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Controladora General Motors,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Courtesy Buick-GMC,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Crosby Automotive Group,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380"/>
          </w:cols>
          <w:pgMar w:left="280" w:top="126" w:right="2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2015</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Curt Warner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Daniels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DCJ1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Dealership Liquidations,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Delphi Energy and Engine Management Systems UK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DMAX,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FAW-GM Light Duty Commercial Vehicle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Fox Valley Buick-GMC,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Financiera de Colombia S.A. Compania de Financiamiento Comercial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G.M.A.C.-Comercio e Aluguer de Veiculos, Lda.</w:t>
            </w:r>
          </w:p>
        </w:tc>
        <w:tc>
          <w:tcPr>
            <w:tcW w:w="172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International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(Hong Kong)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 Colmotores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Africa and Middle East FZE</w:t>
            </w:r>
          </w:p>
        </w:tc>
        <w:tc>
          <w:tcPr>
            <w:tcW w:w="1720" w:type="dxa"/>
            <w:vAlign w:val="bottom"/>
            <w:gridSpan w:val="3"/>
          </w:tcPr>
          <w:p>
            <w:pPr>
              <w:spacing w:after="0"/>
              <w:rPr>
                <w:sz w:val="20"/>
                <w:szCs w:val="20"/>
                <w:color w:val="auto"/>
              </w:rPr>
            </w:pPr>
            <w:r>
              <w:rPr>
                <w:rFonts w:ascii="Arial" w:cs="Arial" w:eastAsia="Arial" w:hAnsi="Arial"/>
                <w:sz w:val="18"/>
                <w:szCs w:val="18"/>
                <w:color w:val="auto"/>
                <w:w w:val="99"/>
              </w:rPr>
              <w:t>United Arab Emirates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Pacific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Asset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Australia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Austria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Automobiles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Automotive Holdings,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Belgium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Daewoo Auto and Technology CIS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Argentina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del Ecuador S.A.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do Brasil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East Africa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Egypt, S.A.E.</w:t>
            </w:r>
          </w:p>
        </w:tc>
        <w:tc>
          <w:tcPr>
            <w:tcW w:w="172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Espana, S.L.U.</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Europe Holdings, S.L.U.</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International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Italia S.p.A.</w:t>
            </w:r>
          </w:p>
        </w:tc>
        <w:tc>
          <w:tcPr>
            <w:tcW w:w="172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of Canada,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2015</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Finland Oy</w:t>
            </w:r>
          </w:p>
        </w:tc>
        <w:tc>
          <w:tcPr>
            <w:tcW w:w="1720" w:type="dxa"/>
            <w:vAlign w:val="bottom"/>
            <w:gridSpan w:val="3"/>
          </w:tcPr>
          <w:p>
            <w:pPr>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France</w:t>
            </w:r>
          </w:p>
        </w:tc>
        <w:tc>
          <w:tcPr>
            <w:tcW w:w="172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GBS Hungary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Global Service Operations,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Hellas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NSC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Participacoes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Investments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Ireland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Israel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Italia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Japan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Manufacturing Poland Sp. z o.o.</w:t>
            </w:r>
          </w:p>
        </w:tc>
        <w:tc>
          <w:tcPr>
            <w:tcW w:w="1720" w:type="dxa"/>
            <w:vAlign w:val="bottom"/>
            <w:gridSpan w:val="3"/>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Nederland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New Zealand Pensions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of Canada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Commercial Vehicle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Corporation (active)</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Distribution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Peru S.A.</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Poland Spolka, z o. o.</w:t>
            </w:r>
          </w:p>
        </w:tc>
        <w:tc>
          <w:tcPr>
            <w:tcW w:w="1720" w:type="dxa"/>
            <w:vAlign w:val="bottom"/>
            <w:gridSpan w:val="3"/>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Portugal Lda.</w:t>
            </w:r>
          </w:p>
        </w:tc>
        <w:tc>
          <w:tcPr>
            <w:tcW w:w="172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Powertrain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Powertrain - Europe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Research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South Africa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Suisse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Taiwan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Treasury Center,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Turkiye Limited Sirketi</w:t>
            </w:r>
          </w:p>
        </w:tc>
        <w:tc>
          <w:tcPr>
            <w:tcW w:w="1720" w:type="dxa"/>
            <w:vAlign w:val="bottom"/>
            <w:gridSpan w:val="3"/>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Uruguay S.A.</w:t>
            </w:r>
          </w:p>
        </w:tc>
        <w:tc>
          <w:tcPr>
            <w:tcW w:w="1720" w:type="dxa"/>
            <w:vAlign w:val="bottom"/>
            <w:gridSpan w:val="3"/>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19" w:name="page120"/>
    <w:bookmarkEnd w:id="119"/>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Venezolana,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Warehousing and Trading (Shanghai)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Motors-Holden's Sales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Georgia Automotive Group,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Tooling Service Company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(UK)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Administradora de Bens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APO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Auslandsprojekte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Automotive Services Belgium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Automotive UK</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Canada Holdings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Canada Limited Partnership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CME Holdings C.V.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Components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Daewoo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Deutschland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Eurometals,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Europe Treasury Company AB</w:t>
            </w:r>
          </w:p>
        </w:tc>
        <w:tc>
          <w:tcPr>
            <w:tcW w:w="17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Finance 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Canada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Consumer Discount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 Mexico, S.A. de C.V. SOFOM E.R.</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Del Peru S.A.C.</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Insurance Services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Management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Mexico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Real Estate GmbH &amp; Co KG</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GEFS HOLDINGS (CHC4) ULC</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Business Services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Purchasing and Supply Chain Romania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Technology Operations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Tooling Company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Holden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Holdings U.K. No.1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Holdings U.K. No.3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International Sales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Inversiones Santiago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2015</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GM Investment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Korea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LAAM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Mexico Holdings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Personnel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Plats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PSA Purchasing Services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Retirees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Subsystems Manufacturing,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Viet Nam Motor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GM-DI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GM-UMI Technology Research and Development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 Instituicao Financeira de Credito, S.A.</w:t>
            </w:r>
          </w:p>
        </w:tc>
        <w:tc>
          <w:tcPr>
            <w:tcW w:w="172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Administradora de Consorcios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Automotriz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Banque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Colombia S.A.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Comercial Automotriz Chile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Continental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de Venezuela,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Espana de Financiacion, S.A. Unipersonal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Financial Services AB</w:t>
            </w:r>
          </w:p>
        </w:tc>
        <w:tc>
          <w:tcPr>
            <w:tcW w:w="17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Holdings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Lease B.V. (aka Masterlease Europe)</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Nederland N.V.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Servicios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Suisse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UK plc</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GMAC-Prestadora de Servios de Mo-de-Obra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GMACI Corretora de Seguros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GMAM Real Estate I,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GMCH&amp;SP Private Equity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Automobile Leasing Trust 2013-PP1</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Europe Holdco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Europe LLP</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Floorplan Owner Revolving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Funding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Germany Holdings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Global Assignment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International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2015</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GMF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Leasing Warehousing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Wholesale Receivables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Go Motor Retailing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Go Trade Parts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Park Condominium Association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H.S.H.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Haines &amp; Strange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Heritage Chevrolet Cadillac Buick GMC,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Holden Employees Superannuation Fund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Holden New Zealand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IBC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IBC Vehicles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Infinite Velocity Automotive,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IUE-GM National Joint Skill Development and Training Committee</w:t>
            </w:r>
          </w:p>
        </w:tc>
        <w:tc>
          <w:tcPr>
            <w:tcW w:w="172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Jeffery (Wandsworth)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JS Folsom Automotive,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Lease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Lidlington Engineering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Limited Liability Company "General Motors CIS"</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Mack Buick-GMC,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Manassas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Martin Automotive,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Master Lease Germany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Masterlease Europe Renting,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Memorial Highway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Merced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Mike Reichenbach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Millbrook Pension Management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Missouri Automotive Group,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Monetization of Carve-Out,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 Repris Automocio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Holding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Properties (Trading)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Properties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Multi-Use Lease Entity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Neovia Logistics Supply Chain Services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North American New Cars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Omnibus BB Transportes, S. 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Europe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2015</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Bank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Danmark A/S</w:t>
            </w:r>
          </w:p>
        </w:tc>
        <w:tc>
          <w:tcPr>
            <w:tcW w:w="172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Group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Leasing Austria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Leasing GmbH (German entity)</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Norge AS</w:t>
            </w:r>
          </w:p>
        </w:tc>
        <w:tc>
          <w:tcPr>
            <w:tcW w:w="1720" w:type="dxa"/>
            <w:vAlign w:val="bottom"/>
            <w:gridSpan w:val="3"/>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Southeast Europe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Sverige AB</w:t>
            </w:r>
          </w:p>
        </w:tc>
        <w:tc>
          <w:tcPr>
            <w:tcW w:w="17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Szentgotthard Automotive Manufacturing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Opel Wien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 M AutoWorld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Patriot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Pearl (Crawley)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Buyout Fund of Funds II Parallel,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Buyout Fund of Funds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Buyout Fund of Funds,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Direct Investments 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Direct Investments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Equity Management,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Global Fund of Funds 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Opportunities Fund,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Venture Capital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Venture Capital III,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Performance Venture Capital, L.P.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PIMS Co.</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Princeton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 Manufacturing</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Phase 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RMH III,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Corporation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Investment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Sales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Motors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Powertrain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GM (Shenyang) Norsom Motors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GM Wuling Automobile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23" w:name="page124"/>
    <w:bookmarkEnd w:id="123"/>
    <w:p>
      <w:pPr>
        <w:jc w:val="center"/>
        <w:ind w:right="-37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 OF DECEMBER 31,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SAIC-GMAC Automotive Finance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Sandoval Buick GMC,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Servicios GMAC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Chengxin Used Car Operation and Management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OnStar Telematics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Sherwoods (Darlington)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Sistemas de Compra Programada Chevrolet,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Skurrays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Smokey Point Buick Pontiac GMC,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Stam-Terberg Autobedrijven B. 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Superior Chevrolet,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Todd Wenzel Buick GMC of Davison,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Todd Wenzel Buick GMC of Westland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Tradition Chevrolet Buick,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Uptown Chevrolet-Cadillac,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Valentine Buick GMC,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Vauxhall Defined Contribution Pension Plan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Vehicle Asset Universal Leasing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Velocity Prime Automotive,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Vence Lone Star Motors,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VHC Sub-Holdings (UK)</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Vickers (Lakeside)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Vision Motors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Wilson &amp; Co. (Lincoln)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Woodbridge Buick GMC,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WRE,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Zona Franca Industrial Colmotores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459"/>
        </w:trPr>
        <w:tc>
          <w:tcPr>
            <w:tcW w:w="9060" w:type="dxa"/>
            <w:vAlign w:val="bottom"/>
            <w:gridSpan w:val="3"/>
          </w:tcPr>
          <w:p>
            <w:pPr>
              <w:spacing w:after="0"/>
              <w:rPr>
                <w:sz w:val="20"/>
                <w:szCs w:val="20"/>
                <w:color w:val="auto"/>
              </w:rPr>
            </w:pPr>
            <w:r>
              <w:rPr>
                <w:rFonts w:ascii="Arial" w:cs="Arial" w:eastAsia="Arial" w:hAnsi="Arial"/>
                <w:sz w:val="18"/>
                <w:szCs w:val="18"/>
                <w:color w:val="auto"/>
              </w:rPr>
              <w:t>Total - 321</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Item 601(b)(21) of Regulation S-K we have omitted certain subsidiaries which, considered in the aggregate as a single subsidiary, would not constitute a significant subsidiary at December 31, 2015. Additionally 42 subsidiaries of General Motors Financial Company, Inc. have been omitted that operate in the U.S. in the same line of business as General Motors Financial Company, Inc. at December 31, 2015.</w:t>
      </w:r>
    </w:p>
    <w:p>
      <w:pPr>
        <w:sectPr>
          <w:pgSz w:w="11900" w:h="16838" w:orient="portrait"/>
          <w:cols w:equalWidth="0" w:num="1">
            <w:col w:w="11040"/>
          </w:cols>
          <w:pgMar w:left="240" w:top="121" w:right="6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333-196812 on Form S-8 and Registration Statement No. 333-188153 and 333-195601 on Forms S-3 of our reports dated February 3, 2016 relating to the consolidated financial statements of General Motors Company and subsidiaries (the Company) and the effectiveness of the Company's internal control over financial reporting, appearing in this Annual Report on Form 10-K of General Motors Company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2016</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333-196812 on Form S-8 and Registration Statement No. 333-188153 and 333-195601 on Forms S-3 of our report dated January 27, 2016 relating to the consolidated financial statements of SAIC General Motors Corp., Ltd and subsidiaries appearing in this Annual Report on Form 10-K of General Motors Company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DELOITTE TOUCHE TOHMATSU CERTIFIED PUBLIC ACCOUNTANTS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7992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Touche Tohmatsu Certified Public Accountants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Shanghai, China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27, 2016</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 Ashton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J. Girsky</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February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3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Linda R. Gooden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Jimenez</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KATHRYN V.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Kathryn V. Marinello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February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Kyle D. Crockett and Jill E. Sutton,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49"/>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0"/>
              </w:rPr>
              <w:t>Year Ended December 31, 2015</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6073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3, 2016</w:t>
      </w:r>
    </w:p>
    <w:p>
      <w:pPr>
        <w:sectPr>
          <w:pgSz w:w="11900" w:h="16838" w:orient="portrait"/>
          <w:cols w:equalWidth="0" w:num="1">
            <w:col w:w="11420"/>
          </w:cols>
          <w:pgMar w:left="240" w:top="337"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361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3, 2016</w:t>
      </w:r>
    </w:p>
    <w:p>
      <w:pPr>
        <w:sectPr>
          <w:pgSz w:w="11900" w:h="16838" w:orient="portrait"/>
          <w:cols w:equalWidth="0" w:num="1">
            <w:col w:w="11420"/>
          </w:cols>
          <w:pgMar w:left="240" w:top="337"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Annual Report of General Motors Company (the “Company”) on Form 10-K for the period ended December 31, 2015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&amp; Chief Executive Officer</w:t>
      </w:r>
    </w:p>
    <w:p>
      <w:pPr>
        <w:spacing w:after="0" w:line="200" w:lineRule="exact"/>
        <w:rPr>
          <w:sz w:val="20"/>
          <w:szCs w:val="20"/>
          <w:color w:val="auto"/>
        </w:rPr>
      </w:pPr>
    </w:p>
    <w:p>
      <w:pPr>
        <w:spacing w:after="0" w:line="34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3, 2016</w:t>
      </w:r>
    </w:p>
    <w:p>
      <w:pPr>
        <w:sectPr>
          <w:pgSz w:w="11900" w:h="16838" w:orient="portrait"/>
          <w:cols w:equalWidth="0" w:num="1">
            <w:col w:w="11420"/>
          </w:cols>
          <w:pgMar w:left="240" w:top="33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SAIC GENERAL MOTORS CORP., LTD.</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u w:val="single" w:color="auto"/>
          <w:color w:val="auto"/>
        </w:rPr>
        <w:t>(F.K.A. SHANGHAI GENERAL MOTORS CORP., LTD.) AND SUBSIDIARIES</w:t>
      </w:r>
    </w:p>
    <w:p>
      <w:pPr>
        <w:spacing w:after="0" w:line="236"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Consolidated Financial Statements as of and for the Years Ended</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December 31, 2015 and 2014 and Independent Auditors’ Report</w:t>
      </w:r>
    </w:p>
    <w:p>
      <w:pPr>
        <w:sectPr>
          <w:pgSz w:w="11900" w:h="16838" w:orient="portrait"/>
          <w:cols w:equalWidth="0" w:num="1">
            <w:col w:w="10220"/>
          </w:cols>
          <w:pgMar w:left="1440" w:top="126"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SAIC GENERAL MOTORS CORP., LTD. and SUBSIDIARIES</w:t>
            </w: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8"/>
        </w:trPr>
        <w:tc>
          <w:tcPr>
            <w:tcW w:w="1140" w:type="dxa"/>
            <w:vAlign w:val="bottom"/>
          </w:tcPr>
          <w:p>
            <w:pPr>
              <w:spacing w:after="0"/>
              <w:rPr>
                <w:sz w:val="20"/>
                <w:szCs w:val="20"/>
                <w:color w:val="auto"/>
              </w:rPr>
            </w:pPr>
            <w:r>
              <w:rPr>
                <w:rFonts w:ascii="Arial" w:cs="Arial" w:eastAsia="Arial" w:hAnsi="Arial"/>
                <w:sz w:val="22"/>
                <w:szCs w:val="22"/>
                <w:color w:val="auto"/>
                <w:w w:val="92"/>
              </w:rPr>
              <w:t>CONTENTS</w:t>
            </w:r>
          </w:p>
        </w:tc>
        <w:tc>
          <w:tcPr>
            <w:tcW w:w="6680" w:type="dxa"/>
            <w:vAlign w:val="bottom"/>
            <w:gridSpan w:val="2"/>
          </w:tcPr>
          <w:p>
            <w:pPr>
              <w:spacing w:after="0"/>
              <w:rPr>
                <w:sz w:val="24"/>
                <w:szCs w:val="24"/>
                <w:color w:val="auto"/>
              </w:rPr>
            </w:pPr>
          </w:p>
        </w:tc>
        <w:tc>
          <w:tcPr>
            <w:tcW w:w="2080" w:type="dxa"/>
            <w:vAlign w:val="bottom"/>
            <w:gridSpan w:val="9"/>
          </w:tcPr>
          <w:p>
            <w:pPr>
              <w:ind w:left="1280"/>
              <w:spacing w:after="0"/>
              <w:rPr>
                <w:sz w:val="20"/>
                <w:szCs w:val="20"/>
                <w:color w:val="auto"/>
              </w:rPr>
            </w:pPr>
            <w:r>
              <w:rPr>
                <w:rFonts w:ascii="Arial" w:cs="Arial" w:eastAsia="Arial" w:hAnsi="Arial"/>
                <w:sz w:val="22"/>
                <w:szCs w:val="22"/>
                <w:color w:val="auto"/>
                <w:w w:val="86"/>
              </w:rPr>
              <w:t>PAGE(S)</w:t>
            </w:r>
          </w:p>
        </w:tc>
      </w:tr>
      <w:tr>
        <w:trPr>
          <w:trHeight w:val="20"/>
        </w:trPr>
        <w:tc>
          <w:tcPr>
            <w:tcW w:w="1140" w:type="dxa"/>
            <w:vAlign w:val="bottom"/>
            <w:shd w:val="clear" w:color="auto" w:fill="000000"/>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1249"/>
        </w:trPr>
        <w:tc>
          <w:tcPr>
            <w:tcW w:w="7820" w:type="dxa"/>
            <w:vAlign w:val="bottom"/>
            <w:gridSpan w:val="3"/>
          </w:tcPr>
          <w:p>
            <w:pPr>
              <w:spacing w:after="0"/>
              <w:rPr>
                <w:sz w:val="20"/>
                <w:szCs w:val="20"/>
                <w:color w:val="auto"/>
              </w:rPr>
            </w:pPr>
            <w:r>
              <w:rPr>
                <w:rFonts w:ascii="Arial" w:cs="Arial" w:eastAsia="Arial" w:hAnsi="Arial"/>
                <w:sz w:val="22"/>
                <w:szCs w:val="22"/>
                <w:color w:val="auto"/>
              </w:rPr>
              <w:t>INDEPENDENT AUDITORS' REPORT</w:t>
            </w:r>
          </w:p>
        </w:tc>
        <w:tc>
          <w:tcPr>
            <w:tcW w:w="1880" w:type="dxa"/>
            <w:vAlign w:val="bottom"/>
            <w:gridSpan w:val="7"/>
          </w:tcPr>
          <w:p>
            <w:pPr>
              <w:jc w:val="center"/>
              <w:ind w:left="1372"/>
              <w:spacing w:after="0"/>
              <w:rPr>
                <w:rFonts w:ascii="Arial" w:cs="Arial" w:eastAsia="Arial" w:hAnsi="Arial"/>
                <w:sz w:val="22"/>
                <w:szCs w:val="22"/>
                <w:color w:val="0000EE"/>
                <w:w w:val="90"/>
              </w:rPr>
            </w:pPr>
            <w:hyperlink w:anchor="page142">
              <w:r>
                <w:rPr>
                  <w:rFonts w:ascii="Arial" w:cs="Arial" w:eastAsia="Arial" w:hAnsi="Arial"/>
                  <w:sz w:val="22"/>
                  <w:szCs w:val="22"/>
                  <w:color w:val="0000EE"/>
                  <w:w w:val="90"/>
                </w:rPr>
                <w:t>1 - 2</w:t>
              </w:r>
            </w:hyperlink>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782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25"/>
        </w:trPr>
        <w:tc>
          <w:tcPr>
            <w:tcW w:w="7820" w:type="dxa"/>
            <w:vAlign w:val="bottom"/>
            <w:gridSpan w:val="3"/>
          </w:tcPr>
          <w:p>
            <w:pPr>
              <w:spacing w:after="0"/>
              <w:rPr>
                <w:sz w:val="20"/>
                <w:szCs w:val="20"/>
                <w:color w:val="auto"/>
              </w:rPr>
            </w:pPr>
            <w:r>
              <w:rPr>
                <w:rFonts w:ascii="Arial" w:cs="Arial" w:eastAsia="Arial" w:hAnsi="Arial"/>
                <w:sz w:val="22"/>
                <w:szCs w:val="22"/>
                <w:color w:val="auto"/>
              </w:rPr>
              <w:t>CONSOLIDATED BALANCE SHEETS</w:t>
            </w:r>
          </w:p>
        </w:tc>
        <w:tc>
          <w:tcPr>
            <w:tcW w:w="1880" w:type="dxa"/>
            <w:vAlign w:val="bottom"/>
            <w:gridSpan w:val="7"/>
          </w:tcPr>
          <w:p>
            <w:pPr>
              <w:jc w:val="center"/>
              <w:ind w:left="1372"/>
              <w:spacing w:after="0"/>
              <w:rPr>
                <w:rFonts w:ascii="Arial" w:cs="Arial" w:eastAsia="Arial" w:hAnsi="Arial"/>
                <w:sz w:val="22"/>
                <w:szCs w:val="22"/>
                <w:color w:val="0000EE"/>
                <w:w w:val="90"/>
              </w:rPr>
            </w:pPr>
            <w:hyperlink w:anchor="page144">
              <w:r>
                <w:rPr>
                  <w:rFonts w:ascii="Arial" w:cs="Arial" w:eastAsia="Arial" w:hAnsi="Arial"/>
                  <w:sz w:val="22"/>
                  <w:szCs w:val="22"/>
                  <w:color w:val="0000EE"/>
                  <w:w w:val="90"/>
                </w:rPr>
                <w:t>3 - 4</w:t>
              </w:r>
            </w:hyperlink>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76"/>
        </w:trPr>
        <w:tc>
          <w:tcPr>
            <w:tcW w:w="7820" w:type="dxa"/>
            <w:vAlign w:val="bottom"/>
            <w:gridSpan w:val="3"/>
          </w:tcPr>
          <w:p>
            <w:pPr>
              <w:spacing w:after="0"/>
              <w:rPr>
                <w:sz w:val="20"/>
                <w:szCs w:val="20"/>
                <w:color w:val="auto"/>
              </w:rPr>
            </w:pPr>
            <w:r>
              <w:rPr>
                <w:rFonts w:ascii="Arial" w:cs="Arial" w:eastAsia="Arial" w:hAnsi="Arial"/>
                <w:sz w:val="22"/>
                <w:szCs w:val="22"/>
                <w:color w:val="auto"/>
              </w:rPr>
              <w:t>CONSOLIDATED STATEMENTS OF INCOME</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7"/>
        </w:trPr>
        <w:tc>
          <w:tcPr>
            <w:tcW w:w="7820" w:type="dxa"/>
            <w:vAlign w:val="bottom"/>
            <w:gridSpan w:val="3"/>
          </w:tcPr>
          <w:p>
            <w:pPr>
              <w:ind w:left="40"/>
              <w:spacing w:after="0" w:line="246" w:lineRule="exact"/>
              <w:rPr>
                <w:sz w:val="20"/>
                <w:szCs w:val="20"/>
                <w:color w:val="auto"/>
              </w:rPr>
            </w:pPr>
            <w:r>
              <w:rPr>
                <w:rFonts w:ascii="Arial" w:cs="Arial" w:eastAsia="Arial" w:hAnsi="Arial"/>
                <w:sz w:val="22"/>
                <w:szCs w:val="22"/>
                <w:color w:val="auto"/>
              </w:rPr>
              <w:t>AND COMPREHENSIVE INCOME</w:t>
            </w:r>
          </w:p>
        </w:tc>
        <w:tc>
          <w:tcPr>
            <w:tcW w:w="1620" w:type="dxa"/>
            <w:vAlign w:val="bottom"/>
            <w:gridSpan w:val="4"/>
          </w:tcPr>
          <w:p>
            <w:pPr>
              <w:spacing w:after="0"/>
              <w:rPr>
                <w:sz w:val="21"/>
                <w:szCs w:val="21"/>
                <w:color w:val="auto"/>
              </w:rPr>
            </w:pPr>
          </w:p>
        </w:tc>
        <w:tc>
          <w:tcPr>
            <w:tcW w:w="140" w:type="dxa"/>
            <w:vAlign w:val="bottom"/>
            <w:tcBorders>
              <w:bottom w:val="single" w:sz="8" w:color="0000EE"/>
            </w:tcBorders>
            <w:gridSpan w:val="2"/>
          </w:tcPr>
          <w:p>
            <w:pPr>
              <w:jc w:val="center"/>
              <w:ind w:right="20"/>
              <w:spacing w:after="0" w:line="246" w:lineRule="exact"/>
              <w:rPr>
                <w:rFonts w:ascii="Arial" w:cs="Arial" w:eastAsia="Arial" w:hAnsi="Arial"/>
                <w:sz w:val="22"/>
                <w:szCs w:val="22"/>
                <w:color w:val="0000EE"/>
                <w:w w:val="97"/>
              </w:rPr>
            </w:pPr>
            <w:hyperlink w:anchor="page146">
              <w:r>
                <w:rPr>
                  <w:rFonts w:ascii="Arial" w:cs="Arial" w:eastAsia="Arial" w:hAnsi="Arial"/>
                  <w:sz w:val="22"/>
                  <w:szCs w:val="22"/>
                  <w:color w:val="0000EE"/>
                  <w:w w:val="97"/>
                </w:rPr>
                <w:t>5</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925"/>
        </w:trPr>
        <w:tc>
          <w:tcPr>
            <w:tcW w:w="7820" w:type="dxa"/>
            <w:vAlign w:val="bottom"/>
            <w:gridSpan w:val="3"/>
          </w:tcPr>
          <w:p>
            <w:pPr>
              <w:spacing w:after="0"/>
              <w:rPr>
                <w:sz w:val="20"/>
                <w:szCs w:val="20"/>
                <w:color w:val="auto"/>
              </w:rPr>
            </w:pPr>
            <w:r>
              <w:rPr>
                <w:rFonts w:ascii="Arial" w:cs="Arial" w:eastAsia="Arial" w:hAnsi="Arial"/>
                <w:sz w:val="22"/>
                <w:szCs w:val="22"/>
                <w:color w:val="auto"/>
              </w:rPr>
              <w:t>CONSOLIDATED STATEMENTS OF EQUITY</w:t>
            </w:r>
          </w:p>
        </w:tc>
        <w:tc>
          <w:tcPr>
            <w:tcW w:w="1620" w:type="dxa"/>
            <w:vAlign w:val="bottom"/>
            <w:gridSpan w:val="4"/>
          </w:tcPr>
          <w:p>
            <w:pPr>
              <w:spacing w:after="0"/>
              <w:rPr>
                <w:sz w:val="24"/>
                <w:szCs w:val="24"/>
                <w:color w:val="auto"/>
              </w:rPr>
            </w:pPr>
          </w:p>
        </w:tc>
        <w:tc>
          <w:tcPr>
            <w:tcW w:w="120" w:type="dxa"/>
            <w:vAlign w:val="bottom"/>
            <w:tcBorders>
              <w:bottom w:val="single" w:sz="8" w:color="0000EE"/>
            </w:tcBorders>
          </w:tcPr>
          <w:p>
            <w:pPr>
              <w:jc w:val="center"/>
              <w:spacing w:after="0"/>
              <w:rPr>
                <w:rFonts w:ascii="Arial" w:cs="Arial" w:eastAsia="Arial" w:hAnsi="Arial"/>
                <w:sz w:val="22"/>
                <w:szCs w:val="22"/>
                <w:color w:val="0000EE"/>
                <w:w w:val="97"/>
              </w:rPr>
            </w:pPr>
            <w:hyperlink w:anchor="page147">
              <w:r>
                <w:rPr>
                  <w:rFonts w:ascii="Arial" w:cs="Arial" w:eastAsia="Arial" w:hAnsi="Arial"/>
                  <w:sz w:val="22"/>
                  <w:szCs w:val="22"/>
                  <w:color w:val="0000EE"/>
                  <w:w w:val="97"/>
                </w:rPr>
                <w:t>6</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25"/>
        </w:trPr>
        <w:tc>
          <w:tcPr>
            <w:tcW w:w="7820" w:type="dxa"/>
            <w:vAlign w:val="bottom"/>
            <w:gridSpan w:val="3"/>
          </w:tcPr>
          <w:p>
            <w:pPr>
              <w:spacing w:after="0"/>
              <w:rPr>
                <w:sz w:val="20"/>
                <w:szCs w:val="20"/>
                <w:color w:val="auto"/>
              </w:rPr>
            </w:pPr>
            <w:r>
              <w:rPr>
                <w:rFonts w:ascii="Arial" w:cs="Arial" w:eastAsia="Arial" w:hAnsi="Arial"/>
                <w:sz w:val="22"/>
                <w:szCs w:val="22"/>
                <w:color w:val="auto"/>
              </w:rPr>
              <w:t>CONSOLIDATED STATEMENTS OF CASH FLOWS</w:t>
            </w:r>
          </w:p>
        </w:tc>
        <w:tc>
          <w:tcPr>
            <w:tcW w:w="1880" w:type="dxa"/>
            <w:vAlign w:val="bottom"/>
            <w:gridSpan w:val="7"/>
          </w:tcPr>
          <w:p>
            <w:pPr>
              <w:jc w:val="center"/>
              <w:ind w:left="1372"/>
              <w:spacing w:after="0"/>
              <w:rPr>
                <w:rFonts w:ascii="Arial" w:cs="Arial" w:eastAsia="Arial" w:hAnsi="Arial"/>
                <w:sz w:val="22"/>
                <w:szCs w:val="22"/>
                <w:color w:val="0000EE"/>
                <w:w w:val="90"/>
              </w:rPr>
            </w:pPr>
            <w:hyperlink w:anchor="page148">
              <w:r>
                <w:rPr>
                  <w:rFonts w:ascii="Arial" w:cs="Arial" w:eastAsia="Arial" w:hAnsi="Arial"/>
                  <w:sz w:val="22"/>
                  <w:szCs w:val="22"/>
                  <w:color w:val="0000EE"/>
                  <w:w w:val="90"/>
                </w:rPr>
                <w:t>7 - 8</w:t>
              </w:r>
            </w:hyperlink>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782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25"/>
        </w:trPr>
        <w:tc>
          <w:tcPr>
            <w:tcW w:w="7820" w:type="dxa"/>
            <w:vAlign w:val="bottom"/>
            <w:gridSpan w:val="3"/>
          </w:tcPr>
          <w:p>
            <w:pPr>
              <w:spacing w:after="0"/>
              <w:rPr>
                <w:sz w:val="20"/>
                <w:szCs w:val="20"/>
                <w:color w:val="auto"/>
              </w:rPr>
            </w:pPr>
            <w:r>
              <w:rPr>
                <w:rFonts w:ascii="Arial" w:cs="Arial" w:eastAsia="Arial" w:hAnsi="Arial"/>
                <w:sz w:val="22"/>
                <w:szCs w:val="22"/>
                <w:color w:val="auto"/>
              </w:rPr>
              <w:t>NOTES TO THE CONSOLIDATED FINANCIAL STATEMENTS</w:t>
            </w:r>
          </w:p>
        </w:tc>
        <w:tc>
          <w:tcPr>
            <w:tcW w:w="1420" w:type="dxa"/>
            <w:vAlign w:val="bottom"/>
            <w:gridSpan w:val="2"/>
          </w:tcPr>
          <w:p>
            <w:pPr>
              <w:spacing w:after="0"/>
              <w:rPr>
                <w:sz w:val="24"/>
                <w:szCs w:val="24"/>
                <w:color w:val="auto"/>
              </w:rPr>
            </w:pPr>
          </w:p>
        </w:tc>
        <w:tc>
          <w:tcPr>
            <w:tcW w:w="500" w:type="dxa"/>
            <w:vAlign w:val="bottom"/>
            <w:tcBorders>
              <w:bottom w:val="single" w:sz="8" w:color="0000EE"/>
            </w:tcBorders>
            <w:gridSpan w:val="6"/>
          </w:tcPr>
          <w:p>
            <w:pPr>
              <w:jc w:val="center"/>
              <w:spacing w:after="0"/>
              <w:rPr>
                <w:rFonts w:ascii="Arial" w:cs="Arial" w:eastAsia="Arial" w:hAnsi="Arial"/>
                <w:sz w:val="22"/>
                <w:szCs w:val="22"/>
                <w:color w:val="0000EE"/>
                <w:w w:val="88"/>
              </w:rPr>
            </w:pPr>
            <w:hyperlink w:anchor="page150">
              <w:r>
                <w:rPr>
                  <w:rFonts w:ascii="Arial" w:cs="Arial" w:eastAsia="Arial" w:hAnsi="Arial"/>
                  <w:sz w:val="22"/>
                  <w:szCs w:val="22"/>
                  <w:color w:val="0000EE"/>
                  <w:w w:val="88"/>
                </w:rPr>
                <w:t>9 - 19</w:t>
              </w:r>
            </w:hyperlink>
          </w:p>
        </w:tc>
        <w:tc>
          <w:tcPr>
            <w:tcW w:w="160" w:type="dxa"/>
            <w:vAlign w:val="bottom"/>
          </w:tcPr>
          <w:p>
            <w:pPr>
              <w:spacing w:after="0"/>
              <w:rPr>
                <w:sz w:val="24"/>
                <w:szCs w:val="24"/>
                <w:color w:val="auto"/>
              </w:rPr>
            </w:pPr>
          </w:p>
        </w:tc>
      </w:tr>
    </w:tbl>
    <w:p>
      <w:pPr>
        <w:sectPr>
          <w:pgSz w:w="11900" w:h="16838" w:orient="portrait"/>
          <w:cols w:equalWidth="0" w:num="1">
            <w:col w:w="9900"/>
          </w:cols>
          <w:pgMar w:left="940" w:top="616" w:right="105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DTT(A)(16)U0002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INDEPENDENT AUDITORS' REPORT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SAIC General Motors Corp., Ltd.:</w:t>
      </w:r>
    </w:p>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We have audited the accompanying consolidated financial statements of SAIC General Motors Corp., Ltd. (f.k.a. Shanghai General Motors Corp., Ltd.) and its subsidiaries (the "Company"), which comprise the consolidated balance sheets as of December 31, 2015 and 2014, and the related consolidated statements of income and comprehensive income, equity, and cash flows for the years then ended, and the related notes to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Responsibility for the Consolidated Financial Statements</w:t>
      </w:r>
    </w:p>
    <w:p>
      <w:pPr>
        <w:spacing w:after="0" w:line="226" w:lineRule="exact"/>
        <w:rPr>
          <w:sz w:val="20"/>
          <w:szCs w:val="20"/>
          <w:color w:val="auto"/>
        </w:rPr>
      </w:pPr>
    </w:p>
    <w:p>
      <w:pPr>
        <w:jc w:val="both"/>
        <w:ind w:right="260"/>
        <w:spacing w:after="0" w:line="265" w:lineRule="auto"/>
        <w:rPr>
          <w:sz w:val="20"/>
          <w:szCs w:val="20"/>
          <w:color w:val="auto"/>
        </w:rPr>
      </w:pPr>
      <w:r>
        <w:rPr>
          <w:rFonts w:ascii="Arial" w:cs="Arial" w:eastAsia="Arial" w:hAnsi="Arial"/>
          <w:sz w:val="21"/>
          <w:szCs w:val="21"/>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Auditors' Responsibility</w:t>
      </w:r>
    </w:p>
    <w:p>
      <w:pPr>
        <w:spacing w:after="0" w:line="22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We believe that the audit evidence we have obtained is sufficient and appropriate to provide a basis for our audit opinion.</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640" w:top="1440" w:right="2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b w:val="1"/>
          <w:bCs w:val="1"/>
          <w:color w:val="auto"/>
        </w:rPr>
        <w:t>Opinion</w:t>
      </w:r>
    </w:p>
    <w:p>
      <w:pPr>
        <w:spacing w:after="0" w:line="226" w:lineRule="exact"/>
        <w:rPr>
          <w:sz w:val="20"/>
          <w:szCs w:val="20"/>
          <w:color w:val="auto"/>
        </w:rPr>
      </w:pPr>
    </w:p>
    <w:p>
      <w:pPr>
        <w:jc w:val="both"/>
        <w:ind w:right="500"/>
        <w:spacing w:after="0" w:line="250" w:lineRule="auto"/>
        <w:rPr>
          <w:sz w:val="20"/>
          <w:szCs w:val="20"/>
          <w:color w:val="auto"/>
        </w:rPr>
      </w:pPr>
      <w:r>
        <w:rPr>
          <w:rFonts w:ascii="Arial" w:cs="Arial" w:eastAsia="Arial" w:hAnsi="Arial"/>
          <w:sz w:val="22"/>
          <w:szCs w:val="22"/>
          <w:color w:val="auto"/>
        </w:rPr>
        <w:t>In our opinion, the consolidated financial statements referred to above present fairly, in all material respects, the financial position of SAIC General Motors Corp., Ltd. and its subsidiaries as of December 31, 2015 and 2014, and the results of its operations and its cash flows for the years then ended in accordance with accounting principles generally accepted in the United States of America.</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accompanying consolidated statements of income and comprehensive income, equity, and cash flows of SAIC General Motors Corp., Ltd. and its subsidiaries for the year ended December 31, 2013 were not audited, reviewed, or compiled by us in accordance with the standards of the American Institute of Certified Public Accountants and, accordingly, we do not express an opinion or any other form of assurance on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500" w:firstLine="14"/>
        <w:spacing w:after="0" w:line="249" w:lineRule="auto"/>
        <w:rPr>
          <w:sz w:val="20"/>
          <w:szCs w:val="20"/>
          <w:color w:val="auto"/>
        </w:rPr>
      </w:pPr>
      <w:r>
        <w:rPr>
          <w:rFonts w:ascii="Arial" w:cs="Arial" w:eastAsia="Arial" w:hAnsi="Arial"/>
          <w:sz w:val="22"/>
          <w:szCs w:val="22"/>
          <w:u w:val="single" w:color="auto"/>
          <w:color w:val="auto"/>
        </w:rPr>
        <w:t xml:space="preserve">/s/ DELOITTE TOUCHE TOHMATSU CERTIFIED PUBLIC ACCOUNTANTS LLP </w:t>
      </w:r>
      <w:r>
        <w:rPr>
          <w:rFonts w:ascii="Arial" w:cs="Arial" w:eastAsia="Arial" w:hAnsi="Arial"/>
          <w:sz w:val="22"/>
          <w:szCs w:val="22"/>
          <w:color w:val="auto"/>
        </w:rPr>
        <w:t>Deloitte Touche Tohmatsu Certified Public Accountants LLP Shanghai, China</w:t>
      </w:r>
    </w:p>
    <w:p>
      <w:pPr>
        <w:spacing w:after="0"/>
        <w:rPr>
          <w:sz w:val="20"/>
          <w:szCs w:val="20"/>
          <w:color w:val="auto"/>
        </w:rPr>
      </w:pPr>
      <w:r>
        <w:rPr>
          <w:rFonts w:ascii="Arial" w:cs="Arial" w:eastAsia="Arial" w:hAnsi="Arial"/>
          <w:sz w:val="22"/>
          <w:szCs w:val="22"/>
          <w:color w:val="auto"/>
        </w:rPr>
        <w:t>January 27, 2016</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640" w:top="801" w:right="23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22"/>
          <w:szCs w:val="22"/>
          <w:b w:val="1"/>
          <w:bCs w:val="1"/>
          <w:color w:val="auto"/>
        </w:rPr>
        <w:t>SAIC GENERAL MOTORS CORP., LTD. AND SUBSIDIARIES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(Expressed in Renminbi)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2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8"/>
        </w:trPr>
        <w:tc>
          <w:tcPr>
            <w:tcW w:w="72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w w:val="86"/>
              </w:rPr>
              <w:t>December 31</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0"/>
        </w:trPr>
        <w:tc>
          <w:tcPr>
            <w:tcW w:w="7280" w:type="dxa"/>
            <w:vAlign w:val="bottom"/>
          </w:tcPr>
          <w:p>
            <w:pPr>
              <w:spacing w:after="0"/>
              <w:rPr>
                <w:sz w:val="19"/>
                <w:szCs w:val="19"/>
                <w:color w:val="auto"/>
              </w:rPr>
            </w:pPr>
          </w:p>
        </w:tc>
        <w:tc>
          <w:tcPr>
            <w:tcW w:w="1960" w:type="dxa"/>
            <w:vAlign w:val="bottom"/>
            <w:gridSpan w:val="3"/>
          </w:tcPr>
          <w:p>
            <w:pPr>
              <w:jc w:val="right"/>
              <w:ind w:right="672"/>
              <w:spacing w:after="0" w:line="229" w:lineRule="exact"/>
              <w:rPr>
                <w:sz w:val="20"/>
                <w:szCs w:val="20"/>
                <w:color w:val="auto"/>
              </w:rPr>
            </w:pPr>
            <w:r>
              <w:rPr>
                <w:rFonts w:ascii="Arial" w:cs="Arial" w:eastAsia="Arial" w:hAnsi="Arial"/>
                <w:sz w:val="22"/>
                <w:szCs w:val="22"/>
                <w:color w:val="auto"/>
              </w:rPr>
              <w:t>2015</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2014</w:t>
            </w:r>
          </w:p>
        </w:tc>
        <w:tc>
          <w:tcPr>
            <w:tcW w:w="740" w:type="dxa"/>
            <w:vAlign w:val="bottom"/>
          </w:tcPr>
          <w:p>
            <w:pPr>
              <w:spacing w:after="0"/>
              <w:rPr>
                <w:sz w:val="19"/>
                <w:szCs w:val="19"/>
                <w:color w:val="auto"/>
              </w:rPr>
            </w:pPr>
          </w:p>
        </w:tc>
      </w:tr>
      <w:tr>
        <w:trPr>
          <w:trHeight w:val="328"/>
        </w:trPr>
        <w:tc>
          <w:tcPr>
            <w:tcW w:w="7280" w:type="dxa"/>
            <w:vAlign w:val="bottom"/>
          </w:tcPr>
          <w:p>
            <w:pPr>
              <w:spacing w:after="0"/>
              <w:rPr>
                <w:sz w:val="20"/>
                <w:szCs w:val="20"/>
                <w:color w:val="auto"/>
              </w:rPr>
            </w:pPr>
            <w:r>
              <w:rPr>
                <w:rFonts w:ascii="Arial" w:cs="Arial" w:eastAsia="Arial" w:hAnsi="Arial"/>
                <w:sz w:val="22"/>
                <w:szCs w:val="22"/>
                <w:color w:val="auto"/>
              </w:rPr>
              <w:t>Current assets:</w:t>
            </w:r>
          </w:p>
        </w:tc>
        <w:tc>
          <w:tcPr>
            <w:tcW w:w="7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Cash and cash equivalents (note 1(e))</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23,583,750,107</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87"/>
              </w:rPr>
              <w:t>29,928,965,404</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Trade accounts, net of allowance</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7280" w:type="dxa"/>
            <w:vAlign w:val="bottom"/>
          </w:tcPr>
          <w:p>
            <w:pPr>
              <w:ind w:left="240"/>
              <w:spacing w:after="0"/>
              <w:rPr>
                <w:sz w:val="20"/>
                <w:szCs w:val="20"/>
                <w:color w:val="auto"/>
              </w:rPr>
            </w:pPr>
            <w:r>
              <w:rPr>
                <w:rFonts w:ascii="Arial" w:cs="Arial" w:eastAsia="Arial" w:hAnsi="Arial"/>
                <w:sz w:val="22"/>
                <w:szCs w:val="22"/>
                <w:color w:val="auto"/>
              </w:rPr>
              <w:t>for doubtful accounts of 1,762,790 and</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7280" w:type="dxa"/>
            <w:vAlign w:val="bottom"/>
          </w:tcPr>
          <w:p>
            <w:pPr>
              <w:ind w:left="240"/>
              <w:spacing w:after="0"/>
              <w:rPr>
                <w:sz w:val="20"/>
                <w:szCs w:val="20"/>
                <w:color w:val="auto"/>
              </w:rPr>
            </w:pPr>
            <w:r>
              <w:rPr>
                <w:rFonts w:ascii="Arial" w:cs="Arial" w:eastAsia="Arial" w:hAnsi="Arial"/>
                <w:sz w:val="22"/>
                <w:szCs w:val="22"/>
                <w:color w:val="auto"/>
              </w:rPr>
              <w:t>2,115,458 for 2015 and 2014, respectively</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18,653,079</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rPr>
              <w:t>18,591,305</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Due from related parties (note 8)</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11,484,457,813</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rPr>
              <w:t>452,123,382</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Inventories (note 2)</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5,767,903,628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5,777,810,936</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Deferred tax assets (note 7)</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1,004,934,862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1,155,632,168</w:t>
            </w:r>
          </w:p>
        </w:tc>
      </w:tr>
      <w:tr>
        <w:trPr>
          <w:trHeight w:val="308"/>
        </w:trPr>
        <w:tc>
          <w:tcPr>
            <w:tcW w:w="7280" w:type="dxa"/>
            <w:vAlign w:val="bottom"/>
          </w:tcPr>
          <w:p>
            <w:pPr>
              <w:ind w:left="100"/>
              <w:spacing w:after="0"/>
              <w:rPr>
                <w:sz w:val="20"/>
                <w:szCs w:val="20"/>
                <w:color w:val="auto"/>
              </w:rPr>
            </w:pPr>
            <w:r>
              <w:rPr>
                <w:rFonts w:ascii="Arial" w:cs="Arial" w:eastAsia="Arial" w:hAnsi="Arial"/>
                <w:sz w:val="22"/>
                <w:szCs w:val="22"/>
                <w:color w:val="auto"/>
              </w:rPr>
              <w:t>Other current assets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532,749,502</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349,579,831</w:t>
            </w:r>
          </w:p>
        </w:tc>
      </w:tr>
      <w:tr>
        <w:trPr>
          <w:trHeight w:val="426"/>
        </w:trPr>
        <w:tc>
          <w:tcPr>
            <w:tcW w:w="7280" w:type="dxa"/>
            <w:vAlign w:val="bottom"/>
          </w:tcPr>
          <w:p>
            <w:pPr>
              <w:spacing w:after="0"/>
              <w:rPr>
                <w:sz w:val="20"/>
                <w:szCs w:val="20"/>
                <w:color w:val="auto"/>
              </w:rPr>
            </w:pPr>
            <w:r>
              <w:rPr>
                <w:rFonts w:ascii="Arial" w:cs="Arial" w:eastAsia="Arial" w:hAnsi="Arial"/>
                <w:sz w:val="22"/>
                <w:szCs w:val="22"/>
                <w:color w:val="auto"/>
              </w:rPr>
              <w:t>Total current assets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42,392,448,991</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87"/>
              </w:rPr>
              <w:t>37,682,703,026</w:t>
            </w:r>
          </w:p>
        </w:tc>
      </w:tr>
      <w:tr>
        <w:trPr>
          <w:trHeight w:val="604"/>
        </w:trPr>
        <w:tc>
          <w:tcPr>
            <w:tcW w:w="7280" w:type="dxa"/>
            <w:vAlign w:val="bottom"/>
          </w:tcPr>
          <w:p>
            <w:pPr>
              <w:spacing w:after="0"/>
              <w:rPr>
                <w:sz w:val="20"/>
                <w:szCs w:val="20"/>
                <w:color w:val="auto"/>
              </w:rPr>
            </w:pPr>
            <w:r>
              <w:rPr>
                <w:rFonts w:ascii="Arial" w:cs="Arial" w:eastAsia="Arial" w:hAnsi="Arial"/>
                <w:sz w:val="22"/>
                <w:szCs w:val="22"/>
                <w:color w:val="auto"/>
              </w:rPr>
              <w:t>Non-current assets:</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Equity in net assets of nonconsolidated</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7280" w:type="dxa"/>
            <w:vAlign w:val="bottom"/>
          </w:tcPr>
          <w:p>
            <w:pPr>
              <w:ind w:left="220"/>
              <w:spacing w:after="0"/>
              <w:rPr>
                <w:sz w:val="20"/>
                <w:szCs w:val="20"/>
                <w:color w:val="auto"/>
              </w:rPr>
            </w:pPr>
            <w:r>
              <w:rPr>
                <w:rFonts w:ascii="Arial" w:cs="Arial" w:eastAsia="Arial" w:hAnsi="Arial"/>
                <w:sz w:val="22"/>
                <w:szCs w:val="22"/>
                <w:color w:val="auto"/>
              </w:rPr>
              <w:t>affiliates (note 3)</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2,427,613,212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1,988,298,337</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Prepaid land use rights (note 1 (n))</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3,732,362,617</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3,584,035,633</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Property, plant and equipment, net (note 4)</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38,180,494,024</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87"/>
              </w:rPr>
              <w:t>33,040,925,732</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Intangible assets (note 5)</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3,170,622,312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2,819,313,958</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Goodwill (note 1 (m))</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367,474,296</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rPr>
              <w:t>367,474,296</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Deferred tax assets (note 7)</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1,502,697,674</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1,090,356,832</w:t>
            </w:r>
          </w:p>
        </w:tc>
      </w:tr>
      <w:tr>
        <w:trPr>
          <w:trHeight w:val="308"/>
        </w:trPr>
        <w:tc>
          <w:tcPr>
            <w:tcW w:w="7280" w:type="dxa"/>
            <w:vAlign w:val="bottom"/>
          </w:tcPr>
          <w:p>
            <w:pPr>
              <w:ind w:left="100"/>
              <w:spacing w:after="0"/>
              <w:rPr>
                <w:sz w:val="20"/>
                <w:szCs w:val="20"/>
                <w:color w:val="auto"/>
              </w:rPr>
            </w:pPr>
            <w:r>
              <w:rPr>
                <w:rFonts w:ascii="Arial" w:cs="Arial" w:eastAsia="Arial" w:hAnsi="Arial"/>
                <w:sz w:val="22"/>
                <w:szCs w:val="22"/>
                <w:color w:val="auto"/>
              </w:rPr>
              <w:t>Other non-current assets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23,189,666</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34,433,508</w:t>
            </w:r>
          </w:p>
        </w:tc>
      </w:tr>
      <w:tr>
        <w:trPr>
          <w:trHeight w:val="426"/>
        </w:trPr>
        <w:tc>
          <w:tcPr>
            <w:tcW w:w="7280" w:type="dxa"/>
            <w:vAlign w:val="bottom"/>
          </w:tcPr>
          <w:p>
            <w:pPr>
              <w:spacing w:after="0"/>
              <w:rPr>
                <w:sz w:val="20"/>
                <w:szCs w:val="20"/>
                <w:color w:val="auto"/>
              </w:rPr>
            </w:pPr>
            <w:r>
              <w:rPr>
                <w:rFonts w:ascii="Arial" w:cs="Arial" w:eastAsia="Arial" w:hAnsi="Arial"/>
                <w:sz w:val="22"/>
                <w:szCs w:val="22"/>
                <w:color w:val="auto"/>
              </w:rPr>
              <w:t>Total non-current assets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49,404,453,801</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87"/>
              </w:rPr>
              <w:t>42,924,838,296</w:t>
            </w:r>
          </w:p>
        </w:tc>
      </w:tr>
      <w:tr>
        <w:trPr>
          <w:trHeight w:val="430"/>
        </w:trPr>
        <w:tc>
          <w:tcPr>
            <w:tcW w:w="7280" w:type="dxa"/>
            <w:vAlign w:val="bottom"/>
          </w:tcPr>
          <w:p>
            <w:pPr>
              <w:spacing w:after="0"/>
              <w:rPr>
                <w:sz w:val="20"/>
                <w:szCs w:val="20"/>
                <w:color w:val="auto"/>
              </w:rPr>
            </w:pPr>
            <w:r>
              <w:rPr>
                <w:rFonts w:ascii="Arial" w:cs="Arial" w:eastAsia="Arial" w:hAnsi="Arial"/>
                <w:sz w:val="22"/>
                <w:szCs w:val="22"/>
                <w:color w:val="auto"/>
              </w:rPr>
              <w:t>Total assets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91,796,902,792</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87"/>
              </w:rPr>
              <w:t>80,607,541,322</w:t>
            </w:r>
          </w:p>
        </w:tc>
      </w:tr>
      <w:tr>
        <w:trPr>
          <w:trHeight w:val="20"/>
        </w:trPr>
        <w:tc>
          <w:tcPr>
            <w:tcW w:w="7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left="10220"/>
        <w:spacing w:after="0"/>
        <w:rPr>
          <w:sz w:val="20"/>
          <w:szCs w:val="20"/>
          <w:color w:val="auto"/>
        </w:rPr>
      </w:pPr>
      <w:r>
        <w:rPr>
          <w:rFonts w:ascii="Arial" w:cs="Arial" w:eastAsia="Arial" w:hAnsi="Arial"/>
          <w:sz w:val="22"/>
          <w:szCs w:val="22"/>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641985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80" w:top="639" w:right="23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22"/>
          <w:szCs w:val="22"/>
          <w:b w:val="1"/>
          <w:bCs w:val="1"/>
          <w:color w:val="auto"/>
        </w:rPr>
        <w:t>SAIC GENERAL MOTORS CORP., LTD. AND SUBSIDIARIES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(Expressed in Renminbi)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280" w:type="dxa"/>
            <w:vAlign w:val="bottom"/>
          </w:tcPr>
          <w:p>
            <w:pPr>
              <w:spacing w:after="0"/>
              <w:rPr>
                <w:sz w:val="20"/>
                <w:szCs w:val="20"/>
                <w:color w:val="auto"/>
              </w:rPr>
            </w:pPr>
            <w:r>
              <w:rPr>
                <w:rFonts w:ascii="Arial" w:cs="Arial" w:eastAsia="Arial" w:hAnsi="Arial"/>
                <w:sz w:val="22"/>
                <w:szCs w:val="22"/>
                <w:b w:val="1"/>
                <w:bCs w:val="1"/>
                <w:color w:val="auto"/>
              </w:rPr>
              <w:t>LIABILITIES AND EQUITY</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8"/>
        </w:trPr>
        <w:tc>
          <w:tcPr>
            <w:tcW w:w="72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w w:val="86"/>
              </w:rPr>
              <w:t>December 31</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0"/>
        </w:trPr>
        <w:tc>
          <w:tcPr>
            <w:tcW w:w="7280" w:type="dxa"/>
            <w:vAlign w:val="bottom"/>
          </w:tcPr>
          <w:p>
            <w:pPr>
              <w:spacing w:after="0"/>
              <w:rPr>
                <w:sz w:val="19"/>
                <w:szCs w:val="19"/>
                <w:color w:val="auto"/>
              </w:rPr>
            </w:pPr>
          </w:p>
        </w:tc>
        <w:tc>
          <w:tcPr>
            <w:tcW w:w="1960" w:type="dxa"/>
            <w:vAlign w:val="bottom"/>
            <w:gridSpan w:val="3"/>
          </w:tcPr>
          <w:p>
            <w:pPr>
              <w:jc w:val="right"/>
              <w:ind w:right="672"/>
              <w:spacing w:after="0" w:line="229" w:lineRule="exact"/>
              <w:rPr>
                <w:sz w:val="20"/>
                <w:szCs w:val="20"/>
                <w:color w:val="auto"/>
              </w:rPr>
            </w:pPr>
            <w:r>
              <w:rPr>
                <w:rFonts w:ascii="Arial" w:cs="Arial" w:eastAsia="Arial" w:hAnsi="Arial"/>
                <w:sz w:val="22"/>
                <w:szCs w:val="22"/>
                <w:color w:val="auto"/>
              </w:rPr>
              <w:t>2015</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2014</w:t>
            </w:r>
          </w:p>
        </w:tc>
        <w:tc>
          <w:tcPr>
            <w:tcW w:w="740" w:type="dxa"/>
            <w:vAlign w:val="bottom"/>
          </w:tcPr>
          <w:p>
            <w:pPr>
              <w:spacing w:after="0"/>
              <w:rPr>
                <w:sz w:val="19"/>
                <w:szCs w:val="19"/>
                <w:color w:val="auto"/>
              </w:rPr>
            </w:pPr>
          </w:p>
        </w:tc>
      </w:tr>
      <w:tr>
        <w:trPr>
          <w:trHeight w:val="328"/>
        </w:trPr>
        <w:tc>
          <w:tcPr>
            <w:tcW w:w="7280" w:type="dxa"/>
            <w:vAlign w:val="bottom"/>
          </w:tcPr>
          <w:p>
            <w:pPr>
              <w:spacing w:after="0"/>
              <w:rPr>
                <w:sz w:val="20"/>
                <w:szCs w:val="20"/>
                <w:color w:val="auto"/>
              </w:rPr>
            </w:pPr>
            <w:r>
              <w:rPr>
                <w:rFonts w:ascii="Arial" w:cs="Arial" w:eastAsia="Arial" w:hAnsi="Arial"/>
                <w:sz w:val="22"/>
                <w:szCs w:val="22"/>
                <w:color w:val="auto"/>
              </w:rPr>
              <w:t>Current liabilities:</w:t>
            </w:r>
          </w:p>
        </w:tc>
        <w:tc>
          <w:tcPr>
            <w:tcW w:w="7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Trade accounts payable</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29,803,717,918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87"/>
              </w:rPr>
              <w:t>25,880,650,287</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Due to related parties (note 8)</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10,826,457,662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87"/>
              </w:rPr>
              <w:t>10,894,056,510</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Payroll payable</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3,363,424,411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2,555,197,206</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Income taxes payable</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3,512,951,655</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1,503,481,721</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Dividends payable</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2,534,187,396</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1,680,939,212</w:t>
            </w:r>
          </w:p>
        </w:tc>
      </w:tr>
      <w:tr>
        <w:trPr>
          <w:trHeight w:val="308"/>
        </w:trPr>
        <w:tc>
          <w:tcPr>
            <w:tcW w:w="7280" w:type="dxa"/>
            <w:vAlign w:val="bottom"/>
          </w:tcPr>
          <w:p>
            <w:pPr>
              <w:ind w:left="140"/>
              <w:spacing w:after="0"/>
              <w:rPr>
                <w:sz w:val="20"/>
                <w:szCs w:val="20"/>
                <w:color w:val="auto"/>
              </w:rPr>
            </w:pPr>
            <w:r>
              <w:rPr>
                <w:rFonts w:ascii="Arial" w:cs="Arial" w:eastAsia="Arial" w:hAnsi="Arial"/>
                <w:sz w:val="22"/>
                <w:szCs w:val="22"/>
                <w:color w:val="auto"/>
              </w:rPr>
              <w:t>Other current liabilities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3,722,989,563</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5"/>
              </w:rPr>
              <w:t>1,696,629,011</w:t>
            </w:r>
          </w:p>
        </w:tc>
      </w:tr>
      <w:tr>
        <w:trPr>
          <w:trHeight w:val="453"/>
        </w:trPr>
        <w:tc>
          <w:tcPr>
            <w:tcW w:w="728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53,763,728,605</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87"/>
              </w:rPr>
              <w:t>44,210,953,947</w:t>
            </w:r>
          </w:p>
        </w:tc>
      </w:tr>
      <w:tr>
        <w:trPr>
          <w:trHeight w:val="604"/>
        </w:trPr>
        <w:tc>
          <w:tcPr>
            <w:tcW w:w="7280" w:type="dxa"/>
            <w:vAlign w:val="bottom"/>
          </w:tcPr>
          <w:p>
            <w:pPr>
              <w:spacing w:after="0"/>
              <w:rPr>
                <w:sz w:val="20"/>
                <w:szCs w:val="20"/>
                <w:color w:val="auto"/>
              </w:rPr>
            </w:pPr>
            <w:r>
              <w:rPr>
                <w:rFonts w:ascii="Arial" w:cs="Arial" w:eastAsia="Arial" w:hAnsi="Arial"/>
                <w:sz w:val="22"/>
                <w:szCs w:val="22"/>
                <w:color w:val="auto"/>
              </w:rPr>
              <w:t>Long-term liabilities:</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8"/>
        </w:trPr>
        <w:tc>
          <w:tcPr>
            <w:tcW w:w="7280" w:type="dxa"/>
            <w:vAlign w:val="bottom"/>
          </w:tcPr>
          <w:p>
            <w:pPr>
              <w:ind w:left="100"/>
              <w:spacing w:after="0"/>
              <w:rPr>
                <w:sz w:val="20"/>
                <w:szCs w:val="20"/>
                <w:color w:val="auto"/>
              </w:rPr>
            </w:pPr>
            <w:r>
              <w:rPr>
                <w:rFonts w:ascii="Arial" w:cs="Arial" w:eastAsia="Arial" w:hAnsi="Arial"/>
                <w:sz w:val="22"/>
                <w:szCs w:val="22"/>
                <w:color w:val="auto"/>
              </w:rPr>
              <w:t>Accrued and other long-term liabilities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188,234,059</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114,533,730</w:t>
            </w:r>
          </w:p>
        </w:tc>
      </w:tr>
      <w:tr>
        <w:trPr>
          <w:trHeight w:val="426"/>
        </w:trPr>
        <w:tc>
          <w:tcPr>
            <w:tcW w:w="7280" w:type="dxa"/>
            <w:vAlign w:val="bottom"/>
          </w:tcPr>
          <w:p>
            <w:pPr>
              <w:spacing w:after="0"/>
              <w:rPr>
                <w:sz w:val="20"/>
                <w:szCs w:val="20"/>
                <w:color w:val="auto"/>
              </w:rPr>
            </w:pPr>
            <w:r>
              <w:rPr>
                <w:rFonts w:ascii="Arial" w:cs="Arial" w:eastAsia="Arial" w:hAnsi="Arial"/>
                <w:sz w:val="22"/>
                <w:szCs w:val="22"/>
                <w:color w:val="auto"/>
              </w:rPr>
              <w:t>Total liabilities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53,951,962,664</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87"/>
              </w:rPr>
              <w:t>44,325,487,677</w:t>
            </w:r>
          </w:p>
        </w:tc>
      </w:tr>
      <w:tr>
        <w:trPr>
          <w:trHeight w:val="604"/>
        </w:trPr>
        <w:tc>
          <w:tcPr>
            <w:tcW w:w="7280" w:type="dxa"/>
            <w:vAlign w:val="bottom"/>
          </w:tcPr>
          <w:p>
            <w:pPr>
              <w:spacing w:after="0"/>
              <w:rPr>
                <w:sz w:val="20"/>
                <w:szCs w:val="20"/>
                <w:color w:val="auto"/>
              </w:rPr>
            </w:pPr>
            <w:r>
              <w:rPr>
                <w:rFonts w:ascii="Arial" w:cs="Arial" w:eastAsia="Arial" w:hAnsi="Arial"/>
                <w:sz w:val="22"/>
                <w:szCs w:val="22"/>
                <w:color w:val="auto"/>
              </w:rPr>
              <w:t>Commitment and contingencies (note 9)</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21"/>
        </w:trPr>
        <w:tc>
          <w:tcPr>
            <w:tcW w:w="7280" w:type="dxa"/>
            <w:vAlign w:val="bottom"/>
          </w:tcPr>
          <w:p>
            <w:pPr>
              <w:spacing w:after="0"/>
              <w:rPr>
                <w:sz w:val="20"/>
                <w:szCs w:val="20"/>
                <w:color w:val="auto"/>
              </w:rPr>
            </w:pPr>
            <w:r>
              <w:rPr>
                <w:rFonts w:ascii="Arial" w:cs="Arial" w:eastAsia="Arial" w:hAnsi="Arial"/>
                <w:sz w:val="22"/>
                <w:szCs w:val="22"/>
                <w:color w:val="auto"/>
              </w:rPr>
              <w:t>Equity</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Statutory capital</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8,802,006,138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95"/>
              </w:rPr>
              <w:t>8,802,006,138</w:t>
            </w:r>
          </w:p>
        </w:tc>
      </w:tr>
      <w:tr>
        <w:trPr>
          <w:trHeight w:val="297"/>
        </w:trPr>
        <w:tc>
          <w:tcPr>
            <w:tcW w:w="7280" w:type="dxa"/>
            <w:vAlign w:val="bottom"/>
          </w:tcPr>
          <w:p>
            <w:pPr>
              <w:ind w:left="100"/>
              <w:spacing w:after="0"/>
              <w:rPr>
                <w:sz w:val="20"/>
                <w:szCs w:val="20"/>
                <w:color w:val="auto"/>
              </w:rPr>
            </w:pPr>
            <w:r>
              <w:rPr>
                <w:rFonts w:ascii="Arial" w:cs="Arial" w:eastAsia="Arial" w:hAnsi="Arial"/>
                <w:sz w:val="22"/>
                <w:szCs w:val="22"/>
                <w:color w:val="auto"/>
              </w:rPr>
              <w:t>Additional paid-in capital</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1,174,131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rPr>
              <w:t>1,174,131</w:t>
            </w:r>
          </w:p>
        </w:tc>
      </w:tr>
      <w:tr>
        <w:trPr>
          <w:trHeight w:val="308"/>
        </w:trPr>
        <w:tc>
          <w:tcPr>
            <w:tcW w:w="7280" w:type="dxa"/>
            <w:vAlign w:val="bottom"/>
          </w:tcPr>
          <w:p>
            <w:pPr>
              <w:ind w:left="100"/>
              <w:spacing w:after="0"/>
              <w:rPr>
                <w:sz w:val="20"/>
                <w:szCs w:val="20"/>
                <w:color w:val="auto"/>
              </w:rPr>
            </w:pPr>
            <w:r>
              <w:rPr>
                <w:rFonts w:ascii="Arial" w:cs="Arial" w:eastAsia="Arial" w:hAnsi="Arial"/>
                <w:sz w:val="22"/>
                <w:szCs w:val="22"/>
                <w:color w:val="auto"/>
              </w:rPr>
              <w:t>Retained earnings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23,338,020,279</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87"/>
              </w:rPr>
              <w:t>21,017,323,468</w:t>
            </w:r>
          </w:p>
        </w:tc>
      </w:tr>
      <w:tr>
        <w:trPr>
          <w:trHeight w:val="442"/>
        </w:trPr>
        <w:tc>
          <w:tcPr>
            <w:tcW w:w="7280" w:type="dxa"/>
            <w:vAlign w:val="bottom"/>
          </w:tcPr>
          <w:p>
            <w:pPr>
              <w:spacing w:after="0"/>
              <w:rPr>
                <w:sz w:val="20"/>
                <w:szCs w:val="20"/>
                <w:color w:val="auto"/>
              </w:rPr>
            </w:pPr>
            <w:r>
              <w:rPr>
                <w:rFonts w:ascii="Arial" w:cs="Arial" w:eastAsia="Arial" w:hAnsi="Arial"/>
                <w:sz w:val="22"/>
                <w:szCs w:val="22"/>
                <w:color w:val="auto"/>
              </w:rPr>
              <w:t>Total SAIC General Motors Corp., Ltd.'s equity</w:t>
            </w:r>
          </w:p>
        </w:tc>
        <w:tc>
          <w:tcPr>
            <w:tcW w:w="1960" w:type="dxa"/>
            <w:vAlign w:val="bottom"/>
            <w:gridSpan w:val="3"/>
          </w:tcPr>
          <w:p>
            <w:pPr>
              <w:jc w:val="right"/>
              <w:ind w:right="12"/>
              <w:spacing w:after="0"/>
              <w:rPr>
                <w:sz w:val="20"/>
                <w:szCs w:val="20"/>
                <w:color w:val="auto"/>
              </w:rPr>
            </w:pPr>
            <w:r>
              <w:rPr>
                <w:rFonts w:ascii="Arial" w:cs="Arial" w:eastAsia="Arial" w:hAnsi="Arial"/>
                <w:sz w:val="22"/>
                <w:szCs w:val="22"/>
                <w:color w:val="auto"/>
              </w:rPr>
              <w:t>32,141,200,548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2"/>
                <w:szCs w:val="22"/>
                <w:color w:val="auto"/>
                <w:w w:val="87"/>
              </w:rPr>
              <w:t>29,820,503,737</w:t>
            </w:r>
          </w:p>
        </w:tc>
      </w:tr>
      <w:tr>
        <w:trPr>
          <w:trHeight w:val="308"/>
        </w:trPr>
        <w:tc>
          <w:tcPr>
            <w:tcW w:w="7280" w:type="dxa"/>
            <w:vAlign w:val="bottom"/>
          </w:tcPr>
          <w:p>
            <w:pPr>
              <w:spacing w:after="0"/>
              <w:rPr>
                <w:sz w:val="20"/>
                <w:szCs w:val="20"/>
                <w:color w:val="auto"/>
              </w:rPr>
            </w:pPr>
            <w:r>
              <w:rPr>
                <w:rFonts w:ascii="Arial" w:cs="Arial" w:eastAsia="Arial" w:hAnsi="Arial"/>
                <w:sz w:val="22"/>
                <w:szCs w:val="22"/>
                <w:color w:val="auto"/>
              </w:rPr>
              <w:t>Non-controlling interests</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5,703,739,580</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5"/>
              </w:rPr>
              <w:t>6,461,549,908</w:t>
            </w:r>
          </w:p>
        </w:tc>
      </w:tr>
      <w:tr>
        <w:trPr>
          <w:trHeight w:val="453"/>
        </w:trPr>
        <w:tc>
          <w:tcPr>
            <w:tcW w:w="7280" w:type="dxa"/>
            <w:vAlign w:val="bottom"/>
          </w:tcPr>
          <w:p>
            <w:pPr>
              <w:spacing w:after="0"/>
              <w:rPr>
                <w:sz w:val="20"/>
                <w:szCs w:val="20"/>
                <w:color w:val="auto"/>
              </w:rPr>
            </w:pPr>
            <w:r>
              <w:rPr>
                <w:rFonts w:ascii="Arial" w:cs="Arial" w:eastAsia="Arial" w:hAnsi="Arial"/>
                <w:sz w:val="22"/>
                <w:szCs w:val="22"/>
                <w:color w:val="auto"/>
              </w:rPr>
              <w:t>Total equity</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37,844,940,128</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87"/>
              </w:rPr>
              <w:t>36,282,053,645</w:t>
            </w:r>
          </w:p>
        </w:tc>
      </w:tr>
      <w:tr>
        <w:trPr>
          <w:trHeight w:val="457"/>
        </w:trPr>
        <w:tc>
          <w:tcPr>
            <w:tcW w:w="7280" w:type="dxa"/>
            <w:vAlign w:val="bottom"/>
          </w:tcPr>
          <w:p>
            <w:pPr>
              <w:spacing w:after="0"/>
              <w:rPr>
                <w:sz w:val="20"/>
                <w:szCs w:val="20"/>
                <w:color w:val="auto"/>
              </w:rPr>
            </w:pPr>
            <w:r>
              <w:rPr>
                <w:rFonts w:ascii="Arial" w:cs="Arial" w:eastAsia="Arial" w:hAnsi="Arial"/>
                <w:sz w:val="22"/>
                <w:szCs w:val="22"/>
                <w:color w:val="auto"/>
              </w:rPr>
              <w:t>Total liabilities and equity</w:t>
            </w: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91,796,902,792</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87"/>
              </w:rPr>
              <w:t>80,607,541,322</w:t>
            </w:r>
          </w:p>
        </w:tc>
      </w:tr>
      <w:tr>
        <w:trPr>
          <w:trHeight w:val="20"/>
        </w:trPr>
        <w:tc>
          <w:tcPr>
            <w:tcW w:w="7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823595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consolidated financial statements.</w:t>
      </w:r>
    </w:p>
    <w:p>
      <w:pPr>
        <w:sectPr>
          <w:pgSz w:w="11900" w:h="16838" w:orient="portrait"/>
          <w:cols w:equalWidth="0" w:num="1">
            <w:col w:w="11380"/>
          </w:cols>
          <w:pgMar w:left="280" w:top="639"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- 4 -</w:t>
      </w:r>
    </w:p>
    <w:p>
      <w:pPr>
        <w:sectPr>
          <w:pgSz w:w="11900" w:h="16838" w:orient="portrait"/>
          <w:cols w:equalWidth="0" w:num="1">
            <w:col w:w="11380"/>
          </w:cols>
          <w:pgMar w:left="280" w:top="639" w:right="239" w:bottom="1440" w:gutter="0" w:footer="0" w:header="0"/>
          <w:type w:val="continuous"/>
        </w:sectPr>
      </w:pPr>
    </w:p>
    <w:bookmarkStart w:id="146" w:name="page147"/>
    <w:bookmarkEnd w:id="146"/>
    <w:p>
      <w:pPr>
        <w:jc w:val="center"/>
        <w:ind w:right="40"/>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Consolidated Statements of Income and Comprehensive Income (Expressed in Renminbi)</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0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21"/>
                <w:szCs w:val="21"/>
                <w:color w:val="auto"/>
                <w:w w:val="86"/>
              </w:rPr>
              <w:t>Year ended December 31</w:t>
            </w: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30"/>
        </w:trPr>
        <w:tc>
          <w:tcPr>
            <w:tcW w:w="5000" w:type="dxa"/>
            <w:vAlign w:val="bottom"/>
          </w:tcPr>
          <w:p>
            <w:pPr>
              <w:spacing w:after="0"/>
              <w:rPr>
                <w:sz w:val="19"/>
                <w:szCs w:val="19"/>
                <w:color w:val="auto"/>
              </w:rPr>
            </w:pPr>
          </w:p>
        </w:tc>
        <w:tc>
          <w:tcPr>
            <w:tcW w:w="2060" w:type="dxa"/>
            <w:vAlign w:val="bottom"/>
            <w:gridSpan w:val="3"/>
          </w:tcPr>
          <w:p>
            <w:pPr>
              <w:jc w:val="right"/>
              <w:ind w:right="820"/>
              <w:spacing w:after="0" w:line="230" w:lineRule="exact"/>
              <w:rPr>
                <w:sz w:val="20"/>
                <w:szCs w:val="20"/>
                <w:color w:val="auto"/>
              </w:rPr>
            </w:pPr>
            <w:r>
              <w:rPr>
                <w:rFonts w:ascii="Arial" w:cs="Arial" w:eastAsia="Arial" w:hAnsi="Arial"/>
                <w:sz w:val="21"/>
                <w:szCs w:val="21"/>
                <w:color w:val="auto"/>
              </w:rPr>
              <w:t>2015</w:t>
            </w:r>
          </w:p>
        </w:tc>
        <w:tc>
          <w:tcPr>
            <w:tcW w:w="1360" w:type="dxa"/>
            <w:vAlign w:val="bottom"/>
            <w:gridSpan w:val="3"/>
          </w:tcPr>
          <w:p>
            <w:pPr>
              <w:jc w:val="right"/>
              <w:spacing w:after="0" w:line="230" w:lineRule="exact"/>
              <w:rPr>
                <w:sz w:val="20"/>
                <w:szCs w:val="20"/>
                <w:color w:val="auto"/>
              </w:rPr>
            </w:pPr>
            <w:r>
              <w:rPr>
                <w:rFonts w:ascii="Arial" w:cs="Arial" w:eastAsia="Arial" w:hAnsi="Arial"/>
                <w:sz w:val="21"/>
                <w:szCs w:val="21"/>
                <w:color w:val="auto"/>
              </w:rPr>
              <w:t>2014</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3"/>
          </w:tcPr>
          <w:p>
            <w:pPr>
              <w:jc w:val="right"/>
              <w:ind w:right="820"/>
              <w:spacing w:after="0" w:line="230" w:lineRule="exact"/>
              <w:rPr>
                <w:sz w:val="20"/>
                <w:szCs w:val="20"/>
                <w:color w:val="auto"/>
              </w:rPr>
            </w:pPr>
            <w:r>
              <w:rPr>
                <w:rFonts w:ascii="Arial" w:cs="Arial" w:eastAsia="Arial" w:hAnsi="Arial"/>
                <w:sz w:val="21"/>
                <w:szCs w:val="21"/>
                <w:color w:val="auto"/>
              </w:rPr>
              <w:t>2013</w:t>
            </w: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26"/>
        </w:trPr>
        <w:tc>
          <w:tcPr>
            <w:tcW w:w="5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3"/>
          </w:tcPr>
          <w:p>
            <w:pPr>
              <w:jc w:val="right"/>
              <w:ind w:right="520"/>
              <w:spacing w:after="0"/>
              <w:rPr>
                <w:sz w:val="20"/>
                <w:szCs w:val="20"/>
                <w:color w:val="auto"/>
              </w:rPr>
            </w:pPr>
            <w:r>
              <w:rPr>
                <w:rFonts w:ascii="Arial" w:cs="Arial" w:eastAsia="Arial" w:hAnsi="Arial"/>
                <w:sz w:val="21"/>
                <w:szCs w:val="21"/>
                <w:color w:val="auto"/>
              </w:rPr>
              <w:t>(Unaudited)</w:t>
            </w:r>
          </w:p>
        </w:tc>
      </w:tr>
      <w:tr>
        <w:trPr>
          <w:trHeight w:val="621"/>
        </w:trPr>
        <w:tc>
          <w:tcPr>
            <w:tcW w:w="5000" w:type="dxa"/>
            <w:vAlign w:val="bottom"/>
          </w:tcPr>
          <w:p>
            <w:pPr>
              <w:spacing w:after="0"/>
              <w:rPr>
                <w:sz w:val="20"/>
                <w:szCs w:val="20"/>
                <w:color w:val="auto"/>
              </w:rPr>
            </w:pPr>
            <w:r>
              <w:rPr>
                <w:rFonts w:ascii="Arial" w:cs="Arial" w:eastAsia="Arial" w:hAnsi="Arial"/>
                <w:sz w:val="21"/>
                <w:szCs w:val="21"/>
                <w:color w:val="auto"/>
              </w:rPr>
              <w:t>Net sales</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168,716,257,269</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157,884,662,493</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137,074,915,423</w:t>
            </w:r>
          </w:p>
        </w:tc>
      </w:tr>
      <w:tr>
        <w:trPr>
          <w:trHeight w:val="445"/>
        </w:trPr>
        <w:tc>
          <w:tcPr>
            <w:tcW w:w="5000" w:type="dxa"/>
            <w:vAlign w:val="bottom"/>
          </w:tcPr>
          <w:p>
            <w:pPr>
              <w:spacing w:after="0"/>
              <w:rPr>
                <w:sz w:val="20"/>
                <w:szCs w:val="20"/>
                <w:color w:val="auto"/>
              </w:rPr>
            </w:pPr>
            <w:r>
              <w:rPr>
                <w:rFonts w:ascii="Arial" w:cs="Arial" w:eastAsia="Arial" w:hAnsi="Arial"/>
                <w:sz w:val="21"/>
                <w:szCs w:val="21"/>
                <w:color w:val="auto"/>
              </w:rPr>
              <w:t>Cost of goods sold</w:t>
            </w: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1"/>
                <w:szCs w:val="21"/>
                <w:color w:val="auto"/>
              </w:rPr>
              <w:t>(137,347,334,128)</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(129,155,500,543)</w:t>
            </w: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(114,068,810,611)</w:t>
            </w:r>
          </w:p>
        </w:tc>
      </w:tr>
      <w:tr>
        <w:trPr>
          <w:trHeight w:val="548"/>
        </w:trPr>
        <w:tc>
          <w:tcPr>
            <w:tcW w:w="5000" w:type="dxa"/>
            <w:vAlign w:val="bottom"/>
          </w:tcPr>
          <w:p>
            <w:pPr>
              <w:spacing w:after="0"/>
              <w:rPr>
                <w:sz w:val="20"/>
                <w:szCs w:val="20"/>
                <w:color w:val="auto"/>
              </w:rPr>
            </w:pPr>
            <w:r>
              <w:rPr>
                <w:rFonts w:ascii="Arial" w:cs="Arial" w:eastAsia="Arial" w:hAnsi="Arial"/>
                <w:sz w:val="21"/>
                <w:szCs w:val="21"/>
                <w:color w:val="auto"/>
              </w:rPr>
              <w:t>Gross profit</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31,368,923,141</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28,729,161,950</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23,006,104,812</w:t>
            </w:r>
          </w:p>
        </w:tc>
      </w:tr>
      <w:tr>
        <w:trPr>
          <w:trHeight w:val="472"/>
        </w:trPr>
        <w:tc>
          <w:tcPr>
            <w:tcW w:w="5000" w:type="dxa"/>
            <w:vAlign w:val="bottom"/>
          </w:tcPr>
          <w:p>
            <w:pPr>
              <w:spacing w:after="0"/>
              <w:rPr>
                <w:sz w:val="20"/>
                <w:szCs w:val="20"/>
                <w:color w:val="auto"/>
              </w:rPr>
            </w:pPr>
            <w:r>
              <w:rPr>
                <w:rFonts w:ascii="Arial" w:cs="Arial" w:eastAsia="Arial" w:hAnsi="Arial"/>
                <w:sz w:val="21"/>
                <w:szCs w:val="21"/>
                <w:color w:val="auto"/>
              </w:rPr>
              <w:t>Selling, general and administrative expenses</w:t>
            </w: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1"/>
                <w:szCs w:val="21"/>
                <w:color w:val="auto"/>
              </w:rPr>
              <w:t>(6,761,117,080)</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(7,122,923,845)</w:t>
            </w: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(6,386,176,602)</w:t>
            </w:r>
          </w:p>
        </w:tc>
      </w:tr>
      <w:tr>
        <w:trPr>
          <w:trHeight w:val="548"/>
        </w:trPr>
        <w:tc>
          <w:tcPr>
            <w:tcW w:w="5000" w:type="dxa"/>
            <w:vAlign w:val="bottom"/>
          </w:tcPr>
          <w:p>
            <w:pPr>
              <w:spacing w:after="0"/>
              <w:rPr>
                <w:sz w:val="20"/>
                <w:szCs w:val="20"/>
                <w:color w:val="auto"/>
              </w:rPr>
            </w:pPr>
            <w:r>
              <w:rPr>
                <w:rFonts w:ascii="Arial" w:cs="Arial" w:eastAsia="Arial" w:hAnsi="Arial"/>
                <w:sz w:val="21"/>
                <w:szCs w:val="21"/>
                <w:color w:val="auto"/>
              </w:rPr>
              <w:t>Operating profit</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24,607,806,061</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21,606,238,105</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16,619,928,210</w:t>
            </w:r>
          </w:p>
        </w:tc>
      </w:tr>
      <w:tr>
        <w:trPr>
          <w:trHeight w:val="432"/>
        </w:trPr>
        <w:tc>
          <w:tcPr>
            <w:tcW w:w="5000" w:type="dxa"/>
            <w:vAlign w:val="bottom"/>
          </w:tcPr>
          <w:p>
            <w:pPr>
              <w:spacing w:after="0"/>
              <w:rPr>
                <w:sz w:val="20"/>
                <w:szCs w:val="20"/>
                <w:color w:val="auto"/>
              </w:rPr>
            </w:pPr>
            <w:r>
              <w:rPr>
                <w:rFonts w:ascii="Arial" w:cs="Arial" w:eastAsia="Arial" w:hAnsi="Arial"/>
                <w:sz w:val="21"/>
                <w:szCs w:val="21"/>
                <w:color w:val="auto"/>
              </w:rPr>
              <w:t>Interest income</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428,504,304</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755,400,797</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704,441,862</w:t>
            </w:r>
          </w:p>
        </w:tc>
      </w:tr>
      <w:tr>
        <w:trPr>
          <w:trHeight w:val="310"/>
        </w:trPr>
        <w:tc>
          <w:tcPr>
            <w:tcW w:w="5000" w:type="dxa"/>
            <w:vAlign w:val="bottom"/>
          </w:tcPr>
          <w:p>
            <w:pPr>
              <w:spacing w:after="0"/>
              <w:rPr>
                <w:sz w:val="20"/>
                <w:szCs w:val="20"/>
                <w:color w:val="auto"/>
              </w:rPr>
            </w:pPr>
            <w:r>
              <w:rPr>
                <w:rFonts w:ascii="Arial" w:cs="Arial" w:eastAsia="Arial" w:hAnsi="Arial"/>
                <w:sz w:val="21"/>
                <w:szCs w:val="21"/>
                <w:color w:val="auto"/>
              </w:rPr>
              <w:t>Other income and expense, net</w:t>
            </w: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1"/>
                <w:szCs w:val="21"/>
                <w:color w:val="auto"/>
              </w:rPr>
              <w:t>(124,957,109)</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1"/>
                <w:szCs w:val="21"/>
                <w:color w:val="auto"/>
              </w:rPr>
              <w:t>14,937,405</w:t>
            </w: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1"/>
                <w:szCs w:val="21"/>
                <w:color w:val="auto"/>
              </w:rPr>
              <w:t>149,215,473</w:t>
            </w:r>
          </w:p>
        </w:tc>
      </w:tr>
      <w:tr>
        <w:trPr>
          <w:trHeight w:val="413"/>
        </w:trPr>
        <w:tc>
          <w:tcPr>
            <w:tcW w:w="5000" w:type="dxa"/>
            <w:vAlign w:val="bottom"/>
          </w:tcPr>
          <w:p>
            <w:pPr>
              <w:spacing w:after="0"/>
              <w:rPr>
                <w:sz w:val="20"/>
                <w:szCs w:val="20"/>
                <w:color w:val="auto"/>
              </w:rPr>
            </w:pPr>
            <w:r>
              <w:rPr>
                <w:rFonts w:ascii="Arial" w:cs="Arial" w:eastAsia="Arial" w:hAnsi="Arial"/>
                <w:sz w:val="21"/>
                <w:szCs w:val="21"/>
                <w:color w:val="auto"/>
              </w:rPr>
              <w:t>Income before income taxes and equity income</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24,911,353,256</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22,376,576,307</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17,473,585,545</w:t>
            </w:r>
          </w:p>
        </w:tc>
      </w:tr>
      <w:tr>
        <w:trPr>
          <w:trHeight w:val="432"/>
        </w:trPr>
        <w:tc>
          <w:tcPr>
            <w:tcW w:w="5000" w:type="dxa"/>
            <w:vAlign w:val="bottom"/>
          </w:tcPr>
          <w:p>
            <w:pPr>
              <w:spacing w:after="0"/>
              <w:rPr>
                <w:sz w:val="20"/>
                <w:szCs w:val="20"/>
                <w:color w:val="auto"/>
              </w:rPr>
            </w:pPr>
            <w:r>
              <w:rPr>
                <w:rFonts w:ascii="Arial" w:cs="Arial" w:eastAsia="Arial" w:hAnsi="Arial"/>
                <w:sz w:val="21"/>
                <w:szCs w:val="21"/>
                <w:color w:val="auto"/>
              </w:rPr>
              <w:t>Income tax expense (note 7)</w:t>
            </w:r>
          </w:p>
        </w:tc>
        <w:tc>
          <w:tcPr>
            <w:tcW w:w="2060" w:type="dxa"/>
            <w:vAlign w:val="bottom"/>
            <w:gridSpan w:val="3"/>
          </w:tcPr>
          <w:p>
            <w:pPr>
              <w:jc w:val="right"/>
              <w:ind w:right="60"/>
              <w:spacing w:after="0"/>
              <w:rPr>
                <w:sz w:val="20"/>
                <w:szCs w:val="20"/>
                <w:color w:val="auto"/>
              </w:rPr>
            </w:pPr>
            <w:r>
              <w:rPr>
                <w:rFonts w:ascii="Arial" w:cs="Arial" w:eastAsia="Arial" w:hAnsi="Arial"/>
                <w:sz w:val="21"/>
                <w:szCs w:val="21"/>
                <w:color w:val="auto"/>
              </w:rPr>
              <w:t>(5,881,350,456)</w:t>
            </w:r>
          </w:p>
        </w:tc>
        <w:tc>
          <w:tcPr>
            <w:tcW w:w="2180" w:type="dxa"/>
            <w:vAlign w:val="bottom"/>
            <w:gridSpan w:val="4"/>
          </w:tcPr>
          <w:p>
            <w:pPr>
              <w:jc w:val="right"/>
              <w:ind w:right="40"/>
              <w:spacing w:after="0"/>
              <w:rPr>
                <w:sz w:val="20"/>
                <w:szCs w:val="20"/>
                <w:color w:val="auto"/>
              </w:rPr>
            </w:pPr>
            <w:r>
              <w:rPr>
                <w:rFonts w:ascii="Arial" w:cs="Arial" w:eastAsia="Arial" w:hAnsi="Arial"/>
                <w:sz w:val="21"/>
                <w:szCs w:val="21"/>
                <w:color w:val="auto"/>
              </w:rPr>
              <w:t>(5,136,447,549)</w:t>
            </w:r>
          </w:p>
        </w:tc>
        <w:tc>
          <w:tcPr>
            <w:tcW w:w="100" w:type="dxa"/>
            <w:vAlign w:val="bottom"/>
          </w:tcPr>
          <w:p>
            <w:pPr>
              <w:spacing w:after="0"/>
              <w:rPr>
                <w:sz w:val="24"/>
                <w:szCs w:val="24"/>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21"/>
                <w:szCs w:val="21"/>
                <w:color w:val="auto"/>
              </w:rPr>
              <w:t>(4,152,525,185)</w:t>
            </w:r>
          </w:p>
        </w:tc>
      </w:tr>
      <w:tr>
        <w:trPr>
          <w:trHeight w:val="310"/>
        </w:trPr>
        <w:tc>
          <w:tcPr>
            <w:tcW w:w="5000" w:type="dxa"/>
            <w:vAlign w:val="bottom"/>
          </w:tcPr>
          <w:p>
            <w:pPr>
              <w:spacing w:after="0"/>
              <w:rPr>
                <w:sz w:val="20"/>
                <w:szCs w:val="20"/>
                <w:color w:val="auto"/>
              </w:rPr>
            </w:pPr>
            <w:r>
              <w:rPr>
                <w:rFonts w:ascii="Arial" w:cs="Arial" w:eastAsia="Arial" w:hAnsi="Arial"/>
                <w:sz w:val="21"/>
                <w:szCs w:val="21"/>
                <w:color w:val="auto"/>
              </w:rPr>
              <w:t>Equity income, net of tax</w:t>
            </w:r>
          </w:p>
        </w:tc>
        <w:tc>
          <w:tcPr>
            <w:tcW w:w="2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1"/>
                <w:szCs w:val="21"/>
                <w:color w:val="auto"/>
              </w:rPr>
              <w:t>451,723,297</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1"/>
                <w:szCs w:val="21"/>
                <w:color w:val="auto"/>
              </w:rPr>
              <w:t>389,419,130</w:t>
            </w: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1"/>
                <w:szCs w:val="21"/>
                <w:color w:val="auto"/>
              </w:rPr>
              <w:t>374,871,211</w:t>
            </w:r>
          </w:p>
        </w:tc>
      </w:tr>
      <w:tr>
        <w:trPr>
          <w:trHeight w:val="413"/>
        </w:trPr>
        <w:tc>
          <w:tcPr>
            <w:tcW w:w="5000" w:type="dxa"/>
            <w:vAlign w:val="bottom"/>
          </w:tcPr>
          <w:p>
            <w:pPr>
              <w:spacing w:after="0"/>
              <w:rPr>
                <w:sz w:val="20"/>
                <w:szCs w:val="20"/>
                <w:color w:val="auto"/>
              </w:rPr>
            </w:pPr>
            <w:r>
              <w:rPr>
                <w:rFonts w:ascii="Arial" w:cs="Arial" w:eastAsia="Arial" w:hAnsi="Arial"/>
                <w:sz w:val="21"/>
                <w:szCs w:val="21"/>
                <w:color w:val="auto"/>
              </w:rPr>
              <w:t>Net income and comprehensive income</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19,481,726,097</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17,629,547,888</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13,695,931,571</w:t>
            </w:r>
          </w:p>
        </w:tc>
      </w:tr>
      <w:tr>
        <w:trPr>
          <w:trHeight w:val="432"/>
        </w:trPr>
        <w:tc>
          <w:tcPr>
            <w:tcW w:w="5000" w:type="dxa"/>
            <w:vAlign w:val="bottom"/>
          </w:tcPr>
          <w:p>
            <w:pPr>
              <w:spacing w:after="0"/>
              <w:rPr>
                <w:sz w:val="20"/>
                <w:szCs w:val="20"/>
                <w:color w:val="auto"/>
              </w:rPr>
            </w:pPr>
            <w:r>
              <w:rPr>
                <w:rFonts w:ascii="Arial" w:cs="Arial" w:eastAsia="Arial" w:hAnsi="Arial"/>
                <w:sz w:val="21"/>
                <w:szCs w:val="21"/>
                <w:color w:val="auto"/>
              </w:rPr>
              <w:t>Net income and comprehensive income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0"/>
        </w:trPr>
        <w:tc>
          <w:tcPr>
            <w:tcW w:w="5000" w:type="dxa"/>
            <w:vAlign w:val="bottom"/>
          </w:tcPr>
          <w:p>
            <w:pPr>
              <w:ind w:left="100"/>
              <w:spacing w:after="0"/>
              <w:rPr>
                <w:sz w:val="20"/>
                <w:szCs w:val="20"/>
                <w:color w:val="auto"/>
              </w:rPr>
            </w:pPr>
            <w:r>
              <w:rPr>
                <w:rFonts w:ascii="Arial" w:cs="Arial" w:eastAsia="Arial" w:hAnsi="Arial"/>
                <w:sz w:val="21"/>
                <w:szCs w:val="21"/>
                <w:color w:val="auto"/>
              </w:rPr>
              <w:t>attributable to non-controlling interests</w:t>
            </w:r>
          </w:p>
        </w:tc>
        <w:tc>
          <w:tcPr>
            <w:tcW w:w="2060" w:type="dxa"/>
            <w:vAlign w:val="bottom"/>
            <w:gridSpan w:val="3"/>
          </w:tcPr>
          <w:p>
            <w:pPr>
              <w:jc w:val="right"/>
              <w:ind w:right="60"/>
              <w:spacing w:after="0"/>
              <w:rPr>
                <w:sz w:val="20"/>
                <w:szCs w:val="20"/>
                <w:color w:val="auto"/>
              </w:rPr>
            </w:pPr>
            <w:r>
              <w:rPr>
                <w:rFonts w:ascii="Arial" w:cs="Arial" w:eastAsia="Arial" w:hAnsi="Arial"/>
                <w:sz w:val="21"/>
                <w:szCs w:val="21"/>
                <w:color w:val="auto"/>
              </w:rPr>
              <w:t>(3,061,024,429)</w:t>
            </w:r>
          </w:p>
        </w:tc>
        <w:tc>
          <w:tcPr>
            <w:tcW w:w="2180" w:type="dxa"/>
            <w:vAlign w:val="bottom"/>
            <w:gridSpan w:val="4"/>
          </w:tcPr>
          <w:p>
            <w:pPr>
              <w:jc w:val="right"/>
              <w:ind w:right="40"/>
              <w:spacing w:after="0"/>
              <w:rPr>
                <w:sz w:val="20"/>
                <w:szCs w:val="20"/>
                <w:color w:val="auto"/>
              </w:rPr>
            </w:pPr>
            <w:r>
              <w:rPr>
                <w:rFonts w:ascii="Arial" w:cs="Arial" w:eastAsia="Arial" w:hAnsi="Arial"/>
                <w:sz w:val="21"/>
                <w:szCs w:val="21"/>
                <w:color w:val="auto"/>
              </w:rPr>
              <w:t>(3,019,100,786)</w:t>
            </w:r>
          </w:p>
        </w:tc>
        <w:tc>
          <w:tcPr>
            <w:tcW w:w="100" w:type="dxa"/>
            <w:vAlign w:val="bottom"/>
          </w:tcPr>
          <w:p>
            <w:pPr>
              <w:spacing w:after="0"/>
              <w:rPr>
                <w:sz w:val="24"/>
                <w:szCs w:val="24"/>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21"/>
                <w:szCs w:val="21"/>
                <w:color w:val="auto"/>
              </w:rPr>
              <w:t>(2,203,957,931)</w:t>
            </w:r>
          </w:p>
        </w:tc>
      </w:tr>
      <w:tr>
        <w:trPr>
          <w:trHeight w:val="548"/>
        </w:trPr>
        <w:tc>
          <w:tcPr>
            <w:tcW w:w="5000" w:type="dxa"/>
            <w:vAlign w:val="bottom"/>
          </w:tcPr>
          <w:p>
            <w:pPr>
              <w:spacing w:after="0"/>
              <w:rPr>
                <w:sz w:val="20"/>
                <w:szCs w:val="20"/>
                <w:color w:val="auto"/>
              </w:rPr>
            </w:pPr>
            <w:r>
              <w:rPr>
                <w:rFonts w:ascii="Arial" w:cs="Arial" w:eastAsia="Arial" w:hAnsi="Arial"/>
                <w:sz w:val="21"/>
                <w:szCs w:val="21"/>
                <w:color w:val="auto"/>
              </w:rPr>
              <w:t>Net income and comprehensive income</w:t>
            </w:r>
          </w:p>
        </w:tc>
        <w:tc>
          <w:tcPr>
            <w:tcW w:w="8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313"/>
        </w:trPr>
        <w:tc>
          <w:tcPr>
            <w:tcW w:w="5000" w:type="dxa"/>
            <w:vAlign w:val="bottom"/>
          </w:tcPr>
          <w:p>
            <w:pPr>
              <w:ind w:left="100"/>
              <w:spacing w:after="0"/>
              <w:rPr>
                <w:sz w:val="20"/>
                <w:szCs w:val="20"/>
                <w:color w:val="auto"/>
              </w:rPr>
            </w:pPr>
            <w:r>
              <w:rPr>
                <w:rFonts w:ascii="Arial" w:cs="Arial" w:eastAsia="Arial" w:hAnsi="Arial"/>
                <w:sz w:val="21"/>
                <w:szCs w:val="21"/>
                <w:color w:val="auto"/>
              </w:rPr>
              <w:t>attributable to shareholders</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16,420,701,668</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14,610,447,102</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11,491,973,640</w:t>
            </w:r>
          </w:p>
        </w:tc>
      </w:tr>
      <w:tr>
        <w:trPr>
          <w:trHeight w:val="20"/>
        </w:trPr>
        <w:tc>
          <w:tcPr>
            <w:tcW w:w="5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823595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80" w:top="639" w:right="239" w:bottom="1440" w:gutter="0" w:footer="0" w:header="0"/>
        </w:sectPr>
      </w:pPr>
    </w:p>
    <w:bookmarkStart w:id="147" w:name="page148"/>
    <w:bookmarkEnd w:id="147"/>
    <w:p>
      <w:pPr>
        <w:jc w:val="center"/>
        <w:ind w:right="40"/>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Consolidated Statements of Equity (Expressed in Renminbi)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6"/>
                <w:szCs w:val="16"/>
                <w:color w:val="auto"/>
                <w:w w:val="99"/>
              </w:rPr>
              <w:t>Additional</w:t>
            </w: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6"/>
                <w:szCs w:val="16"/>
                <w:color w:val="auto"/>
                <w:w w:val="93"/>
              </w:rPr>
              <w:t>Statutory</w:t>
            </w:r>
          </w:p>
        </w:tc>
        <w:tc>
          <w:tcPr>
            <w:tcW w:w="116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paid-in</w:t>
            </w:r>
          </w:p>
        </w:tc>
        <w:tc>
          <w:tcPr>
            <w:tcW w:w="1580" w:type="dxa"/>
            <w:vAlign w:val="bottom"/>
            <w:gridSpan w:val="4"/>
          </w:tcPr>
          <w:p>
            <w:pPr>
              <w:ind w:left="460"/>
              <w:spacing w:after="0"/>
              <w:rPr>
                <w:sz w:val="20"/>
                <w:szCs w:val="20"/>
                <w:color w:val="auto"/>
              </w:rPr>
            </w:pPr>
            <w:r>
              <w:rPr>
                <w:rFonts w:ascii="Arial" w:cs="Arial" w:eastAsia="Arial" w:hAnsi="Arial"/>
                <w:sz w:val="16"/>
                <w:szCs w:val="16"/>
                <w:color w:val="auto"/>
              </w:rPr>
              <w:t>Retained</w:t>
            </w:r>
          </w:p>
        </w:tc>
        <w:tc>
          <w:tcPr>
            <w:tcW w:w="1580" w:type="dxa"/>
            <w:vAlign w:val="bottom"/>
            <w:gridSpan w:val="4"/>
          </w:tcPr>
          <w:p>
            <w:pPr>
              <w:jc w:val="center"/>
              <w:ind w:right="100"/>
              <w:spacing w:after="0"/>
              <w:rPr>
                <w:sz w:val="20"/>
                <w:szCs w:val="20"/>
                <w:color w:val="auto"/>
              </w:rPr>
            </w:pPr>
            <w:r>
              <w:rPr>
                <w:rFonts w:ascii="Arial" w:cs="Arial" w:eastAsia="Arial" w:hAnsi="Arial"/>
                <w:sz w:val="16"/>
                <w:szCs w:val="16"/>
                <w:color w:val="auto"/>
                <w:w w:val="96"/>
              </w:rPr>
              <w:t>Non-controlling</w:t>
            </w:r>
          </w:p>
        </w:tc>
        <w:tc>
          <w:tcPr>
            <w:tcW w:w="540" w:type="dxa"/>
            <w:vAlign w:val="bottom"/>
          </w:tcPr>
          <w:p>
            <w:pPr>
              <w:spacing w:after="0"/>
              <w:rPr>
                <w:sz w:val="23"/>
                <w:szCs w:val="23"/>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capital</w:t>
            </w:r>
          </w:p>
        </w:tc>
        <w:tc>
          <w:tcPr>
            <w:tcW w:w="1160" w:type="dxa"/>
            <w:vAlign w:val="bottom"/>
            <w:gridSpan w:val="4"/>
          </w:tcPr>
          <w:p>
            <w:pPr>
              <w:jc w:val="center"/>
              <w:ind w:right="100"/>
              <w:spacing w:after="0"/>
              <w:rPr>
                <w:sz w:val="20"/>
                <w:szCs w:val="20"/>
                <w:color w:val="auto"/>
              </w:rPr>
            </w:pPr>
            <w:r>
              <w:rPr>
                <w:rFonts w:ascii="Arial" w:cs="Arial" w:eastAsia="Arial" w:hAnsi="Arial"/>
                <w:sz w:val="16"/>
                <w:szCs w:val="16"/>
                <w:color w:val="auto"/>
                <w:w w:val="90"/>
              </w:rPr>
              <w:t>capital</w:t>
            </w:r>
          </w:p>
        </w:tc>
        <w:tc>
          <w:tcPr>
            <w:tcW w:w="46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6"/>
                <w:szCs w:val="16"/>
                <w:color w:val="auto"/>
              </w:rPr>
              <w:t>earnings</w:t>
            </w:r>
          </w:p>
        </w:tc>
        <w:tc>
          <w:tcPr>
            <w:tcW w:w="480" w:type="dxa"/>
            <w:vAlign w:val="bottom"/>
          </w:tcPr>
          <w:p>
            <w:pPr>
              <w:spacing w:after="0"/>
              <w:rPr>
                <w:sz w:val="20"/>
                <w:szCs w:val="20"/>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6"/>
                <w:szCs w:val="16"/>
                <w:color w:val="auto"/>
                <w:w w:val="89"/>
              </w:rPr>
              <w:t>interests</w:t>
            </w:r>
          </w:p>
        </w:tc>
        <w:tc>
          <w:tcPr>
            <w:tcW w:w="54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w w:val="88"/>
              </w:rPr>
              <w:t>equity</w:t>
            </w:r>
          </w:p>
        </w:tc>
        <w:tc>
          <w:tcPr>
            <w:tcW w:w="0" w:type="dxa"/>
            <w:vAlign w:val="bottom"/>
          </w:tcPr>
          <w:p>
            <w:pPr>
              <w:spacing w:after="0"/>
              <w:rPr>
                <w:sz w:val="1"/>
                <w:szCs w:val="1"/>
                <w:color w:val="auto"/>
              </w:rPr>
            </w:pPr>
          </w:p>
        </w:tc>
      </w:tr>
      <w:tr>
        <w:trPr>
          <w:trHeight w:val="420"/>
        </w:trPr>
        <w:tc>
          <w:tcPr>
            <w:tcW w:w="4080" w:type="dxa"/>
            <w:vAlign w:val="bottom"/>
          </w:tcPr>
          <w:p>
            <w:pPr>
              <w:spacing w:after="0"/>
              <w:rPr>
                <w:sz w:val="20"/>
                <w:szCs w:val="20"/>
                <w:color w:val="auto"/>
              </w:rPr>
            </w:pPr>
            <w:r>
              <w:rPr>
                <w:rFonts w:ascii="Arial" w:cs="Arial" w:eastAsia="Arial" w:hAnsi="Arial"/>
                <w:sz w:val="16"/>
                <w:szCs w:val="16"/>
                <w:color w:val="auto"/>
              </w:rPr>
              <w:t>Balance at January 1, 2013</w:t>
            </w:r>
          </w:p>
        </w:tc>
        <w:tc>
          <w:tcPr>
            <w:tcW w:w="4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(Unaudited)</w:t>
            </w:r>
          </w:p>
        </w:tc>
        <w:tc>
          <w:tcPr>
            <w:tcW w:w="1380" w:type="dxa"/>
            <w:vAlign w:val="bottom"/>
            <w:gridSpan w:val="3"/>
          </w:tcPr>
          <w:p>
            <w:pPr>
              <w:jc w:val="right"/>
              <w:ind w:right="39"/>
              <w:spacing w:after="0"/>
              <w:rPr>
                <w:sz w:val="20"/>
                <w:szCs w:val="20"/>
                <w:color w:val="auto"/>
              </w:rPr>
            </w:pPr>
            <w:r>
              <w:rPr>
                <w:rFonts w:ascii="Arial" w:cs="Arial" w:eastAsia="Arial" w:hAnsi="Arial"/>
                <w:sz w:val="16"/>
                <w:szCs w:val="16"/>
                <w:color w:val="auto"/>
              </w:rPr>
              <w:t>8,802,006,138</w:t>
            </w:r>
          </w:p>
        </w:tc>
        <w:tc>
          <w:tcPr>
            <w:tcW w:w="120" w:type="dxa"/>
            <w:vAlign w:val="bottom"/>
          </w:tcPr>
          <w:p>
            <w:pPr>
              <w:spacing w:after="0"/>
              <w:rPr>
                <w:sz w:val="23"/>
                <w:szCs w:val="23"/>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6"/>
                <w:szCs w:val="16"/>
                <w:color w:val="auto"/>
              </w:rPr>
              <w:t>1,174,131</w:t>
            </w:r>
          </w:p>
        </w:tc>
        <w:tc>
          <w:tcPr>
            <w:tcW w:w="12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8,806,188,950</w:t>
            </w:r>
          </w:p>
        </w:tc>
        <w:tc>
          <w:tcPr>
            <w:tcW w:w="10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6,570,587,678</w:t>
            </w:r>
          </w:p>
        </w:tc>
        <w:tc>
          <w:tcPr>
            <w:tcW w:w="10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24,179,956,897</w:t>
            </w:r>
          </w:p>
        </w:tc>
        <w:tc>
          <w:tcPr>
            <w:tcW w:w="0" w:type="dxa"/>
            <w:vAlign w:val="bottom"/>
          </w:tcPr>
          <w:p>
            <w:pPr>
              <w:spacing w:after="0"/>
              <w:rPr>
                <w:sz w:val="1"/>
                <w:szCs w:val="1"/>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Net Income and comprehensive income</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(Unaudited)</w:t>
            </w: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11,491,973,640</w:t>
            </w:r>
          </w:p>
        </w:tc>
        <w:tc>
          <w:tcPr>
            <w:tcW w:w="10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2,203,957,931</w:t>
            </w:r>
          </w:p>
        </w:tc>
        <w:tc>
          <w:tcPr>
            <w:tcW w:w="10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13,695,931,571</w:t>
            </w:r>
          </w:p>
        </w:tc>
        <w:tc>
          <w:tcPr>
            <w:tcW w:w="0" w:type="dxa"/>
            <w:vAlign w:val="bottom"/>
          </w:tcPr>
          <w:p>
            <w:pPr>
              <w:spacing w:after="0"/>
              <w:rPr>
                <w:sz w:val="1"/>
                <w:szCs w:val="1"/>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Dividends Declared</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(Unaudited)</w:t>
            </w: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(2,384,734,513)</w:t>
            </w:r>
          </w:p>
        </w:tc>
        <w:tc>
          <w:tcPr>
            <w:tcW w:w="100" w:type="dxa"/>
            <w:vAlign w:val="bottom"/>
          </w:tcPr>
          <w:p>
            <w:pPr>
              <w:spacing w:after="0"/>
              <w:rPr>
                <w:sz w:val="23"/>
                <w:szCs w:val="23"/>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(2,485,899,485)</w:t>
            </w:r>
          </w:p>
        </w:tc>
        <w:tc>
          <w:tcPr>
            <w:tcW w:w="100" w:type="dxa"/>
            <w:vAlign w:val="bottom"/>
          </w:tcPr>
          <w:p>
            <w:pPr>
              <w:spacing w:after="0"/>
              <w:rPr>
                <w:sz w:val="23"/>
                <w:szCs w:val="23"/>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(4,870,633,998)</w:t>
            </w:r>
          </w:p>
        </w:tc>
        <w:tc>
          <w:tcPr>
            <w:tcW w:w="0" w:type="dxa"/>
            <w:vAlign w:val="bottom"/>
          </w:tcPr>
          <w:p>
            <w:pPr>
              <w:spacing w:after="0"/>
              <w:rPr>
                <w:sz w:val="1"/>
                <w:szCs w:val="1"/>
                <w:color w:val="auto"/>
              </w:rPr>
            </w:pPr>
          </w:p>
        </w:tc>
      </w:tr>
      <w:tr>
        <w:trPr>
          <w:trHeight w:val="33"/>
        </w:trPr>
        <w:tc>
          <w:tcPr>
            <w:tcW w:w="4080" w:type="dxa"/>
            <w:vAlign w:val="bottom"/>
            <w:vMerge w:val="restart"/>
          </w:tcPr>
          <w:p>
            <w:pPr>
              <w:spacing w:after="0"/>
              <w:rPr>
                <w:sz w:val="20"/>
                <w:szCs w:val="20"/>
                <w:color w:val="auto"/>
              </w:rPr>
            </w:pPr>
            <w:r>
              <w:rPr>
                <w:rFonts w:ascii="Arial" w:cs="Arial" w:eastAsia="Arial" w:hAnsi="Arial"/>
                <w:sz w:val="16"/>
                <w:szCs w:val="16"/>
                <w:color w:val="auto"/>
              </w:rPr>
              <w:t>Balance at December 31, 2013</w:t>
            </w: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40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(Unaudited)</w:t>
            </w:r>
          </w:p>
        </w:tc>
        <w:tc>
          <w:tcPr>
            <w:tcW w:w="1380" w:type="dxa"/>
            <w:vAlign w:val="bottom"/>
            <w:gridSpan w:val="3"/>
          </w:tcPr>
          <w:p>
            <w:pPr>
              <w:jc w:val="right"/>
              <w:ind w:right="39"/>
              <w:spacing w:after="0"/>
              <w:rPr>
                <w:sz w:val="20"/>
                <w:szCs w:val="20"/>
                <w:color w:val="auto"/>
              </w:rPr>
            </w:pPr>
            <w:r>
              <w:rPr>
                <w:rFonts w:ascii="Arial" w:cs="Arial" w:eastAsia="Arial" w:hAnsi="Arial"/>
                <w:sz w:val="16"/>
                <w:szCs w:val="16"/>
                <w:color w:val="auto"/>
              </w:rPr>
              <w:t>8,802,006,138</w:t>
            </w:r>
          </w:p>
        </w:tc>
        <w:tc>
          <w:tcPr>
            <w:tcW w:w="120" w:type="dxa"/>
            <w:vAlign w:val="bottom"/>
          </w:tcPr>
          <w:p>
            <w:pPr>
              <w:spacing w:after="0"/>
              <w:rPr>
                <w:sz w:val="23"/>
                <w:szCs w:val="23"/>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6"/>
                <w:szCs w:val="16"/>
                <w:color w:val="auto"/>
              </w:rPr>
              <w:t>1,174,131</w:t>
            </w:r>
          </w:p>
        </w:tc>
        <w:tc>
          <w:tcPr>
            <w:tcW w:w="12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17,913,428,077</w:t>
            </w:r>
          </w:p>
        </w:tc>
        <w:tc>
          <w:tcPr>
            <w:tcW w:w="10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6,288,646,124</w:t>
            </w:r>
          </w:p>
        </w:tc>
        <w:tc>
          <w:tcPr>
            <w:tcW w:w="10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33,005,254,470</w:t>
            </w:r>
          </w:p>
        </w:tc>
        <w:tc>
          <w:tcPr>
            <w:tcW w:w="0" w:type="dxa"/>
            <w:vAlign w:val="bottom"/>
          </w:tcPr>
          <w:p>
            <w:pPr>
              <w:spacing w:after="0"/>
              <w:rPr>
                <w:sz w:val="1"/>
                <w:szCs w:val="1"/>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Net Income and comprehensive income</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14,610,447,102</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3,019,100,786</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17,629,547,888</w:t>
            </w:r>
          </w:p>
        </w:tc>
        <w:tc>
          <w:tcPr>
            <w:tcW w:w="0" w:type="dxa"/>
            <w:vAlign w:val="bottom"/>
          </w:tcPr>
          <w:p>
            <w:pPr>
              <w:spacing w:after="0"/>
              <w:rPr>
                <w:sz w:val="1"/>
                <w:szCs w:val="1"/>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Dividends Declared</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(11,506,551,711)</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(2,846,197,002)</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(14,352,748,713)</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4080" w:type="dxa"/>
            <w:vAlign w:val="bottom"/>
          </w:tcPr>
          <w:p>
            <w:pPr>
              <w:spacing w:after="0"/>
              <w:rPr>
                <w:sz w:val="20"/>
                <w:szCs w:val="20"/>
                <w:color w:val="auto"/>
              </w:rPr>
            </w:pPr>
            <w:r>
              <w:rPr>
                <w:rFonts w:ascii="Arial" w:cs="Arial" w:eastAsia="Arial" w:hAnsi="Arial"/>
                <w:sz w:val="16"/>
                <w:szCs w:val="16"/>
                <w:color w:val="auto"/>
              </w:rPr>
              <w:t>Balance at December 31, 2014</w:t>
            </w:r>
          </w:p>
        </w:tc>
        <w:tc>
          <w:tcPr>
            <w:tcW w:w="1380" w:type="dxa"/>
            <w:vAlign w:val="bottom"/>
            <w:gridSpan w:val="3"/>
          </w:tcPr>
          <w:p>
            <w:pPr>
              <w:jc w:val="right"/>
              <w:ind w:right="39"/>
              <w:spacing w:after="0"/>
              <w:rPr>
                <w:sz w:val="20"/>
                <w:szCs w:val="20"/>
                <w:color w:val="auto"/>
              </w:rPr>
            </w:pPr>
            <w:r>
              <w:rPr>
                <w:rFonts w:ascii="Arial" w:cs="Arial" w:eastAsia="Arial" w:hAnsi="Arial"/>
                <w:sz w:val="16"/>
                <w:szCs w:val="16"/>
                <w:color w:val="auto"/>
              </w:rPr>
              <w:t>8,802,006,138</w:t>
            </w:r>
          </w:p>
        </w:tc>
        <w:tc>
          <w:tcPr>
            <w:tcW w:w="120" w:type="dxa"/>
            <w:vAlign w:val="bottom"/>
          </w:tcPr>
          <w:p>
            <w:pPr>
              <w:spacing w:after="0"/>
              <w:rPr>
                <w:sz w:val="24"/>
                <w:szCs w:val="24"/>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6"/>
                <w:szCs w:val="16"/>
                <w:color w:val="auto"/>
              </w:rPr>
              <w:t>1,174,131</w:t>
            </w:r>
          </w:p>
        </w:tc>
        <w:tc>
          <w:tcPr>
            <w:tcW w:w="12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21,017,323,468</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6,461,549,908</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36,282,053,645</w:t>
            </w:r>
          </w:p>
        </w:tc>
        <w:tc>
          <w:tcPr>
            <w:tcW w:w="0" w:type="dxa"/>
            <w:vAlign w:val="bottom"/>
          </w:tcPr>
          <w:p>
            <w:pPr>
              <w:spacing w:after="0"/>
              <w:rPr>
                <w:sz w:val="1"/>
                <w:szCs w:val="1"/>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Net Income and comprehensive income</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16,420,701,668</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3,061,024,429</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19,481,726,097</w:t>
            </w:r>
          </w:p>
        </w:tc>
        <w:tc>
          <w:tcPr>
            <w:tcW w:w="0" w:type="dxa"/>
            <w:vAlign w:val="bottom"/>
          </w:tcPr>
          <w:p>
            <w:pPr>
              <w:spacing w:after="0"/>
              <w:rPr>
                <w:sz w:val="1"/>
                <w:szCs w:val="1"/>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Dividends Declared</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(14,100,004,857)</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(3,818,834,757)</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(17,918,839,614)</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4080" w:type="dxa"/>
            <w:vAlign w:val="bottom"/>
          </w:tcPr>
          <w:p>
            <w:pPr>
              <w:spacing w:after="0"/>
              <w:rPr>
                <w:sz w:val="20"/>
                <w:szCs w:val="20"/>
                <w:color w:val="auto"/>
              </w:rPr>
            </w:pPr>
            <w:r>
              <w:rPr>
                <w:rFonts w:ascii="Arial" w:cs="Arial" w:eastAsia="Arial" w:hAnsi="Arial"/>
                <w:sz w:val="16"/>
                <w:szCs w:val="16"/>
                <w:color w:val="auto"/>
              </w:rPr>
              <w:t>Balance at December 31, 2015</w:t>
            </w:r>
          </w:p>
        </w:tc>
        <w:tc>
          <w:tcPr>
            <w:tcW w:w="1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8,802,006,138</w:t>
            </w:r>
          </w:p>
        </w:tc>
        <w:tc>
          <w:tcPr>
            <w:tcW w:w="120" w:type="dxa"/>
            <w:vAlign w:val="bottom"/>
          </w:tcPr>
          <w:p>
            <w:pPr>
              <w:spacing w:after="0"/>
              <w:rPr>
                <w:sz w:val="24"/>
                <w:szCs w:val="24"/>
                <w:color w:val="auto"/>
              </w:rPr>
            </w:pPr>
          </w:p>
        </w:tc>
        <w:tc>
          <w:tcPr>
            <w:tcW w:w="10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1,174,131</w:t>
            </w:r>
          </w:p>
        </w:tc>
        <w:tc>
          <w:tcPr>
            <w:tcW w:w="12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23,338,020,279</w:t>
            </w:r>
          </w:p>
        </w:tc>
        <w:tc>
          <w:tcPr>
            <w:tcW w:w="10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5,703,739,580</w:t>
            </w:r>
          </w:p>
        </w:tc>
        <w:tc>
          <w:tcPr>
            <w:tcW w:w="10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37,844,940,128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823595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80" w:top="639" w:right="239" w:bottom="1440" w:gutter="0" w:footer="0" w:header="0"/>
        </w:sectPr>
      </w:pPr>
    </w:p>
    <w:bookmarkStart w:id="148" w:name="page149"/>
    <w:bookmarkEnd w:id="148"/>
    <w:p>
      <w:pPr>
        <w:jc w:val="center"/>
        <w:ind w:right="40"/>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Consolidated Statements of Cash Flows (Expressed in Renminbi)</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0"/>
              <w:spacing w:after="0"/>
              <w:rPr>
                <w:sz w:val="20"/>
                <w:szCs w:val="20"/>
                <w:color w:val="auto"/>
              </w:rPr>
            </w:pPr>
            <w:r>
              <w:rPr>
                <w:rFonts w:ascii="Arial" w:cs="Arial" w:eastAsia="Arial" w:hAnsi="Arial"/>
                <w:sz w:val="22"/>
                <w:szCs w:val="22"/>
                <w:color w:val="auto"/>
                <w:w w:val="92"/>
              </w:rPr>
              <w:t>Year ended December 31</w:t>
            </w: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0"/>
        </w:trPr>
        <w:tc>
          <w:tcPr>
            <w:tcW w:w="5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line="229" w:lineRule="exact"/>
              <w:rPr>
                <w:sz w:val="20"/>
                <w:szCs w:val="20"/>
                <w:color w:val="auto"/>
              </w:rPr>
            </w:pPr>
            <w:r>
              <w:rPr>
                <w:rFonts w:ascii="Arial" w:cs="Arial" w:eastAsia="Arial" w:hAnsi="Arial"/>
                <w:sz w:val="22"/>
                <w:szCs w:val="22"/>
                <w:color w:val="auto"/>
                <w:w w:val="85"/>
              </w:rPr>
              <w:t>2015</w:t>
            </w:r>
          </w:p>
        </w:tc>
        <w:tc>
          <w:tcPr>
            <w:tcW w:w="82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440" w:type="dxa"/>
            <w:vAlign w:val="bottom"/>
          </w:tcPr>
          <w:p>
            <w:pPr>
              <w:jc w:val="right"/>
              <w:spacing w:after="0" w:line="229" w:lineRule="exact"/>
              <w:rPr>
                <w:sz w:val="20"/>
                <w:szCs w:val="20"/>
                <w:color w:val="auto"/>
              </w:rPr>
            </w:pPr>
            <w:r>
              <w:rPr>
                <w:rFonts w:ascii="Arial" w:cs="Arial" w:eastAsia="Arial" w:hAnsi="Arial"/>
                <w:sz w:val="22"/>
                <w:szCs w:val="22"/>
                <w:color w:val="auto"/>
                <w:w w:val="85"/>
              </w:rPr>
              <w:t>2014</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2013</w:t>
            </w:r>
          </w:p>
        </w:tc>
        <w:tc>
          <w:tcPr>
            <w:tcW w:w="74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28"/>
        </w:trPr>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3"/>
          </w:tcPr>
          <w:p>
            <w:pPr>
              <w:jc w:val="center"/>
              <w:spacing w:after="0"/>
              <w:rPr>
                <w:sz w:val="20"/>
                <w:szCs w:val="20"/>
                <w:color w:val="auto"/>
              </w:rPr>
            </w:pPr>
            <w:r>
              <w:rPr>
                <w:rFonts w:ascii="Arial" w:cs="Arial" w:eastAsia="Arial" w:hAnsi="Arial"/>
                <w:sz w:val="22"/>
                <w:szCs w:val="22"/>
                <w:color w:val="auto"/>
                <w:w w:val="90"/>
              </w:rPr>
              <w:t>(Unaudited)</w:t>
            </w:r>
          </w:p>
        </w:tc>
      </w:tr>
      <w:tr>
        <w:trPr>
          <w:trHeight w:val="297"/>
        </w:trPr>
        <w:tc>
          <w:tcPr>
            <w:tcW w:w="50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spacing w:after="0"/>
              <w:rPr>
                <w:sz w:val="20"/>
                <w:szCs w:val="20"/>
                <w:color w:val="auto"/>
              </w:rPr>
            </w:pPr>
            <w:r>
              <w:rPr>
                <w:rFonts w:ascii="Arial" w:cs="Arial" w:eastAsia="Arial" w:hAnsi="Arial"/>
                <w:sz w:val="22"/>
                <w:szCs w:val="22"/>
                <w:color w:val="auto"/>
              </w:rPr>
              <w:t>Net income</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19,481,726,097</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17,629,547,888</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13,695,931,571</w:t>
            </w:r>
          </w:p>
        </w:tc>
      </w:tr>
      <w:tr>
        <w:trPr>
          <w:trHeight w:val="297"/>
        </w:trPr>
        <w:tc>
          <w:tcPr>
            <w:tcW w:w="5000" w:type="dxa"/>
            <w:vAlign w:val="bottom"/>
          </w:tcPr>
          <w:p>
            <w:pPr>
              <w:ind w:left="100"/>
              <w:spacing w:after="0"/>
              <w:rPr>
                <w:sz w:val="20"/>
                <w:szCs w:val="20"/>
                <w:color w:val="auto"/>
              </w:rPr>
            </w:pPr>
            <w:r>
              <w:rPr>
                <w:rFonts w:ascii="Arial" w:cs="Arial" w:eastAsia="Arial" w:hAnsi="Arial"/>
                <w:sz w:val="22"/>
                <w:szCs w:val="22"/>
                <w:color w:val="auto"/>
              </w:rPr>
              <w:t>Adjustments to reconcile net income to</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ind w:left="220"/>
              <w:spacing w:after="0"/>
              <w:rPr>
                <w:sz w:val="20"/>
                <w:szCs w:val="20"/>
                <w:color w:val="auto"/>
              </w:rPr>
            </w:pPr>
            <w:r>
              <w:rPr>
                <w:rFonts w:ascii="Arial" w:cs="Arial" w:eastAsia="Arial" w:hAnsi="Arial"/>
                <w:sz w:val="22"/>
                <w:szCs w:val="22"/>
                <w:color w:val="auto"/>
              </w:rPr>
              <w:t>net cash provided by operating activities: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Depreciation</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5,549,988,627</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3,889,243,783</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3,376,619,276</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Amortization</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153,542,616</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213,867,004</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255,314,399</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Provision (benefit) for deferred taxes</w:t>
            </w:r>
          </w:p>
        </w:tc>
        <w:tc>
          <w:tcPr>
            <w:tcW w:w="2060" w:type="dxa"/>
            <w:vAlign w:val="bottom"/>
            <w:gridSpan w:val="3"/>
          </w:tcPr>
          <w:p>
            <w:pPr>
              <w:jc w:val="right"/>
              <w:ind w:right="60"/>
              <w:spacing w:after="0"/>
              <w:rPr>
                <w:sz w:val="20"/>
                <w:szCs w:val="20"/>
                <w:color w:val="auto"/>
              </w:rPr>
            </w:pPr>
            <w:r>
              <w:rPr>
                <w:rFonts w:ascii="Arial" w:cs="Arial" w:eastAsia="Arial" w:hAnsi="Arial"/>
                <w:sz w:val="22"/>
                <w:szCs w:val="22"/>
                <w:color w:val="auto"/>
              </w:rPr>
              <w:t>(261,643,536)</w:t>
            </w:r>
          </w:p>
        </w:tc>
        <w:tc>
          <w:tcPr>
            <w:tcW w:w="2180" w:type="dxa"/>
            <w:vAlign w:val="bottom"/>
            <w:gridSpan w:val="4"/>
          </w:tcPr>
          <w:p>
            <w:pPr>
              <w:jc w:val="right"/>
              <w:ind w:right="40"/>
              <w:spacing w:after="0"/>
              <w:rPr>
                <w:sz w:val="20"/>
                <w:szCs w:val="20"/>
                <w:color w:val="auto"/>
              </w:rPr>
            </w:pPr>
            <w:r>
              <w:rPr>
                <w:rFonts w:ascii="Arial" w:cs="Arial" w:eastAsia="Arial" w:hAnsi="Arial"/>
                <w:sz w:val="22"/>
                <w:szCs w:val="22"/>
                <w:color w:val="auto"/>
              </w:rPr>
              <w:t>(530,482,621)</w:t>
            </w:r>
          </w:p>
        </w:tc>
        <w:tc>
          <w:tcPr>
            <w:tcW w:w="200" w:type="dxa"/>
            <w:vAlign w:val="bottom"/>
          </w:tcPr>
          <w:p>
            <w:pPr>
              <w:spacing w:after="0"/>
              <w:rPr>
                <w:sz w:val="24"/>
                <w:szCs w:val="24"/>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22"/>
                <w:szCs w:val="22"/>
                <w:color w:val="auto"/>
              </w:rPr>
              <w:t>(142,127,053)</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(Increase) decrease in</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ind w:left="460"/>
              <w:spacing w:after="0"/>
              <w:rPr>
                <w:sz w:val="20"/>
                <w:szCs w:val="20"/>
                <w:color w:val="auto"/>
              </w:rPr>
            </w:pPr>
            <w:r>
              <w:rPr>
                <w:rFonts w:ascii="Arial" w:cs="Arial" w:eastAsia="Arial" w:hAnsi="Arial"/>
                <w:sz w:val="22"/>
                <w:szCs w:val="22"/>
                <w:color w:val="auto"/>
              </w:rPr>
              <w:t>trade and other receivables</w:t>
            </w:r>
          </w:p>
        </w:tc>
        <w:tc>
          <w:tcPr>
            <w:tcW w:w="2060" w:type="dxa"/>
            <w:vAlign w:val="bottom"/>
            <w:gridSpan w:val="3"/>
          </w:tcPr>
          <w:p>
            <w:pPr>
              <w:jc w:val="right"/>
              <w:ind w:right="60"/>
              <w:spacing w:after="0"/>
              <w:rPr>
                <w:sz w:val="20"/>
                <w:szCs w:val="20"/>
                <w:color w:val="auto"/>
              </w:rPr>
            </w:pPr>
            <w:r>
              <w:rPr>
                <w:rFonts w:ascii="Arial" w:cs="Arial" w:eastAsia="Arial" w:hAnsi="Arial"/>
                <w:sz w:val="22"/>
                <w:szCs w:val="22"/>
                <w:color w:val="auto"/>
              </w:rPr>
              <w:t>(11,205,018,641)</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259,484,582</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181,850,354</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(Increase) decrease in inventories</w:t>
            </w:r>
          </w:p>
        </w:tc>
        <w:tc>
          <w:tcPr>
            <w:tcW w:w="2060" w:type="dxa"/>
            <w:vAlign w:val="bottom"/>
            <w:gridSpan w:val="3"/>
          </w:tcPr>
          <w:p>
            <w:pPr>
              <w:jc w:val="right"/>
              <w:ind w:right="60"/>
              <w:spacing w:after="0"/>
              <w:rPr>
                <w:sz w:val="20"/>
                <w:szCs w:val="20"/>
                <w:color w:val="auto"/>
              </w:rPr>
            </w:pPr>
            <w:r>
              <w:rPr>
                <w:rFonts w:ascii="Arial" w:cs="Arial" w:eastAsia="Arial" w:hAnsi="Arial"/>
                <w:sz w:val="22"/>
                <w:szCs w:val="22"/>
                <w:color w:val="auto"/>
              </w:rPr>
              <w:t>(62,310,471)</w:t>
            </w:r>
          </w:p>
        </w:tc>
        <w:tc>
          <w:tcPr>
            <w:tcW w:w="2180" w:type="dxa"/>
            <w:vAlign w:val="bottom"/>
            <w:gridSpan w:val="4"/>
          </w:tcPr>
          <w:p>
            <w:pPr>
              <w:jc w:val="right"/>
              <w:ind w:right="40"/>
              <w:spacing w:after="0"/>
              <w:rPr>
                <w:sz w:val="20"/>
                <w:szCs w:val="20"/>
                <w:color w:val="auto"/>
              </w:rPr>
            </w:pPr>
            <w:r>
              <w:rPr>
                <w:rFonts w:ascii="Arial" w:cs="Arial" w:eastAsia="Arial" w:hAnsi="Arial"/>
                <w:sz w:val="22"/>
                <w:szCs w:val="22"/>
                <w:color w:val="auto"/>
              </w:rPr>
              <w:t>(1,838,408,783)</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264,896,010</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Increase (decrease)</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ind w:left="460"/>
              <w:spacing w:after="0"/>
              <w:rPr>
                <w:sz w:val="20"/>
                <w:szCs w:val="20"/>
                <w:color w:val="auto"/>
              </w:rPr>
            </w:pPr>
            <w:r>
              <w:rPr>
                <w:rFonts w:ascii="Arial" w:cs="Arial" w:eastAsia="Arial" w:hAnsi="Arial"/>
                <w:sz w:val="22"/>
                <w:szCs w:val="22"/>
                <w:color w:val="auto"/>
              </w:rPr>
              <w:t>in trade and other payables</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8,233,386,388</w:t>
            </w:r>
          </w:p>
        </w:tc>
        <w:tc>
          <w:tcPr>
            <w:tcW w:w="2180" w:type="dxa"/>
            <w:vAlign w:val="bottom"/>
            <w:gridSpan w:val="4"/>
          </w:tcPr>
          <w:p>
            <w:pPr>
              <w:jc w:val="right"/>
              <w:ind w:right="40"/>
              <w:spacing w:after="0"/>
              <w:rPr>
                <w:sz w:val="20"/>
                <w:szCs w:val="20"/>
                <w:color w:val="auto"/>
              </w:rPr>
            </w:pPr>
            <w:r>
              <w:rPr>
                <w:rFonts w:ascii="Arial" w:cs="Arial" w:eastAsia="Arial" w:hAnsi="Arial"/>
                <w:sz w:val="22"/>
                <w:szCs w:val="22"/>
                <w:color w:val="auto"/>
              </w:rPr>
              <w:t>(599,753,710)</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13,890,448,721</w:t>
            </w:r>
          </w:p>
        </w:tc>
      </w:tr>
      <w:tr>
        <w:trPr>
          <w:trHeight w:val="308"/>
        </w:trPr>
        <w:tc>
          <w:tcPr>
            <w:tcW w:w="5000" w:type="dxa"/>
            <w:vAlign w:val="bottom"/>
          </w:tcPr>
          <w:p>
            <w:pPr>
              <w:ind w:left="240"/>
              <w:spacing w:after="0"/>
              <w:rPr>
                <w:sz w:val="20"/>
                <w:szCs w:val="20"/>
                <w:color w:val="auto"/>
              </w:rPr>
            </w:pPr>
            <w:r>
              <w:rPr>
                <w:rFonts w:ascii="Arial" w:cs="Arial" w:eastAsia="Arial" w:hAnsi="Arial"/>
                <w:sz w:val="22"/>
                <w:szCs w:val="22"/>
                <w:color w:val="auto"/>
              </w:rPr>
              <w:t>Other operating activities</w:t>
            </w: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2"/>
                <w:szCs w:val="22"/>
                <w:color w:val="auto"/>
              </w:rPr>
              <w:t>(355,053,347)</w:t>
            </w:r>
          </w:p>
        </w:tc>
        <w:tc>
          <w:tcPr>
            <w:tcW w:w="220" w:type="dxa"/>
            <w:vAlign w:val="bottom"/>
          </w:tcPr>
          <w:p>
            <w:pPr>
              <w:spacing w:after="0"/>
              <w:rPr>
                <w:sz w:val="24"/>
                <w:szCs w:val="24"/>
                <w:color w:val="auto"/>
              </w:rPr>
            </w:pPr>
          </w:p>
        </w:tc>
        <w:tc>
          <w:tcPr>
            <w:tcW w:w="1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(363,436,849)</w:t>
            </w:r>
          </w:p>
        </w:tc>
        <w:tc>
          <w:tcPr>
            <w:tcW w:w="200" w:type="dxa"/>
            <w:vAlign w:val="bottom"/>
          </w:tcPr>
          <w:p>
            <w:pPr>
              <w:spacing w:after="0"/>
              <w:rPr>
                <w:sz w:val="24"/>
                <w:szCs w:val="24"/>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(413,829,888)</w:t>
            </w:r>
          </w:p>
        </w:tc>
      </w:tr>
      <w:tr>
        <w:trPr>
          <w:trHeight w:val="457"/>
        </w:trPr>
        <w:tc>
          <w:tcPr>
            <w:tcW w:w="5000" w:type="dxa"/>
            <w:vAlign w:val="bottom"/>
          </w:tcPr>
          <w:p>
            <w:pPr>
              <w:spacing w:after="0"/>
              <w:rPr>
                <w:sz w:val="20"/>
                <w:szCs w:val="20"/>
                <w:color w:val="auto"/>
              </w:rPr>
            </w:pPr>
            <w:r>
              <w:rPr>
                <w:rFonts w:ascii="Arial" w:cs="Arial" w:eastAsia="Arial" w:hAnsi="Arial"/>
                <w:sz w:val="22"/>
                <w:szCs w:val="22"/>
                <w:color w:val="auto"/>
              </w:rPr>
              <w:t>Net cash provided by operating activities</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21,534,617,733</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18,660,061,294</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31,109,103,390</w:t>
            </w:r>
          </w:p>
        </w:tc>
      </w:tr>
      <w:tr>
        <w:trPr>
          <w:trHeight w:val="20"/>
        </w:trPr>
        <w:tc>
          <w:tcPr>
            <w:tcW w:w="5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80" w:top="639" w:right="239" w:bottom="1440" w:gutter="0" w:footer="0" w:header="0"/>
        </w:sectPr>
      </w:pPr>
    </w:p>
    <w:bookmarkStart w:id="149" w:name="page150"/>
    <w:bookmarkEnd w:id="149"/>
    <w:p>
      <w:pPr>
        <w:jc w:val="center"/>
        <w:ind w:right="40"/>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Consolidated Statements of Cash Flows (Expressed in Renminbi)</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300" w:type="dxa"/>
            <w:vAlign w:val="bottom"/>
            <w:gridSpan w:val="5"/>
          </w:tcPr>
          <w:p>
            <w:pPr>
              <w:ind w:left="160"/>
              <w:spacing w:after="0"/>
              <w:rPr>
                <w:sz w:val="20"/>
                <w:szCs w:val="20"/>
                <w:color w:val="auto"/>
              </w:rPr>
            </w:pPr>
            <w:r>
              <w:rPr>
                <w:rFonts w:ascii="Arial" w:cs="Arial" w:eastAsia="Arial" w:hAnsi="Arial"/>
                <w:sz w:val="20"/>
                <w:szCs w:val="20"/>
                <w:color w:val="auto"/>
                <w:w w:val="92"/>
              </w:rPr>
              <w:t>Year ended December 31</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11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2015</w:t>
            </w:r>
          </w:p>
        </w:tc>
        <w:tc>
          <w:tcPr>
            <w:tcW w:w="720" w:type="dxa"/>
            <w:vAlign w:val="bottom"/>
          </w:tcPr>
          <w:p>
            <w:pPr>
              <w:spacing w:after="0"/>
              <w:rPr>
                <w:sz w:val="18"/>
                <w:szCs w:val="18"/>
                <w:color w:val="auto"/>
              </w:rPr>
            </w:pPr>
          </w:p>
        </w:tc>
        <w:tc>
          <w:tcPr>
            <w:tcW w:w="2080" w:type="dxa"/>
            <w:vAlign w:val="bottom"/>
            <w:gridSpan w:val="4"/>
          </w:tcPr>
          <w:p>
            <w:pPr>
              <w:jc w:val="right"/>
              <w:ind w:right="720"/>
              <w:spacing w:after="0" w:line="209" w:lineRule="exact"/>
              <w:rPr>
                <w:sz w:val="20"/>
                <w:szCs w:val="20"/>
                <w:color w:val="auto"/>
              </w:rPr>
            </w:pPr>
            <w:r>
              <w:rPr>
                <w:rFonts w:ascii="Arial" w:cs="Arial" w:eastAsia="Arial" w:hAnsi="Arial"/>
                <w:sz w:val="20"/>
                <w:szCs w:val="20"/>
                <w:color w:val="auto"/>
              </w:rPr>
              <w:t>2014</w:t>
            </w:r>
          </w:p>
        </w:tc>
        <w:tc>
          <w:tcPr>
            <w:tcW w:w="220" w:type="dxa"/>
            <w:vAlign w:val="bottom"/>
          </w:tcPr>
          <w:p>
            <w:pPr>
              <w:spacing w:after="0"/>
              <w:rPr>
                <w:sz w:val="18"/>
                <w:szCs w:val="18"/>
                <w:color w:val="auto"/>
              </w:rPr>
            </w:pPr>
          </w:p>
        </w:tc>
        <w:tc>
          <w:tcPr>
            <w:tcW w:w="11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2013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20"/>
                <w:szCs w:val="20"/>
                <w:color w:val="auto"/>
                <w:w w:val="91"/>
              </w:rPr>
              <w:t>(Unaudited)</w:t>
            </w:r>
          </w:p>
        </w:tc>
        <w:tc>
          <w:tcPr>
            <w:tcW w:w="0" w:type="dxa"/>
            <w:vAlign w:val="bottom"/>
          </w:tcPr>
          <w:p>
            <w:pPr>
              <w:spacing w:after="0"/>
              <w:rPr>
                <w:sz w:val="1"/>
                <w:szCs w:val="1"/>
                <w:color w:val="auto"/>
              </w:rPr>
            </w:pPr>
          </w:p>
        </w:tc>
      </w:tr>
      <w:tr>
        <w:trPr>
          <w:trHeight w:val="284"/>
        </w:trPr>
        <w:tc>
          <w:tcPr>
            <w:tcW w:w="5460" w:type="dxa"/>
            <w:vAlign w:val="bottom"/>
          </w:tcPr>
          <w:p>
            <w:pPr>
              <w:spacing w:after="0"/>
              <w:rPr>
                <w:sz w:val="20"/>
                <w:szCs w:val="20"/>
                <w:color w:val="auto"/>
              </w:rPr>
            </w:pPr>
            <w:r>
              <w:rPr>
                <w:rFonts w:ascii="Arial" w:cs="Arial" w:eastAsia="Arial" w:hAnsi="Arial"/>
                <w:sz w:val="20"/>
                <w:szCs w:val="20"/>
                <w:color w:val="auto"/>
              </w:rPr>
              <w:t>Investing activities:</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Proceeds from sale of property,</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200"/>
              <w:spacing w:after="0"/>
              <w:rPr>
                <w:sz w:val="20"/>
                <w:szCs w:val="20"/>
                <w:color w:val="auto"/>
              </w:rPr>
            </w:pPr>
            <w:r>
              <w:rPr>
                <w:rFonts w:ascii="Arial" w:cs="Arial" w:eastAsia="Arial" w:hAnsi="Arial"/>
                <w:sz w:val="20"/>
                <w:szCs w:val="20"/>
                <w:color w:val="auto"/>
              </w:rPr>
              <w:t>plant and equipment</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11,660,085</w:t>
            </w:r>
          </w:p>
        </w:tc>
        <w:tc>
          <w:tcPr>
            <w:tcW w:w="2080" w:type="dxa"/>
            <w:vAlign w:val="bottom"/>
            <w:gridSpan w:val="4"/>
          </w:tcPr>
          <w:p>
            <w:pPr>
              <w:jc w:val="right"/>
              <w:ind w:right="120"/>
              <w:spacing w:after="0"/>
              <w:rPr>
                <w:sz w:val="20"/>
                <w:szCs w:val="20"/>
                <w:color w:val="auto"/>
              </w:rPr>
            </w:pPr>
            <w:r>
              <w:rPr>
                <w:rFonts w:ascii="Arial" w:cs="Arial" w:eastAsia="Arial" w:hAnsi="Arial"/>
                <w:sz w:val="20"/>
                <w:szCs w:val="20"/>
                <w:color w:val="auto"/>
              </w:rPr>
              <w:t>14,556,229</w:t>
            </w:r>
          </w:p>
        </w:tc>
        <w:tc>
          <w:tcPr>
            <w:tcW w:w="220" w:type="dxa"/>
            <w:vAlign w:val="bottom"/>
          </w:tcPr>
          <w:p>
            <w:pPr>
              <w:spacing w:after="0"/>
              <w:rPr>
                <w:sz w:val="24"/>
                <w:szCs w:val="2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20"/>
                <w:szCs w:val="20"/>
                <w:color w:val="auto"/>
              </w:rPr>
              <w:t>46,553,686</w:t>
            </w: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Purchase of assets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(10,821,306,185)</w:t>
            </w:r>
          </w:p>
        </w:tc>
        <w:tc>
          <w:tcPr>
            <w:tcW w:w="2080" w:type="dxa"/>
            <w:vAlign w:val="bottom"/>
            <w:gridSpan w:val="4"/>
          </w:tcPr>
          <w:p>
            <w:pPr>
              <w:jc w:val="right"/>
              <w:ind w:right="60"/>
              <w:spacing w:after="0"/>
              <w:rPr>
                <w:sz w:val="20"/>
                <w:szCs w:val="20"/>
                <w:color w:val="auto"/>
              </w:rPr>
            </w:pPr>
            <w:r>
              <w:rPr>
                <w:rFonts w:ascii="Arial" w:cs="Arial" w:eastAsia="Arial" w:hAnsi="Arial"/>
                <w:sz w:val="20"/>
                <w:szCs w:val="20"/>
                <w:color w:val="auto"/>
              </w:rPr>
              <w:t>(10,703,711,804)</w:t>
            </w:r>
          </w:p>
        </w:tc>
        <w:tc>
          <w:tcPr>
            <w:tcW w:w="220" w:type="dxa"/>
            <w:vAlign w:val="bottom"/>
          </w:tcPr>
          <w:p>
            <w:pPr>
              <w:spacing w:after="0"/>
              <w:rPr>
                <w:sz w:val="24"/>
                <w:szCs w:val="2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20"/>
                <w:szCs w:val="20"/>
                <w:color w:val="auto"/>
              </w:rPr>
              <w:t>(8,713,205,001)</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460" w:type="dxa"/>
            <w:vAlign w:val="bottom"/>
          </w:tcPr>
          <w:p>
            <w:pPr>
              <w:spacing w:after="0"/>
              <w:rPr>
                <w:sz w:val="20"/>
                <w:szCs w:val="20"/>
                <w:color w:val="auto"/>
              </w:rPr>
            </w:pPr>
            <w:r>
              <w:rPr>
                <w:rFonts w:ascii="Arial" w:cs="Arial" w:eastAsia="Arial" w:hAnsi="Arial"/>
                <w:sz w:val="20"/>
                <w:szCs w:val="20"/>
                <w:color w:val="auto"/>
              </w:rPr>
              <w:t>Net cash used in investing activities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(10,809,646,100)</w:t>
            </w:r>
          </w:p>
        </w:tc>
        <w:tc>
          <w:tcPr>
            <w:tcW w:w="2080" w:type="dxa"/>
            <w:vAlign w:val="bottom"/>
            <w:gridSpan w:val="4"/>
          </w:tcPr>
          <w:p>
            <w:pPr>
              <w:jc w:val="right"/>
              <w:ind w:right="60"/>
              <w:spacing w:after="0"/>
              <w:rPr>
                <w:sz w:val="20"/>
                <w:szCs w:val="20"/>
                <w:color w:val="auto"/>
              </w:rPr>
            </w:pPr>
            <w:r>
              <w:rPr>
                <w:rFonts w:ascii="Arial" w:cs="Arial" w:eastAsia="Arial" w:hAnsi="Arial"/>
                <w:sz w:val="20"/>
                <w:szCs w:val="20"/>
                <w:color w:val="auto"/>
              </w:rPr>
              <w:t>(10,689,155,575)</w:t>
            </w:r>
          </w:p>
        </w:tc>
        <w:tc>
          <w:tcPr>
            <w:tcW w:w="220" w:type="dxa"/>
            <w:vAlign w:val="bottom"/>
          </w:tcPr>
          <w:p>
            <w:pPr>
              <w:spacing w:after="0"/>
              <w:rPr>
                <w:sz w:val="24"/>
                <w:szCs w:val="2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20"/>
                <w:szCs w:val="20"/>
                <w:color w:val="auto"/>
              </w:rPr>
              <w:t>(8,666,651,315)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Financing activities: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Dividends paid</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(17,065,591,430)</w:t>
            </w:r>
          </w:p>
        </w:tc>
        <w:tc>
          <w:tcPr>
            <w:tcW w:w="2080" w:type="dxa"/>
            <w:vAlign w:val="bottom"/>
            <w:gridSpan w:val="4"/>
          </w:tcPr>
          <w:p>
            <w:pPr>
              <w:jc w:val="right"/>
              <w:ind w:right="60"/>
              <w:spacing w:after="0"/>
              <w:rPr>
                <w:sz w:val="20"/>
                <w:szCs w:val="20"/>
                <w:color w:val="auto"/>
              </w:rPr>
            </w:pPr>
            <w:r>
              <w:rPr>
                <w:rFonts w:ascii="Arial" w:cs="Arial" w:eastAsia="Arial" w:hAnsi="Arial"/>
                <w:sz w:val="20"/>
                <w:szCs w:val="20"/>
                <w:color w:val="auto"/>
              </w:rPr>
              <w:t>(13,906,333,328)</w:t>
            </w:r>
          </w:p>
        </w:tc>
        <w:tc>
          <w:tcPr>
            <w:tcW w:w="220" w:type="dxa"/>
            <w:vAlign w:val="bottom"/>
          </w:tcPr>
          <w:p>
            <w:pPr>
              <w:spacing w:after="0"/>
              <w:rPr>
                <w:sz w:val="24"/>
                <w:szCs w:val="2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20"/>
                <w:szCs w:val="20"/>
                <w:color w:val="auto"/>
              </w:rPr>
              <w:t>(15,493,830,002)</w:t>
            </w: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Payments on capital leases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(4,595,500)</w:t>
            </w:r>
          </w:p>
        </w:tc>
        <w:tc>
          <w:tcPr>
            <w:tcW w:w="2080" w:type="dxa"/>
            <w:vAlign w:val="bottom"/>
            <w:gridSpan w:val="4"/>
          </w:tcPr>
          <w:p>
            <w:pPr>
              <w:jc w:val="right"/>
              <w:ind w:right="60"/>
              <w:spacing w:after="0"/>
              <w:rPr>
                <w:sz w:val="20"/>
                <w:szCs w:val="20"/>
                <w:color w:val="auto"/>
              </w:rPr>
            </w:pPr>
            <w:r>
              <w:rPr>
                <w:rFonts w:ascii="Arial" w:cs="Arial" w:eastAsia="Arial" w:hAnsi="Arial"/>
                <w:sz w:val="20"/>
                <w:szCs w:val="20"/>
                <w:color w:val="auto"/>
              </w:rPr>
              <w:t>(5,055,100)</w:t>
            </w:r>
          </w:p>
        </w:tc>
        <w:tc>
          <w:tcPr>
            <w:tcW w:w="220" w:type="dxa"/>
            <w:vAlign w:val="bottom"/>
          </w:tcPr>
          <w:p>
            <w:pPr>
              <w:spacing w:after="0"/>
              <w:rPr>
                <w:sz w:val="24"/>
                <w:szCs w:val="2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20"/>
                <w:szCs w:val="20"/>
                <w:color w:val="auto"/>
              </w:rPr>
              <w:t>(5,514,600)</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460" w:type="dxa"/>
            <w:vAlign w:val="bottom"/>
          </w:tcPr>
          <w:p>
            <w:pPr>
              <w:spacing w:after="0"/>
              <w:rPr>
                <w:sz w:val="20"/>
                <w:szCs w:val="20"/>
                <w:color w:val="auto"/>
              </w:rPr>
            </w:pPr>
            <w:r>
              <w:rPr>
                <w:rFonts w:ascii="Arial" w:cs="Arial" w:eastAsia="Arial" w:hAnsi="Arial"/>
                <w:sz w:val="20"/>
                <w:szCs w:val="20"/>
                <w:color w:val="auto"/>
              </w:rPr>
              <w:t>Net cash used in financing activities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(17,070,186,930)</w:t>
            </w:r>
          </w:p>
        </w:tc>
        <w:tc>
          <w:tcPr>
            <w:tcW w:w="2080" w:type="dxa"/>
            <w:vAlign w:val="bottom"/>
            <w:gridSpan w:val="4"/>
          </w:tcPr>
          <w:p>
            <w:pPr>
              <w:jc w:val="right"/>
              <w:ind w:right="60"/>
              <w:spacing w:after="0"/>
              <w:rPr>
                <w:sz w:val="20"/>
                <w:szCs w:val="20"/>
                <w:color w:val="auto"/>
              </w:rPr>
            </w:pPr>
            <w:r>
              <w:rPr>
                <w:rFonts w:ascii="Arial" w:cs="Arial" w:eastAsia="Arial" w:hAnsi="Arial"/>
                <w:sz w:val="20"/>
                <w:szCs w:val="20"/>
                <w:color w:val="auto"/>
              </w:rPr>
              <w:t>(13,911,388,428)</w:t>
            </w:r>
          </w:p>
        </w:tc>
        <w:tc>
          <w:tcPr>
            <w:tcW w:w="220" w:type="dxa"/>
            <w:vAlign w:val="bottom"/>
          </w:tcPr>
          <w:p>
            <w:pPr>
              <w:spacing w:after="0"/>
              <w:rPr>
                <w:sz w:val="24"/>
                <w:szCs w:val="2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20"/>
                <w:szCs w:val="20"/>
                <w:color w:val="auto"/>
              </w:rPr>
              <w:t>(15,499,344,602)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Net (decrease) / increase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200"/>
              <w:spacing w:after="0"/>
              <w:rPr>
                <w:sz w:val="20"/>
                <w:szCs w:val="20"/>
                <w:color w:val="auto"/>
              </w:rPr>
            </w:pPr>
            <w:r>
              <w:rPr>
                <w:rFonts w:ascii="Arial" w:cs="Arial" w:eastAsia="Arial" w:hAnsi="Arial"/>
                <w:sz w:val="20"/>
                <w:szCs w:val="20"/>
                <w:color w:val="auto"/>
              </w:rPr>
              <w:t>in cash and cash equivalents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(6,345,215,297)</w:t>
            </w:r>
          </w:p>
        </w:tc>
        <w:tc>
          <w:tcPr>
            <w:tcW w:w="2080" w:type="dxa"/>
            <w:vAlign w:val="bottom"/>
            <w:gridSpan w:val="4"/>
          </w:tcPr>
          <w:p>
            <w:pPr>
              <w:jc w:val="right"/>
              <w:ind w:right="60"/>
              <w:spacing w:after="0"/>
              <w:rPr>
                <w:sz w:val="20"/>
                <w:szCs w:val="20"/>
                <w:color w:val="auto"/>
              </w:rPr>
            </w:pPr>
            <w:r>
              <w:rPr>
                <w:rFonts w:ascii="Arial" w:cs="Arial" w:eastAsia="Arial" w:hAnsi="Arial"/>
                <w:sz w:val="20"/>
                <w:szCs w:val="20"/>
                <w:color w:val="auto"/>
              </w:rPr>
              <w:t>(5,940,482,709)</w:t>
            </w:r>
          </w:p>
        </w:tc>
        <w:tc>
          <w:tcPr>
            <w:tcW w:w="220" w:type="dxa"/>
            <w:vAlign w:val="bottom"/>
          </w:tcPr>
          <w:p>
            <w:pPr>
              <w:spacing w:after="0"/>
              <w:rPr>
                <w:sz w:val="24"/>
                <w:szCs w:val="2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20"/>
                <w:szCs w:val="20"/>
                <w:color w:val="auto"/>
              </w:rPr>
              <w:t>6,943,107,473</w:t>
            </w:r>
          </w:p>
        </w:tc>
        <w:tc>
          <w:tcPr>
            <w:tcW w:w="0" w:type="dxa"/>
            <w:vAlign w:val="bottom"/>
          </w:tcPr>
          <w:p>
            <w:pPr>
              <w:spacing w:after="0"/>
              <w:rPr>
                <w:sz w:val="1"/>
                <w:szCs w:val="1"/>
                <w:color w:val="auto"/>
              </w:rPr>
            </w:pPr>
          </w:p>
        </w:tc>
      </w:tr>
      <w:tr>
        <w:trPr>
          <w:trHeight w:val="419"/>
        </w:trPr>
        <w:tc>
          <w:tcPr>
            <w:tcW w:w="5460" w:type="dxa"/>
            <w:vAlign w:val="bottom"/>
          </w:tcPr>
          <w:p>
            <w:pPr>
              <w:spacing w:after="0"/>
              <w:rPr>
                <w:sz w:val="20"/>
                <w:szCs w:val="20"/>
                <w:color w:val="auto"/>
              </w:rPr>
            </w:pPr>
            <w:r>
              <w:rPr>
                <w:rFonts w:ascii="Arial" w:cs="Arial" w:eastAsia="Arial" w:hAnsi="Arial"/>
                <w:sz w:val="20"/>
                <w:szCs w:val="20"/>
                <w:color w:val="auto"/>
              </w:rPr>
              <w:t>Cash and cash equivalents at the beginning</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of the year</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29,928,965,404</w:t>
            </w:r>
          </w:p>
        </w:tc>
        <w:tc>
          <w:tcPr>
            <w:tcW w:w="2080" w:type="dxa"/>
            <w:vAlign w:val="bottom"/>
            <w:gridSpan w:val="4"/>
          </w:tcPr>
          <w:p>
            <w:pPr>
              <w:jc w:val="right"/>
              <w:ind w:right="120"/>
              <w:spacing w:after="0"/>
              <w:rPr>
                <w:sz w:val="20"/>
                <w:szCs w:val="20"/>
                <w:color w:val="auto"/>
              </w:rPr>
            </w:pPr>
            <w:r>
              <w:rPr>
                <w:rFonts w:ascii="Arial" w:cs="Arial" w:eastAsia="Arial" w:hAnsi="Arial"/>
                <w:sz w:val="20"/>
                <w:szCs w:val="20"/>
                <w:color w:val="auto"/>
              </w:rPr>
              <w:t>35,869,448,113</w:t>
            </w:r>
          </w:p>
        </w:tc>
        <w:tc>
          <w:tcPr>
            <w:tcW w:w="220" w:type="dxa"/>
            <w:vAlign w:val="bottom"/>
          </w:tcPr>
          <w:p>
            <w:pPr>
              <w:spacing w:after="0"/>
              <w:rPr>
                <w:sz w:val="24"/>
                <w:szCs w:val="2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20"/>
                <w:szCs w:val="20"/>
                <w:color w:val="auto"/>
              </w:rPr>
              <w:t>28,926,340,640</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460" w:type="dxa"/>
            <w:vAlign w:val="bottom"/>
          </w:tcPr>
          <w:p>
            <w:pPr>
              <w:spacing w:after="0"/>
              <w:rPr>
                <w:sz w:val="20"/>
                <w:szCs w:val="20"/>
                <w:color w:val="auto"/>
              </w:rPr>
            </w:pPr>
            <w:r>
              <w:rPr>
                <w:rFonts w:ascii="Arial" w:cs="Arial" w:eastAsia="Arial" w:hAnsi="Arial"/>
                <w:sz w:val="20"/>
                <w:szCs w:val="20"/>
                <w:color w:val="auto"/>
              </w:rPr>
              <w:t>Cash and cash equivalents at the end of the year</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23,583,750,107</w:t>
            </w:r>
          </w:p>
        </w:tc>
        <w:tc>
          <w:tcPr>
            <w:tcW w:w="2080" w:type="dxa"/>
            <w:vAlign w:val="bottom"/>
            <w:gridSpan w:val="4"/>
          </w:tcPr>
          <w:p>
            <w:pPr>
              <w:jc w:val="right"/>
              <w:ind w:right="120"/>
              <w:spacing w:after="0"/>
              <w:rPr>
                <w:sz w:val="20"/>
                <w:szCs w:val="20"/>
                <w:color w:val="auto"/>
              </w:rPr>
            </w:pPr>
            <w:r>
              <w:rPr>
                <w:rFonts w:ascii="Arial" w:cs="Arial" w:eastAsia="Arial" w:hAnsi="Arial"/>
                <w:sz w:val="20"/>
                <w:szCs w:val="20"/>
                <w:color w:val="auto"/>
              </w:rPr>
              <w:t>29,928,965,404</w:t>
            </w:r>
          </w:p>
        </w:tc>
        <w:tc>
          <w:tcPr>
            <w:tcW w:w="220" w:type="dxa"/>
            <w:vAlign w:val="bottom"/>
          </w:tcPr>
          <w:p>
            <w:pPr>
              <w:spacing w:after="0"/>
              <w:rPr>
                <w:sz w:val="24"/>
                <w:szCs w:val="2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20"/>
                <w:szCs w:val="20"/>
                <w:color w:val="auto"/>
              </w:rPr>
              <w:t>35,869,448,113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Supplemental information:</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60" w:type="dxa"/>
            <w:vAlign w:val="bottom"/>
          </w:tcPr>
          <w:p>
            <w:pPr>
              <w:ind w:left="100"/>
              <w:spacing w:after="0"/>
              <w:rPr>
                <w:sz w:val="20"/>
                <w:szCs w:val="20"/>
                <w:color w:val="auto"/>
              </w:rPr>
            </w:pPr>
            <w:r>
              <w:rPr>
                <w:rFonts w:ascii="Arial" w:cs="Arial" w:eastAsia="Arial" w:hAnsi="Arial"/>
                <w:sz w:val="20"/>
                <w:szCs w:val="20"/>
                <w:color w:val="auto"/>
              </w:rPr>
              <w:t>Income taxes paid</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4,133,524,058</w:t>
            </w:r>
          </w:p>
        </w:tc>
        <w:tc>
          <w:tcPr>
            <w:tcW w:w="2080" w:type="dxa"/>
            <w:vAlign w:val="bottom"/>
            <w:gridSpan w:val="4"/>
          </w:tcPr>
          <w:p>
            <w:pPr>
              <w:jc w:val="right"/>
              <w:ind w:right="120"/>
              <w:spacing w:after="0"/>
              <w:rPr>
                <w:sz w:val="20"/>
                <w:szCs w:val="20"/>
                <w:color w:val="auto"/>
              </w:rPr>
            </w:pPr>
            <w:r>
              <w:rPr>
                <w:rFonts w:ascii="Arial" w:cs="Arial" w:eastAsia="Arial" w:hAnsi="Arial"/>
                <w:sz w:val="20"/>
                <w:szCs w:val="20"/>
                <w:color w:val="auto"/>
              </w:rPr>
              <w:t>4,742,570,852</w:t>
            </w:r>
          </w:p>
        </w:tc>
        <w:tc>
          <w:tcPr>
            <w:tcW w:w="220" w:type="dxa"/>
            <w:vAlign w:val="bottom"/>
          </w:tcPr>
          <w:p>
            <w:pPr>
              <w:spacing w:after="0"/>
              <w:rPr>
                <w:sz w:val="24"/>
                <w:szCs w:val="2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20"/>
                <w:szCs w:val="20"/>
                <w:color w:val="auto"/>
              </w:rPr>
              <w:t>2,126,991,441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Non-cash investing activities: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Increase in payables relating to</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460" w:type="dxa"/>
            <w:vAlign w:val="bottom"/>
          </w:tcPr>
          <w:p>
            <w:pPr>
              <w:ind w:left="200"/>
              <w:spacing w:after="0"/>
              <w:rPr>
                <w:sz w:val="20"/>
                <w:szCs w:val="20"/>
                <w:color w:val="auto"/>
              </w:rPr>
            </w:pPr>
            <w:r>
              <w:rPr>
                <w:rFonts w:ascii="Arial" w:cs="Arial" w:eastAsia="Arial" w:hAnsi="Arial"/>
                <w:sz w:val="20"/>
                <w:szCs w:val="20"/>
                <w:color w:val="auto"/>
              </w:rPr>
              <w:t>purchase of assets</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542,110,845</w:t>
            </w:r>
          </w:p>
        </w:tc>
        <w:tc>
          <w:tcPr>
            <w:tcW w:w="2080" w:type="dxa"/>
            <w:vAlign w:val="bottom"/>
            <w:gridSpan w:val="4"/>
          </w:tcPr>
          <w:p>
            <w:pPr>
              <w:jc w:val="right"/>
              <w:ind w:right="120"/>
              <w:spacing w:after="0"/>
              <w:rPr>
                <w:sz w:val="20"/>
                <w:szCs w:val="20"/>
                <w:color w:val="auto"/>
              </w:rPr>
            </w:pPr>
            <w:r>
              <w:rPr>
                <w:rFonts w:ascii="Arial" w:cs="Arial" w:eastAsia="Arial" w:hAnsi="Arial"/>
                <w:sz w:val="20"/>
                <w:szCs w:val="20"/>
                <w:color w:val="auto"/>
              </w:rPr>
              <w:t>3,576,790,216</w:t>
            </w:r>
          </w:p>
        </w:tc>
        <w:tc>
          <w:tcPr>
            <w:tcW w:w="220" w:type="dxa"/>
            <w:vAlign w:val="bottom"/>
          </w:tcPr>
          <w:p>
            <w:pPr>
              <w:spacing w:after="0"/>
              <w:rPr>
                <w:sz w:val="24"/>
                <w:szCs w:val="24"/>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20"/>
                <w:szCs w:val="20"/>
                <w:color w:val="auto"/>
              </w:rPr>
              <w:t>1,159,984,445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823595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80" w:top="639" w:right="239" w:bottom="1440" w:gutter="0" w:footer="0" w:header="0"/>
        </w:sectPr>
      </w:pPr>
    </w:p>
    <w:bookmarkStart w:id="150" w:name="page151"/>
    <w:bookmarkEnd w:id="150"/>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w:t>
      </w:r>
    </w:p>
    <w:p>
      <w:pPr>
        <w:spacing w:after="0" w:line="219" w:lineRule="exact"/>
        <w:rPr>
          <w:rFonts w:ascii="Arial" w:cs="Arial" w:eastAsia="Arial" w:hAnsi="Arial"/>
          <w:sz w:val="22"/>
          <w:szCs w:val="22"/>
          <w:color w:val="auto"/>
        </w:rPr>
      </w:pPr>
    </w:p>
    <w:p>
      <w:pPr>
        <w:ind w:left="1200" w:hanging="571"/>
        <w:spacing w:after="0"/>
        <w:tabs>
          <w:tab w:leader="none" w:pos="1200" w:val="left"/>
        </w:tabs>
        <w:numPr>
          <w:ilvl w:val="1"/>
          <w:numId w:val="4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Description of Business</w:t>
      </w:r>
    </w:p>
    <w:p>
      <w:pPr>
        <w:spacing w:after="0" w:line="220" w:lineRule="exact"/>
        <w:rPr>
          <w:sz w:val="20"/>
          <w:szCs w:val="20"/>
          <w:color w:val="auto"/>
        </w:rPr>
      </w:pPr>
    </w:p>
    <w:p>
      <w:pPr>
        <w:jc w:val="both"/>
        <w:ind w:left="1160"/>
        <w:spacing w:after="0" w:line="297" w:lineRule="auto"/>
        <w:rPr>
          <w:sz w:val="20"/>
          <w:szCs w:val="20"/>
          <w:color w:val="auto"/>
        </w:rPr>
      </w:pPr>
      <w:r>
        <w:rPr>
          <w:rFonts w:ascii="Arial" w:cs="Arial" w:eastAsia="Arial" w:hAnsi="Arial"/>
          <w:sz w:val="19"/>
          <w:szCs w:val="19"/>
          <w:color w:val="auto"/>
        </w:rPr>
        <w:t>SAIC General Motors Corp., Ltd. (f.k.a Shanghai General Motors Corp., Ltd.) (the "Company") was established in Shanghai, People's Republic of China ("PRC") by SAIC Motor Corporation Limited ("SAIC") with General Motors China, Inc. and General Motors (China) Investment Corp., Ltd. as a Sino-foreign equity joint venture. The Company was established on May 16, 1997 with an operating period of 30 years. The Company and subsidiaries mainly engages in the manufacturing and selling of vehicles, engines, transmissions, and their components and parts.</w:t>
      </w:r>
    </w:p>
    <w:p>
      <w:pPr>
        <w:spacing w:after="0" w:line="147" w:lineRule="exact"/>
        <w:rPr>
          <w:sz w:val="20"/>
          <w:szCs w:val="20"/>
          <w:color w:val="auto"/>
        </w:rPr>
      </w:pPr>
    </w:p>
    <w:p>
      <w:pPr>
        <w:jc w:val="both"/>
        <w:ind w:left="1160"/>
        <w:spacing w:after="0" w:line="250" w:lineRule="auto"/>
        <w:rPr>
          <w:sz w:val="20"/>
          <w:szCs w:val="20"/>
          <w:color w:val="auto"/>
        </w:rPr>
      </w:pPr>
      <w:r>
        <w:rPr>
          <w:rFonts w:ascii="Arial" w:cs="Arial" w:eastAsia="Arial" w:hAnsi="Arial"/>
          <w:sz w:val="22"/>
          <w:szCs w:val="22"/>
          <w:color w:val="auto"/>
        </w:rPr>
        <w:t>As of December 31, 2015, the Company's subsidiaries include SAIC GM Dong Yue Motors Co., Ltd. (f.k.a. Shanghai GM Dong Yue Motors Co., Ltd.) ("DY"), SAIC GM Dong Yue Powertrain Co., Ltd. (f.k.a. Shanghai GM Dong Yue Powertrain Co., Ltd.) ("PT") and SAIC GM (Shenyang) Norsom Motors Co., Ltd. (f.k.a. Shanghai GM (Shenyang) Norsom Motors Co., Ltd.) ("Norsom").</w:t>
      </w:r>
    </w:p>
    <w:p>
      <w:pPr>
        <w:spacing w:after="0" w:line="188" w:lineRule="exact"/>
        <w:rPr>
          <w:sz w:val="20"/>
          <w:szCs w:val="20"/>
          <w:color w:val="auto"/>
        </w:rPr>
      </w:pPr>
    </w:p>
    <w:p>
      <w:pPr>
        <w:ind w:left="1200" w:hanging="571"/>
        <w:spacing w:after="0"/>
        <w:tabs>
          <w:tab w:leader="none" w:pos="1200" w:val="left"/>
        </w:tabs>
        <w:numPr>
          <w:ilvl w:val="0"/>
          <w:numId w:val="4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Basis of Presentation</w:t>
      </w:r>
    </w:p>
    <w:p>
      <w:pPr>
        <w:spacing w:after="0" w:line="220" w:lineRule="exact"/>
        <w:rPr>
          <w:sz w:val="20"/>
          <w:szCs w:val="20"/>
          <w:color w:val="auto"/>
        </w:rPr>
      </w:pPr>
    </w:p>
    <w:p>
      <w:pPr>
        <w:ind w:left="1160"/>
        <w:spacing w:after="0" w:line="263" w:lineRule="auto"/>
        <w:rPr>
          <w:sz w:val="20"/>
          <w:szCs w:val="20"/>
          <w:color w:val="auto"/>
        </w:rPr>
      </w:pPr>
      <w:r>
        <w:rPr>
          <w:rFonts w:ascii="Arial" w:cs="Arial" w:eastAsia="Arial" w:hAnsi="Arial"/>
          <w:sz w:val="22"/>
          <w:szCs w:val="22"/>
          <w:color w:val="auto"/>
        </w:rPr>
        <w:t>The consolidated financial statements have been prepared in accordance with accounting principles generally accepted in the United States of America ("US GAAP").</w:t>
      </w:r>
    </w:p>
    <w:p>
      <w:pPr>
        <w:spacing w:after="0" w:line="175" w:lineRule="exact"/>
        <w:rPr>
          <w:sz w:val="20"/>
          <w:szCs w:val="20"/>
          <w:color w:val="auto"/>
        </w:rPr>
      </w:pPr>
    </w:p>
    <w:p>
      <w:pPr>
        <w:ind w:left="1200" w:hanging="571"/>
        <w:spacing w:after="0"/>
        <w:tabs>
          <w:tab w:leader="none" w:pos="1200" w:val="left"/>
        </w:tabs>
        <w:numPr>
          <w:ilvl w:val="0"/>
          <w:numId w:val="4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Basis of consolidation</w:t>
      </w:r>
    </w:p>
    <w:p>
      <w:pPr>
        <w:spacing w:after="0" w:line="220" w:lineRule="exact"/>
        <w:rPr>
          <w:sz w:val="20"/>
          <w:szCs w:val="20"/>
          <w:color w:val="auto"/>
        </w:rPr>
      </w:pPr>
    </w:p>
    <w:p>
      <w:pPr>
        <w:jc w:val="both"/>
        <w:ind w:left="1160"/>
        <w:spacing w:after="0" w:line="263" w:lineRule="auto"/>
        <w:rPr>
          <w:sz w:val="20"/>
          <w:szCs w:val="20"/>
          <w:color w:val="auto"/>
        </w:rPr>
      </w:pPr>
      <w:r>
        <w:rPr>
          <w:rFonts w:ascii="Arial" w:cs="Arial" w:eastAsia="Arial" w:hAnsi="Arial"/>
          <w:sz w:val="21"/>
          <w:szCs w:val="21"/>
          <w:color w:val="auto"/>
        </w:rPr>
        <w:t>The consolidated financial statements include the accounts of the Company and its controlled subsidiaries. The Company has no involvement with variable interest entities. The Company's share of earnings or losses of nonconsolidated affiliates is included in the consolidated operating results using the equity method of accounting when the Company is able to exercise significant influence over the operating and financial decisions of the affiliates. All intercompany balances and transactions have been eliminated in consolidation.</w:t>
      </w:r>
    </w:p>
    <w:p>
      <w:pPr>
        <w:spacing w:after="0" w:line="176" w:lineRule="exact"/>
        <w:rPr>
          <w:sz w:val="20"/>
          <w:szCs w:val="20"/>
          <w:color w:val="auto"/>
        </w:rPr>
      </w:pPr>
    </w:p>
    <w:p>
      <w:pPr>
        <w:ind w:left="1160" w:right="100"/>
        <w:spacing w:after="0" w:line="263" w:lineRule="auto"/>
        <w:rPr>
          <w:sz w:val="20"/>
          <w:szCs w:val="20"/>
          <w:color w:val="auto"/>
        </w:rPr>
      </w:pPr>
      <w:r>
        <w:rPr>
          <w:rFonts w:ascii="Arial" w:cs="Arial" w:eastAsia="Arial" w:hAnsi="Arial"/>
          <w:sz w:val="22"/>
          <w:szCs w:val="22"/>
          <w:color w:val="auto"/>
        </w:rPr>
        <w:t>Details of the subsidiaries who are controlled by the Company and whose financial statements are consolidated are as follows:</w:t>
      </w:r>
    </w:p>
    <w:p>
      <w:pPr>
        <w:spacing w:after="0" w:line="88"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2860" w:type="dxa"/>
            <w:vAlign w:val="bottom"/>
            <w:gridSpan w:val="2"/>
          </w:tcPr>
          <w:p>
            <w:pPr>
              <w:jc w:val="center"/>
              <w:ind w:right="1400"/>
              <w:spacing w:after="0"/>
              <w:rPr>
                <w:sz w:val="20"/>
                <w:szCs w:val="20"/>
                <w:color w:val="auto"/>
              </w:rPr>
            </w:pPr>
            <w:r>
              <w:rPr>
                <w:rFonts w:ascii="Arial" w:cs="Arial" w:eastAsia="Arial" w:hAnsi="Arial"/>
                <w:sz w:val="20"/>
                <w:szCs w:val="20"/>
                <w:color w:val="auto"/>
                <w:w w:val="89"/>
              </w:rPr>
              <w:t>Name of the entity</w:t>
            </w:r>
          </w:p>
        </w:tc>
        <w:tc>
          <w:tcPr>
            <w:tcW w:w="3100" w:type="dxa"/>
            <w:vAlign w:val="bottom"/>
            <w:gridSpan w:val="2"/>
          </w:tcPr>
          <w:p>
            <w:pPr>
              <w:jc w:val="center"/>
              <w:ind w:right="1320"/>
              <w:spacing w:after="0"/>
              <w:rPr>
                <w:sz w:val="20"/>
                <w:szCs w:val="20"/>
                <w:color w:val="auto"/>
              </w:rPr>
            </w:pPr>
            <w:r>
              <w:rPr>
                <w:rFonts w:ascii="Arial" w:cs="Arial" w:eastAsia="Arial" w:hAnsi="Arial"/>
                <w:sz w:val="20"/>
                <w:szCs w:val="20"/>
                <w:color w:val="auto"/>
                <w:w w:val="88"/>
              </w:rPr>
              <w:t>Ownership percentage</w:t>
            </w:r>
          </w:p>
        </w:tc>
        <w:tc>
          <w:tcPr>
            <w:tcW w:w="1520" w:type="dxa"/>
            <w:vAlign w:val="bottom"/>
          </w:tcPr>
          <w:p>
            <w:pPr>
              <w:jc w:val="center"/>
              <w:spacing w:after="0"/>
              <w:rPr>
                <w:sz w:val="20"/>
                <w:szCs w:val="20"/>
                <w:color w:val="auto"/>
              </w:rPr>
            </w:pPr>
            <w:r>
              <w:rPr>
                <w:rFonts w:ascii="Arial" w:cs="Arial" w:eastAsia="Arial" w:hAnsi="Arial"/>
                <w:sz w:val="20"/>
                <w:szCs w:val="20"/>
                <w:color w:val="auto"/>
                <w:w w:val="92"/>
              </w:rPr>
              <w:t>Date of acquisition</w:t>
            </w:r>
          </w:p>
        </w:tc>
      </w:tr>
      <w:tr>
        <w:trPr>
          <w:trHeight w:val="30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DY</w:t>
            </w:r>
          </w:p>
        </w:tc>
        <w:tc>
          <w:tcPr>
            <w:tcW w:w="1400" w:type="dxa"/>
            <w:vAlign w:val="bottom"/>
          </w:tcPr>
          <w:p>
            <w:pPr>
              <w:spacing w:after="0"/>
              <w:rPr>
                <w:sz w:val="24"/>
                <w:szCs w:val="24"/>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1320" w:type="dxa"/>
            <w:vAlign w:val="bottom"/>
          </w:tcPr>
          <w:p>
            <w:pPr>
              <w:spacing w:after="0"/>
              <w:rPr>
                <w:sz w:val="24"/>
                <w:szCs w:val="24"/>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February 10, 2003</w:t>
            </w:r>
          </w:p>
        </w:tc>
      </w:tr>
      <w:tr>
        <w:trPr>
          <w:trHeight w:val="284"/>
        </w:trPr>
        <w:tc>
          <w:tcPr>
            <w:tcW w:w="2860" w:type="dxa"/>
            <w:vAlign w:val="bottom"/>
            <w:gridSpan w:val="2"/>
          </w:tcPr>
          <w:p>
            <w:pPr>
              <w:jc w:val="center"/>
              <w:ind w:right="1400"/>
              <w:spacing w:after="0"/>
              <w:rPr>
                <w:sz w:val="20"/>
                <w:szCs w:val="20"/>
                <w:color w:val="auto"/>
              </w:rPr>
            </w:pPr>
            <w:r>
              <w:rPr>
                <w:rFonts w:ascii="Arial" w:cs="Arial" w:eastAsia="Arial" w:hAnsi="Arial"/>
                <w:sz w:val="20"/>
                <w:szCs w:val="20"/>
                <w:color w:val="auto"/>
                <w:w w:val="85"/>
              </w:rPr>
              <w:t>PT</w:t>
            </w:r>
          </w:p>
        </w:tc>
        <w:tc>
          <w:tcPr>
            <w:tcW w:w="1780" w:type="dxa"/>
            <w:vAlign w:val="bottom"/>
          </w:tcPr>
          <w:p>
            <w:pPr>
              <w:jc w:val="center"/>
              <w:spacing w:after="0"/>
              <w:rPr>
                <w:sz w:val="20"/>
                <w:szCs w:val="20"/>
                <w:color w:val="auto"/>
              </w:rPr>
            </w:pPr>
            <w:r>
              <w:rPr>
                <w:rFonts w:ascii="Arial" w:cs="Arial" w:eastAsia="Arial" w:hAnsi="Arial"/>
                <w:sz w:val="20"/>
                <w:szCs w:val="20"/>
                <w:color w:val="auto"/>
                <w:w w:val="89"/>
              </w:rPr>
              <w:t>50%</w:t>
            </w:r>
          </w:p>
        </w:tc>
        <w:tc>
          <w:tcPr>
            <w:tcW w:w="13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90"/>
              </w:rPr>
              <w:t>March 7, 2004</w:t>
            </w:r>
          </w:p>
        </w:tc>
      </w:tr>
      <w:tr>
        <w:trPr>
          <w:trHeight w:val="284"/>
        </w:trPr>
        <w:tc>
          <w:tcPr>
            <w:tcW w:w="2860" w:type="dxa"/>
            <w:vAlign w:val="bottom"/>
            <w:gridSpan w:val="2"/>
          </w:tcPr>
          <w:p>
            <w:pPr>
              <w:jc w:val="center"/>
              <w:ind w:right="1400"/>
              <w:spacing w:after="0"/>
              <w:rPr>
                <w:sz w:val="20"/>
                <w:szCs w:val="20"/>
                <w:color w:val="auto"/>
              </w:rPr>
            </w:pPr>
            <w:r>
              <w:rPr>
                <w:rFonts w:ascii="Arial" w:cs="Arial" w:eastAsia="Arial" w:hAnsi="Arial"/>
                <w:sz w:val="20"/>
                <w:szCs w:val="20"/>
                <w:color w:val="auto"/>
                <w:w w:val="88"/>
              </w:rPr>
              <w:t>Norsom</w:t>
            </w:r>
          </w:p>
        </w:tc>
        <w:tc>
          <w:tcPr>
            <w:tcW w:w="1780" w:type="dxa"/>
            <w:vAlign w:val="bottom"/>
          </w:tcPr>
          <w:p>
            <w:pPr>
              <w:jc w:val="center"/>
              <w:spacing w:after="0"/>
              <w:rPr>
                <w:sz w:val="20"/>
                <w:szCs w:val="20"/>
                <w:color w:val="auto"/>
              </w:rPr>
            </w:pPr>
            <w:r>
              <w:rPr>
                <w:rFonts w:ascii="Arial" w:cs="Arial" w:eastAsia="Arial" w:hAnsi="Arial"/>
                <w:sz w:val="20"/>
                <w:szCs w:val="20"/>
                <w:color w:val="auto"/>
                <w:w w:val="89"/>
              </w:rPr>
              <w:t>50%</w:t>
            </w:r>
          </w:p>
        </w:tc>
        <w:tc>
          <w:tcPr>
            <w:tcW w:w="13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90"/>
              </w:rPr>
              <w:t>July 19, 2004</w:t>
            </w:r>
          </w:p>
        </w:tc>
      </w:tr>
    </w:tbl>
    <w:p>
      <w:pPr>
        <w:spacing w:after="0" w:line="231" w:lineRule="exact"/>
        <w:rPr>
          <w:sz w:val="20"/>
          <w:szCs w:val="20"/>
          <w:color w:val="auto"/>
        </w:rPr>
      </w:pPr>
    </w:p>
    <w:p>
      <w:pPr>
        <w:ind w:left="1200" w:hanging="571"/>
        <w:spacing w:after="0"/>
        <w:tabs>
          <w:tab w:leader="none" w:pos="1200" w:val="left"/>
        </w:tabs>
        <w:numPr>
          <w:ilvl w:val="0"/>
          <w:numId w:val="4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Use of estimates</w:t>
      </w:r>
    </w:p>
    <w:p>
      <w:pPr>
        <w:spacing w:after="0" w:line="220" w:lineRule="exact"/>
        <w:rPr>
          <w:sz w:val="20"/>
          <w:szCs w:val="20"/>
          <w:color w:val="auto"/>
        </w:rPr>
      </w:pPr>
    </w:p>
    <w:p>
      <w:pPr>
        <w:jc w:val="both"/>
        <w:ind w:left="1160"/>
        <w:spacing w:after="0" w:line="297" w:lineRule="auto"/>
        <w:rPr>
          <w:sz w:val="20"/>
          <w:szCs w:val="20"/>
          <w:color w:val="auto"/>
        </w:rPr>
      </w:pPr>
      <w:r>
        <w:rPr>
          <w:rFonts w:ascii="Arial" w:cs="Arial" w:eastAsia="Arial" w:hAnsi="Arial"/>
          <w:sz w:val="19"/>
          <w:szCs w:val="19"/>
          <w:color w:val="auto"/>
        </w:rPr>
        <w:t>The consolidated financial statements are prepared in conformity with US GAAP, which require the use of estimates, judgments, and assumptions that affect the reported amounts of assets and liabilities and disclosure of contingent assets and liabilities at the date of the financial statements and the reported amounts of revenue and expenses in the periods presented. The Company believes that the accounting estimates employed are appropriate and the resulting balances are reasonable; however, due to the inherent uncertainties in making estimates, actual results could</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126" w:right="239" w:bottom="1440" w:gutter="0" w:footer="0" w:header="0"/>
        </w:sectPr>
      </w:pPr>
    </w:p>
    <w:bookmarkStart w:id="151" w:name="page152"/>
    <w:bookmarkEnd w:id="151"/>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SUMMARY OF SIGNIFICANT ACCOUNTING POLICIES AND PRACTICES - continued</w:t>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differ from the original estimates, requiring adjustments to these balances in future periods.</w:t>
      </w:r>
    </w:p>
    <w:p>
      <w:pPr>
        <w:spacing w:after="0" w:line="220" w:lineRule="exact"/>
        <w:rPr>
          <w:sz w:val="20"/>
          <w:szCs w:val="20"/>
          <w:color w:val="auto"/>
        </w:rPr>
      </w:pPr>
    </w:p>
    <w:p>
      <w:pPr>
        <w:ind w:left="1200" w:hanging="571"/>
        <w:spacing w:after="0"/>
        <w:tabs>
          <w:tab w:leader="none" w:pos="1200" w:val="left"/>
        </w:tabs>
        <w:numPr>
          <w:ilvl w:val="0"/>
          <w:numId w:val="4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Cash and cash equivalents</w:t>
      </w:r>
    </w:p>
    <w:p>
      <w:pPr>
        <w:spacing w:after="0" w:line="220" w:lineRule="exact"/>
        <w:rPr>
          <w:sz w:val="20"/>
          <w:szCs w:val="20"/>
          <w:color w:val="auto"/>
        </w:rPr>
      </w:pPr>
    </w:p>
    <w:p>
      <w:pPr>
        <w:jc w:val="both"/>
        <w:ind w:left="1160"/>
        <w:spacing w:after="0" w:line="247" w:lineRule="auto"/>
        <w:rPr>
          <w:sz w:val="20"/>
          <w:szCs w:val="20"/>
          <w:color w:val="auto"/>
        </w:rPr>
      </w:pPr>
      <w:r>
        <w:rPr>
          <w:rFonts w:ascii="Arial" w:cs="Arial" w:eastAsia="Arial" w:hAnsi="Arial"/>
          <w:sz w:val="22"/>
          <w:szCs w:val="22"/>
          <w:color w:val="auto"/>
        </w:rPr>
        <w:t>Cash and cash equivalents consist of cash on hand and in banks, and time deposits with financial institutions that are short-term in nature and available at any time, and money market funds which are short-term and highly-liquid investments with original maturities of 90 days or less. The Company considers all highly liquid debt instruments with original maturities of three months or less to be cash equivalents. The Company deposits most of its cash in PRC state-owned banks and Shanghai Automotive Industrial Group Finance Co., Ltd ("SAIC-Finance"), a SAIC related party.</w:t>
      </w:r>
    </w:p>
    <w:p>
      <w:pPr>
        <w:spacing w:after="0" w:line="194" w:lineRule="exact"/>
        <w:rPr>
          <w:sz w:val="20"/>
          <w:szCs w:val="20"/>
          <w:color w:val="auto"/>
        </w:rPr>
      </w:pPr>
    </w:p>
    <w:p>
      <w:pPr>
        <w:ind w:left="1200" w:hanging="571"/>
        <w:spacing w:after="0"/>
        <w:tabs>
          <w:tab w:leader="none" w:pos="1200" w:val="left"/>
        </w:tabs>
        <w:numPr>
          <w:ilvl w:val="0"/>
          <w:numId w:val="4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Inventories</w:t>
      </w:r>
    </w:p>
    <w:p>
      <w:pPr>
        <w:spacing w:after="0" w:line="219" w:lineRule="exact"/>
        <w:rPr>
          <w:rFonts w:ascii="Arial" w:cs="Arial" w:eastAsia="Arial" w:hAnsi="Arial"/>
          <w:sz w:val="22"/>
          <w:szCs w:val="22"/>
          <w:b w:val="1"/>
          <w:bCs w:val="1"/>
          <w:i w:val="1"/>
          <w:iCs w:val="1"/>
          <w:color w:val="auto"/>
        </w:rPr>
      </w:pPr>
    </w:p>
    <w:p>
      <w:pPr>
        <w:jc w:val="both"/>
        <w:ind w:left="1200"/>
        <w:spacing w:after="0" w:line="302" w:lineRule="auto"/>
        <w:rPr>
          <w:rFonts w:ascii="Arial" w:cs="Arial" w:eastAsia="Arial" w:hAnsi="Arial"/>
          <w:sz w:val="22"/>
          <w:szCs w:val="22"/>
          <w:b w:val="1"/>
          <w:bCs w:val="1"/>
          <w:i w:val="1"/>
          <w:iCs w:val="1"/>
          <w:color w:val="auto"/>
        </w:rPr>
      </w:pPr>
      <w:r>
        <w:rPr>
          <w:rFonts w:ascii="Arial" w:cs="Arial" w:eastAsia="Arial" w:hAnsi="Arial"/>
          <w:sz w:val="19"/>
          <w:szCs w:val="19"/>
          <w:color w:val="auto"/>
        </w:rPr>
        <w:t>Inventories are stated at lower of cost or market. Market, which represents selling price less cost to sell, considers general market and economic conditions, periodic reviews of current profitability of vehicles and the effect of current incentive offers at the balance sheet date. Productive material, work-in-process, supplies and service parts are reviewed to determine if inventory quantities are in excess of forecasted usage, or if they have become obsolete.</w:t>
      </w:r>
    </w:p>
    <w:p>
      <w:pPr>
        <w:spacing w:after="0" w:line="142" w:lineRule="exact"/>
        <w:rPr>
          <w:rFonts w:ascii="Arial" w:cs="Arial" w:eastAsia="Arial" w:hAnsi="Arial"/>
          <w:sz w:val="22"/>
          <w:szCs w:val="22"/>
          <w:b w:val="1"/>
          <w:bCs w:val="1"/>
          <w:i w:val="1"/>
          <w:iCs w:val="1"/>
          <w:color w:val="auto"/>
        </w:rPr>
      </w:pPr>
    </w:p>
    <w:p>
      <w:pPr>
        <w:ind w:left="1200" w:hanging="571"/>
        <w:spacing w:after="0"/>
        <w:tabs>
          <w:tab w:leader="none" w:pos="1200" w:val="left"/>
        </w:tabs>
        <w:numPr>
          <w:ilvl w:val="0"/>
          <w:numId w:val="4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Fair Value Measurements</w:t>
      </w:r>
    </w:p>
    <w:p>
      <w:pPr>
        <w:spacing w:after="0" w:line="220" w:lineRule="exact"/>
        <w:rPr>
          <w:sz w:val="20"/>
          <w:szCs w:val="20"/>
          <w:color w:val="auto"/>
        </w:rPr>
      </w:pPr>
    </w:p>
    <w:p>
      <w:pPr>
        <w:jc w:val="both"/>
        <w:ind w:left="1160"/>
        <w:spacing w:after="0" w:line="250" w:lineRule="auto"/>
        <w:rPr>
          <w:sz w:val="20"/>
          <w:szCs w:val="20"/>
          <w:color w:val="auto"/>
        </w:rPr>
      </w:pPr>
      <w:r>
        <w:rPr>
          <w:rFonts w:ascii="Arial" w:cs="Arial" w:eastAsia="Arial" w:hAnsi="Arial"/>
          <w:sz w:val="22"/>
          <w:szCs w:val="22"/>
          <w:color w:val="auto"/>
        </w:rPr>
        <w:t>A three-level valuation hierarchy, based upon observable and unobservable inputs, is used for fair value measurements. Observable inputs reflect market data obtained from independent sources, while unobservable inputs reflect market assumptions based on the best evidence available. These two types of inputs create the following fair value hierarchy:</w:t>
      </w:r>
    </w:p>
    <w:p>
      <w:pPr>
        <w:spacing w:after="0" w:line="188" w:lineRule="exact"/>
        <w:rPr>
          <w:sz w:val="20"/>
          <w:szCs w:val="20"/>
          <w:color w:val="auto"/>
        </w:rPr>
      </w:pPr>
    </w:p>
    <w:p>
      <w:pPr>
        <w:ind w:left="1820" w:hanging="326"/>
        <w:spacing w:after="0"/>
        <w:tabs>
          <w:tab w:leader="none" w:pos="1820" w:val="left"/>
        </w:tabs>
        <w:numPr>
          <w:ilvl w:val="0"/>
          <w:numId w:val="50"/>
        </w:numPr>
        <w:rPr>
          <w:rFonts w:ascii="Arial" w:cs="Arial" w:eastAsia="Arial" w:hAnsi="Arial"/>
          <w:sz w:val="18"/>
          <w:szCs w:val="18"/>
          <w:color w:val="auto"/>
        </w:rPr>
      </w:pPr>
      <w:r>
        <w:rPr>
          <w:rFonts w:ascii="Arial" w:cs="Arial" w:eastAsia="Arial" w:hAnsi="Arial"/>
          <w:sz w:val="22"/>
          <w:szCs w:val="22"/>
          <w:color w:val="auto"/>
        </w:rPr>
        <w:t>Level 1 - Quoted prices for identical instruments in active markets;</w:t>
      </w:r>
    </w:p>
    <w:p>
      <w:pPr>
        <w:spacing w:after="0" w:line="21" w:lineRule="exact"/>
        <w:rPr>
          <w:rFonts w:ascii="Arial" w:cs="Arial" w:eastAsia="Arial" w:hAnsi="Arial"/>
          <w:sz w:val="18"/>
          <w:szCs w:val="18"/>
          <w:color w:val="auto"/>
        </w:rPr>
      </w:pPr>
    </w:p>
    <w:p>
      <w:pPr>
        <w:jc w:val="both"/>
        <w:ind w:left="1820" w:hanging="326"/>
        <w:spacing w:after="0" w:line="243" w:lineRule="auto"/>
        <w:tabs>
          <w:tab w:leader="none" w:pos="1820" w:val="left"/>
        </w:tabs>
        <w:numPr>
          <w:ilvl w:val="0"/>
          <w:numId w:val="50"/>
        </w:numPr>
        <w:rPr>
          <w:rFonts w:ascii="Arial" w:cs="Arial" w:eastAsia="Arial" w:hAnsi="Arial"/>
          <w:sz w:val="18"/>
          <w:szCs w:val="18"/>
          <w:color w:val="auto"/>
        </w:rPr>
      </w:pPr>
      <w:r>
        <w:rPr>
          <w:rFonts w:ascii="Arial" w:cs="Arial" w:eastAsia="Arial" w:hAnsi="Arial"/>
          <w:sz w:val="22"/>
          <w:szCs w:val="22"/>
          <w:color w:val="auto"/>
        </w:rPr>
        <w:t>Level 2 - Quoted prices for similar instruments in active markets; quoted prices for identical or similar instruments in markets that are not active; and model-derived valuations whose significant inputs are observable; and</w:t>
      </w:r>
    </w:p>
    <w:p>
      <w:pPr>
        <w:spacing w:after="0" w:line="1" w:lineRule="exact"/>
        <w:rPr>
          <w:rFonts w:ascii="Arial" w:cs="Arial" w:eastAsia="Arial" w:hAnsi="Arial"/>
          <w:sz w:val="18"/>
          <w:szCs w:val="18"/>
          <w:color w:val="auto"/>
        </w:rPr>
      </w:pPr>
    </w:p>
    <w:p>
      <w:pPr>
        <w:ind w:left="1820" w:hanging="326"/>
        <w:spacing w:after="0"/>
        <w:tabs>
          <w:tab w:leader="none" w:pos="1820" w:val="left"/>
        </w:tabs>
        <w:numPr>
          <w:ilvl w:val="0"/>
          <w:numId w:val="50"/>
        </w:numPr>
        <w:rPr>
          <w:rFonts w:ascii="Arial" w:cs="Arial" w:eastAsia="Arial" w:hAnsi="Arial"/>
          <w:sz w:val="18"/>
          <w:szCs w:val="18"/>
          <w:color w:val="auto"/>
        </w:rPr>
      </w:pPr>
      <w:r>
        <w:rPr>
          <w:rFonts w:ascii="Arial" w:cs="Arial" w:eastAsia="Arial" w:hAnsi="Arial"/>
          <w:sz w:val="22"/>
          <w:szCs w:val="22"/>
          <w:color w:val="auto"/>
        </w:rPr>
        <w:t>Level 3 - Instruments whose significant inputs are unobservable.</w:t>
      </w:r>
    </w:p>
    <w:p>
      <w:pPr>
        <w:spacing w:after="0" w:line="202" w:lineRule="exact"/>
        <w:rPr>
          <w:sz w:val="20"/>
          <w:szCs w:val="20"/>
          <w:color w:val="auto"/>
        </w:rPr>
      </w:pPr>
    </w:p>
    <w:p>
      <w:pPr>
        <w:jc w:val="both"/>
        <w:ind w:left="1160"/>
        <w:spacing w:after="0" w:line="263" w:lineRule="auto"/>
        <w:rPr>
          <w:sz w:val="20"/>
          <w:szCs w:val="20"/>
          <w:color w:val="auto"/>
        </w:rPr>
      </w:pPr>
      <w:r>
        <w:rPr>
          <w:rFonts w:ascii="Arial" w:cs="Arial" w:eastAsia="Arial" w:hAnsi="Arial"/>
          <w:sz w:val="22"/>
          <w:szCs w:val="22"/>
          <w:color w:val="auto"/>
        </w:rPr>
        <w:t>Financial instruments are transferred in and/or out of Level 1, 2 or 3 at the beginning of the accounting period in which there is a change in the valuation inputs.</w:t>
      </w:r>
    </w:p>
    <w:p>
      <w:pPr>
        <w:spacing w:after="0" w:line="175" w:lineRule="exact"/>
        <w:rPr>
          <w:sz w:val="20"/>
          <w:szCs w:val="20"/>
          <w:color w:val="auto"/>
        </w:rPr>
      </w:pPr>
    </w:p>
    <w:p>
      <w:pPr>
        <w:jc w:val="both"/>
        <w:ind w:left="1160" w:right="20"/>
        <w:spacing w:after="0" w:line="253" w:lineRule="auto"/>
        <w:rPr>
          <w:sz w:val="20"/>
          <w:szCs w:val="20"/>
          <w:color w:val="auto"/>
        </w:rPr>
      </w:pPr>
      <w:r>
        <w:rPr>
          <w:rFonts w:ascii="Arial" w:cs="Arial" w:eastAsia="Arial" w:hAnsi="Arial"/>
          <w:sz w:val="22"/>
          <w:szCs w:val="22"/>
          <w:color w:val="auto"/>
        </w:rPr>
        <w:t>The Company believes the fair value of its financial instruments, principally cash and cash equivalents, trade accounts receivable and trade accounts payable, approximate their recorded values due to the short-term nature of the instruments or interest rates, which are comparable with current rates.</w:t>
      </w:r>
    </w:p>
    <w:p>
      <w:pPr>
        <w:spacing w:after="0" w:line="186" w:lineRule="exact"/>
        <w:rPr>
          <w:sz w:val="20"/>
          <w:szCs w:val="20"/>
          <w:color w:val="auto"/>
        </w:rPr>
      </w:pPr>
    </w:p>
    <w:p>
      <w:pPr>
        <w:ind w:left="1200" w:hanging="571"/>
        <w:spacing w:after="0"/>
        <w:tabs>
          <w:tab w:leader="none" w:pos="1200" w:val="left"/>
        </w:tabs>
        <w:numPr>
          <w:ilvl w:val="0"/>
          <w:numId w:val="5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Equity in net assets of nonconsolidated affiliates</w:t>
      </w:r>
    </w:p>
    <w:p>
      <w:pPr>
        <w:spacing w:after="0" w:line="220" w:lineRule="exact"/>
        <w:rPr>
          <w:sz w:val="20"/>
          <w:szCs w:val="20"/>
          <w:color w:val="auto"/>
        </w:rPr>
      </w:pPr>
    </w:p>
    <w:p>
      <w:pPr>
        <w:jc w:val="both"/>
        <w:ind w:left="1160"/>
        <w:spacing w:after="0" w:line="343" w:lineRule="auto"/>
        <w:rPr>
          <w:sz w:val="20"/>
          <w:szCs w:val="20"/>
          <w:color w:val="auto"/>
        </w:rPr>
      </w:pPr>
      <w:r>
        <w:rPr>
          <w:rFonts w:ascii="Arial" w:cs="Arial" w:eastAsia="Arial" w:hAnsi="Arial"/>
          <w:sz w:val="19"/>
          <w:szCs w:val="19"/>
          <w:color w:val="auto"/>
        </w:rPr>
        <w:t>Nonconsolidated affiliates are entities in which an equity ownership interest is maintained and for which the equity method of accounting is used, due to the ability to exert significant influence over their operating and financial affairs.</w:t>
      </w:r>
    </w:p>
    <w:p>
      <w:pPr>
        <w:spacing w:after="0" w:line="341"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11420"/>
          </w:cols>
          <w:pgMar w:left="240" w:top="125" w:right="239" w:bottom="1440" w:gutter="0" w:footer="0" w:header="0"/>
        </w:sectPr>
      </w:pPr>
    </w:p>
    <w:bookmarkStart w:id="152" w:name="page153"/>
    <w:bookmarkEnd w:id="152"/>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19" w:lineRule="exact"/>
        <w:rPr>
          <w:rFonts w:ascii="Arial" w:cs="Arial" w:eastAsia="Arial" w:hAnsi="Arial"/>
          <w:sz w:val="22"/>
          <w:szCs w:val="22"/>
          <w:color w:val="auto"/>
        </w:rPr>
      </w:pPr>
    </w:p>
    <w:p>
      <w:pPr>
        <w:ind w:left="1200" w:hanging="571"/>
        <w:spacing w:after="0"/>
        <w:tabs>
          <w:tab w:leader="none" w:pos="1200" w:val="left"/>
        </w:tabs>
        <w:numPr>
          <w:ilvl w:val="1"/>
          <w:numId w:val="5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Valuation of equity method investments</w:t>
      </w:r>
    </w:p>
    <w:p>
      <w:pPr>
        <w:spacing w:after="0" w:line="260" w:lineRule="exact"/>
        <w:rPr>
          <w:sz w:val="20"/>
          <w:szCs w:val="20"/>
          <w:color w:val="auto"/>
        </w:rPr>
      </w:pPr>
    </w:p>
    <w:p>
      <w:pPr>
        <w:jc w:val="both"/>
        <w:ind w:left="1160"/>
        <w:spacing w:after="0" w:line="294" w:lineRule="auto"/>
        <w:rPr>
          <w:sz w:val="20"/>
          <w:szCs w:val="20"/>
          <w:color w:val="auto"/>
        </w:rPr>
      </w:pPr>
      <w:r>
        <w:rPr>
          <w:rFonts w:ascii="Arial" w:cs="Arial" w:eastAsia="Arial" w:hAnsi="Arial"/>
          <w:sz w:val="19"/>
          <w:szCs w:val="19"/>
          <w:color w:val="auto"/>
        </w:rPr>
        <w:t>When events and circumstances warrant, investments accounted for under the cost or equity method of accounting are evaluated for impairment. An impairment charge is recorded whenever a decline in value of an investment below its carrying amount is determined to be other than temporary. In determining if a decline is other than temporary, factors such as the length of time and extent to which the fair value of the investment has been less than the carrying amount of the investment, the near-term and long-term operating and financial prospects of the affiliate and the intent and ability to hold the investment for a period of time sufficient to allow for any anticipated recovery are considered.</w:t>
      </w:r>
    </w:p>
    <w:p>
      <w:pPr>
        <w:spacing w:after="0" w:line="190"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No impairments were recognized for the years ended December 31, 2015, 2014 and 2013.</w:t>
      </w:r>
    </w:p>
    <w:p>
      <w:pPr>
        <w:spacing w:after="0" w:line="260" w:lineRule="exact"/>
        <w:rPr>
          <w:sz w:val="20"/>
          <w:szCs w:val="20"/>
          <w:color w:val="auto"/>
        </w:rPr>
      </w:pPr>
    </w:p>
    <w:p>
      <w:pPr>
        <w:ind w:left="1200" w:hanging="571"/>
        <w:spacing w:after="0"/>
        <w:tabs>
          <w:tab w:leader="none" w:pos="1200" w:val="left"/>
        </w:tabs>
        <w:numPr>
          <w:ilvl w:val="0"/>
          <w:numId w:val="5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Property, plant and equipment, net</w:t>
      </w:r>
    </w:p>
    <w:p>
      <w:pPr>
        <w:spacing w:after="0" w:line="260" w:lineRule="exact"/>
        <w:rPr>
          <w:sz w:val="20"/>
          <w:szCs w:val="20"/>
          <w:color w:val="auto"/>
        </w:rPr>
      </w:pPr>
    </w:p>
    <w:p>
      <w:pPr>
        <w:jc w:val="both"/>
        <w:ind w:left="1160"/>
        <w:spacing w:after="0" w:line="263" w:lineRule="auto"/>
        <w:rPr>
          <w:sz w:val="20"/>
          <w:szCs w:val="20"/>
          <w:color w:val="auto"/>
        </w:rPr>
      </w:pPr>
      <w:r>
        <w:rPr>
          <w:rFonts w:ascii="Arial" w:cs="Arial" w:eastAsia="Arial" w:hAnsi="Arial"/>
          <w:sz w:val="22"/>
          <w:szCs w:val="22"/>
          <w:color w:val="auto"/>
        </w:rPr>
        <w:t>Property, plant and equipment are recorded at cost. Major improvements that extend the useful life of property are capitalized. Expenditures for repairs and maintenance are charged to expense as incurred.</w:t>
      </w:r>
    </w:p>
    <w:p>
      <w:pPr>
        <w:spacing w:after="0" w:line="215"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The Company's depreciation method is summarized in the following table:</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53"/>
        </w:trPr>
        <w:tc>
          <w:tcPr>
            <w:tcW w:w="2960" w:type="dxa"/>
            <w:vAlign w:val="bottom"/>
            <w:gridSpan w:val="2"/>
          </w:tcPr>
          <w:p>
            <w:pPr>
              <w:spacing w:after="0"/>
              <w:rPr>
                <w:sz w:val="20"/>
                <w:szCs w:val="20"/>
                <w:color w:val="auto"/>
              </w:rPr>
            </w:pPr>
            <w:r>
              <w:rPr>
                <w:rFonts w:ascii="Arial" w:cs="Arial" w:eastAsia="Arial" w:hAnsi="Arial"/>
                <w:sz w:val="22"/>
                <w:szCs w:val="22"/>
                <w:color w:val="auto"/>
              </w:rPr>
              <w:t>Category</w:t>
            </w:r>
          </w:p>
        </w:tc>
        <w:tc>
          <w:tcPr>
            <w:tcW w:w="2600" w:type="dxa"/>
            <w:vAlign w:val="bottom"/>
            <w:gridSpan w:val="3"/>
          </w:tcPr>
          <w:p>
            <w:pPr>
              <w:ind w:left="60"/>
              <w:spacing w:after="0"/>
              <w:rPr>
                <w:sz w:val="20"/>
                <w:szCs w:val="20"/>
                <w:color w:val="auto"/>
              </w:rPr>
            </w:pPr>
            <w:r>
              <w:rPr>
                <w:rFonts w:ascii="Arial" w:cs="Arial" w:eastAsia="Arial" w:hAnsi="Arial"/>
                <w:sz w:val="22"/>
                <w:szCs w:val="22"/>
                <w:color w:val="auto"/>
              </w:rPr>
              <w:t>Depreciation method</w:t>
            </w:r>
          </w:p>
        </w:tc>
        <w:tc>
          <w:tcPr>
            <w:tcW w:w="2300" w:type="dxa"/>
            <w:vAlign w:val="bottom"/>
            <w:gridSpan w:val="2"/>
          </w:tcPr>
          <w:p>
            <w:pPr>
              <w:ind w:left="380"/>
              <w:spacing w:after="0"/>
              <w:rPr>
                <w:sz w:val="20"/>
                <w:szCs w:val="20"/>
                <w:color w:val="auto"/>
              </w:rPr>
            </w:pPr>
            <w:r>
              <w:rPr>
                <w:rFonts w:ascii="Arial" w:cs="Arial" w:eastAsia="Arial" w:hAnsi="Arial"/>
                <w:sz w:val="22"/>
                <w:szCs w:val="22"/>
                <w:color w:val="auto"/>
                <w:w w:val="89"/>
              </w:rPr>
              <w:t>Estimated useful lives</w:t>
            </w:r>
          </w:p>
        </w:tc>
      </w:tr>
      <w:tr>
        <w:trPr>
          <w:trHeight w:val="20"/>
        </w:trPr>
        <w:tc>
          <w:tcPr>
            <w:tcW w:w="7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652"/>
        </w:trPr>
        <w:tc>
          <w:tcPr>
            <w:tcW w:w="2960" w:type="dxa"/>
            <w:vAlign w:val="bottom"/>
            <w:gridSpan w:val="2"/>
          </w:tcPr>
          <w:p>
            <w:pPr>
              <w:spacing w:after="0"/>
              <w:rPr>
                <w:sz w:val="20"/>
                <w:szCs w:val="20"/>
                <w:color w:val="auto"/>
              </w:rPr>
            </w:pPr>
            <w:r>
              <w:rPr>
                <w:rFonts w:ascii="Arial" w:cs="Arial" w:eastAsia="Arial" w:hAnsi="Arial"/>
                <w:sz w:val="22"/>
                <w:szCs w:val="22"/>
                <w:color w:val="auto"/>
              </w:rPr>
              <w:t>Buildings</w:t>
            </w:r>
          </w:p>
        </w:tc>
        <w:tc>
          <w:tcPr>
            <w:tcW w:w="2600" w:type="dxa"/>
            <w:vAlign w:val="bottom"/>
            <w:gridSpan w:val="3"/>
          </w:tcPr>
          <w:p>
            <w:pPr>
              <w:ind w:left="60"/>
              <w:spacing w:after="0"/>
              <w:rPr>
                <w:sz w:val="20"/>
                <w:szCs w:val="20"/>
                <w:color w:val="auto"/>
              </w:rPr>
            </w:pPr>
            <w:r>
              <w:rPr>
                <w:rFonts w:ascii="Arial" w:cs="Arial" w:eastAsia="Arial" w:hAnsi="Arial"/>
                <w:sz w:val="22"/>
                <w:szCs w:val="22"/>
                <w:color w:val="auto"/>
              </w:rPr>
              <w:t>Straight-line</w:t>
            </w:r>
          </w:p>
        </w:tc>
        <w:tc>
          <w:tcPr>
            <w:tcW w:w="2300" w:type="dxa"/>
            <w:vAlign w:val="bottom"/>
            <w:gridSpan w:val="2"/>
          </w:tcPr>
          <w:p>
            <w:pPr>
              <w:ind w:left="380"/>
              <w:spacing w:after="0"/>
              <w:rPr>
                <w:sz w:val="20"/>
                <w:szCs w:val="20"/>
                <w:color w:val="auto"/>
              </w:rPr>
            </w:pPr>
            <w:r>
              <w:rPr>
                <w:rFonts w:ascii="Arial" w:cs="Arial" w:eastAsia="Arial" w:hAnsi="Arial"/>
                <w:sz w:val="22"/>
                <w:szCs w:val="22"/>
                <w:color w:val="auto"/>
              </w:rPr>
              <w:t>25 years</w:t>
            </w:r>
          </w:p>
        </w:tc>
      </w:tr>
      <w:tr>
        <w:trPr>
          <w:trHeight w:val="297"/>
        </w:trPr>
        <w:tc>
          <w:tcPr>
            <w:tcW w:w="2960" w:type="dxa"/>
            <w:vAlign w:val="bottom"/>
            <w:gridSpan w:val="2"/>
          </w:tcPr>
          <w:p>
            <w:pPr>
              <w:spacing w:after="0"/>
              <w:rPr>
                <w:sz w:val="20"/>
                <w:szCs w:val="20"/>
                <w:color w:val="auto"/>
              </w:rPr>
            </w:pPr>
            <w:r>
              <w:rPr>
                <w:rFonts w:ascii="Arial" w:cs="Arial" w:eastAsia="Arial" w:hAnsi="Arial"/>
                <w:sz w:val="22"/>
                <w:szCs w:val="22"/>
                <w:color w:val="auto"/>
                <w:w w:val="91"/>
              </w:rPr>
              <w:t>Furniture, fixtures and equipment</w:t>
            </w:r>
          </w:p>
        </w:tc>
        <w:tc>
          <w:tcPr>
            <w:tcW w:w="2600" w:type="dxa"/>
            <w:vAlign w:val="bottom"/>
            <w:gridSpan w:val="3"/>
          </w:tcPr>
          <w:p>
            <w:pPr>
              <w:ind w:left="60"/>
              <w:spacing w:after="0"/>
              <w:rPr>
                <w:sz w:val="20"/>
                <w:szCs w:val="20"/>
                <w:color w:val="auto"/>
              </w:rPr>
            </w:pPr>
            <w:r>
              <w:rPr>
                <w:rFonts w:ascii="Arial" w:cs="Arial" w:eastAsia="Arial" w:hAnsi="Arial"/>
                <w:sz w:val="22"/>
                <w:szCs w:val="22"/>
                <w:color w:val="auto"/>
              </w:rPr>
              <w:t>Straight-line</w:t>
            </w:r>
          </w:p>
        </w:tc>
        <w:tc>
          <w:tcPr>
            <w:tcW w:w="2300" w:type="dxa"/>
            <w:vAlign w:val="bottom"/>
            <w:gridSpan w:val="2"/>
          </w:tcPr>
          <w:p>
            <w:pPr>
              <w:ind w:left="380"/>
              <w:spacing w:after="0"/>
              <w:rPr>
                <w:sz w:val="20"/>
                <w:szCs w:val="20"/>
                <w:color w:val="auto"/>
              </w:rPr>
            </w:pPr>
            <w:r>
              <w:rPr>
                <w:rFonts w:ascii="Arial" w:cs="Arial" w:eastAsia="Arial" w:hAnsi="Arial"/>
                <w:sz w:val="22"/>
                <w:szCs w:val="22"/>
                <w:color w:val="auto"/>
              </w:rPr>
              <w:t>3 to 5 years</w:t>
            </w:r>
          </w:p>
        </w:tc>
      </w:tr>
      <w:tr>
        <w:trPr>
          <w:trHeight w:val="297"/>
        </w:trPr>
        <w:tc>
          <w:tcPr>
            <w:tcW w:w="2960" w:type="dxa"/>
            <w:vAlign w:val="bottom"/>
            <w:gridSpan w:val="2"/>
          </w:tcPr>
          <w:p>
            <w:pPr>
              <w:spacing w:after="0"/>
              <w:rPr>
                <w:sz w:val="20"/>
                <w:szCs w:val="20"/>
                <w:color w:val="auto"/>
              </w:rPr>
            </w:pPr>
            <w:r>
              <w:rPr>
                <w:rFonts w:ascii="Arial" w:cs="Arial" w:eastAsia="Arial" w:hAnsi="Arial"/>
                <w:sz w:val="22"/>
                <w:szCs w:val="22"/>
                <w:color w:val="auto"/>
              </w:rPr>
              <w:t>Machinery</w:t>
            </w:r>
          </w:p>
        </w:tc>
        <w:tc>
          <w:tcPr>
            <w:tcW w:w="2600" w:type="dxa"/>
            <w:vAlign w:val="bottom"/>
            <w:gridSpan w:val="3"/>
          </w:tcPr>
          <w:p>
            <w:pPr>
              <w:ind w:left="60"/>
              <w:spacing w:after="0"/>
              <w:rPr>
                <w:sz w:val="20"/>
                <w:szCs w:val="20"/>
                <w:color w:val="auto"/>
              </w:rPr>
            </w:pPr>
            <w:r>
              <w:rPr>
                <w:rFonts w:ascii="Arial" w:cs="Arial" w:eastAsia="Arial" w:hAnsi="Arial"/>
                <w:sz w:val="22"/>
                <w:szCs w:val="22"/>
                <w:color w:val="auto"/>
              </w:rPr>
              <w:t>Straight-line</w:t>
            </w:r>
          </w:p>
        </w:tc>
        <w:tc>
          <w:tcPr>
            <w:tcW w:w="2300" w:type="dxa"/>
            <w:vAlign w:val="bottom"/>
            <w:gridSpan w:val="2"/>
          </w:tcPr>
          <w:p>
            <w:pPr>
              <w:ind w:left="380"/>
              <w:spacing w:after="0"/>
              <w:rPr>
                <w:sz w:val="20"/>
                <w:szCs w:val="20"/>
                <w:color w:val="auto"/>
              </w:rPr>
            </w:pPr>
            <w:r>
              <w:rPr>
                <w:rFonts w:ascii="Arial" w:cs="Arial" w:eastAsia="Arial" w:hAnsi="Arial"/>
                <w:sz w:val="22"/>
                <w:szCs w:val="22"/>
                <w:color w:val="auto"/>
              </w:rPr>
              <w:t>5 to 20 years</w:t>
            </w:r>
          </w:p>
        </w:tc>
      </w:tr>
      <w:tr>
        <w:trPr>
          <w:trHeight w:val="297"/>
        </w:trPr>
        <w:tc>
          <w:tcPr>
            <w:tcW w:w="2960" w:type="dxa"/>
            <w:vAlign w:val="bottom"/>
            <w:gridSpan w:val="2"/>
          </w:tcPr>
          <w:p>
            <w:pPr>
              <w:spacing w:after="0"/>
              <w:rPr>
                <w:sz w:val="20"/>
                <w:szCs w:val="20"/>
                <w:color w:val="auto"/>
              </w:rPr>
            </w:pPr>
            <w:r>
              <w:rPr>
                <w:rFonts w:ascii="Arial" w:cs="Arial" w:eastAsia="Arial" w:hAnsi="Arial"/>
                <w:sz w:val="22"/>
                <w:szCs w:val="22"/>
                <w:color w:val="auto"/>
              </w:rPr>
              <w:t>Toolings other than</w:t>
            </w: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97"/>
        </w:trPr>
        <w:tc>
          <w:tcPr>
            <w:tcW w:w="2960" w:type="dxa"/>
            <w:vAlign w:val="bottom"/>
            <w:gridSpan w:val="2"/>
          </w:tcPr>
          <w:p>
            <w:pPr>
              <w:ind w:left="100"/>
              <w:spacing w:after="0"/>
              <w:rPr>
                <w:sz w:val="20"/>
                <w:szCs w:val="20"/>
                <w:color w:val="auto"/>
              </w:rPr>
            </w:pPr>
            <w:r>
              <w:rPr>
                <w:rFonts w:ascii="Arial" w:cs="Arial" w:eastAsia="Arial" w:hAnsi="Arial"/>
                <w:sz w:val="22"/>
                <w:szCs w:val="22"/>
                <w:color w:val="auto"/>
              </w:rPr>
              <w:t>non-powertrain tools</w:t>
            </w:r>
          </w:p>
        </w:tc>
        <w:tc>
          <w:tcPr>
            <w:tcW w:w="2600" w:type="dxa"/>
            <w:vAlign w:val="bottom"/>
            <w:gridSpan w:val="3"/>
          </w:tcPr>
          <w:p>
            <w:pPr>
              <w:ind w:left="60"/>
              <w:spacing w:after="0"/>
              <w:rPr>
                <w:sz w:val="20"/>
                <w:szCs w:val="20"/>
                <w:color w:val="auto"/>
              </w:rPr>
            </w:pPr>
            <w:r>
              <w:rPr>
                <w:rFonts w:ascii="Arial" w:cs="Arial" w:eastAsia="Arial" w:hAnsi="Arial"/>
                <w:sz w:val="22"/>
                <w:szCs w:val="22"/>
                <w:color w:val="auto"/>
              </w:rPr>
              <w:t>Straight-line</w:t>
            </w:r>
          </w:p>
        </w:tc>
        <w:tc>
          <w:tcPr>
            <w:tcW w:w="2300" w:type="dxa"/>
            <w:vAlign w:val="bottom"/>
            <w:gridSpan w:val="2"/>
          </w:tcPr>
          <w:p>
            <w:pPr>
              <w:ind w:left="380"/>
              <w:spacing w:after="0"/>
              <w:rPr>
                <w:sz w:val="20"/>
                <w:szCs w:val="20"/>
                <w:color w:val="auto"/>
              </w:rPr>
            </w:pPr>
            <w:r>
              <w:rPr>
                <w:rFonts w:ascii="Arial" w:cs="Arial" w:eastAsia="Arial" w:hAnsi="Arial"/>
                <w:sz w:val="22"/>
                <w:szCs w:val="22"/>
                <w:color w:val="auto"/>
              </w:rPr>
              <w:t>5 years</w:t>
            </w:r>
          </w:p>
        </w:tc>
      </w:tr>
      <w:tr>
        <w:trPr>
          <w:trHeight w:val="297"/>
        </w:trPr>
        <w:tc>
          <w:tcPr>
            <w:tcW w:w="2960" w:type="dxa"/>
            <w:vAlign w:val="bottom"/>
            <w:gridSpan w:val="2"/>
          </w:tcPr>
          <w:p>
            <w:pPr>
              <w:spacing w:after="0"/>
              <w:rPr>
                <w:sz w:val="20"/>
                <w:szCs w:val="20"/>
                <w:color w:val="auto"/>
              </w:rPr>
            </w:pPr>
            <w:r>
              <w:rPr>
                <w:rFonts w:ascii="Arial" w:cs="Arial" w:eastAsia="Arial" w:hAnsi="Arial"/>
                <w:sz w:val="22"/>
                <w:szCs w:val="22"/>
                <w:color w:val="auto"/>
              </w:rPr>
              <w:t>Non-powertrain special tools</w:t>
            </w:r>
          </w:p>
        </w:tc>
        <w:tc>
          <w:tcPr>
            <w:tcW w:w="2600" w:type="dxa"/>
            <w:vAlign w:val="bottom"/>
            <w:gridSpan w:val="3"/>
          </w:tcPr>
          <w:p>
            <w:pPr>
              <w:ind w:left="60"/>
              <w:spacing w:after="0"/>
              <w:rPr>
                <w:sz w:val="20"/>
                <w:szCs w:val="20"/>
                <w:color w:val="auto"/>
              </w:rPr>
            </w:pPr>
            <w:r>
              <w:rPr>
                <w:rFonts w:ascii="Arial" w:cs="Arial" w:eastAsia="Arial" w:hAnsi="Arial"/>
                <w:sz w:val="22"/>
                <w:szCs w:val="22"/>
                <w:color w:val="auto"/>
              </w:rPr>
              <w:t>Accelerated depreciation</w:t>
            </w:r>
          </w:p>
        </w:tc>
        <w:tc>
          <w:tcPr>
            <w:tcW w:w="2300" w:type="dxa"/>
            <w:vAlign w:val="bottom"/>
            <w:gridSpan w:val="2"/>
          </w:tcPr>
          <w:p>
            <w:pPr>
              <w:ind w:left="380"/>
              <w:spacing w:after="0"/>
              <w:rPr>
                <w:sz w:val="20"/>
                <w:szCs w:val="20"/>
                <w:color w:val="auto"/>
              </w:rPr>
            </w:pPr>
            <w:r>
              <w:rPr>
                <w:rFonts w:ascii="Arial" w:cs="Arial" w:eastAsia="Arial" w:hAnsi="Arial"/>
                <w:sz w:val="22"/>
                <w:szCs w:val="22"/>
                <w:color w:val="auto"/>
              </w:rPr>
              <w:t>5 years</w:t>
            </w:r>
          </w:p>
        </w:tc>
      </w:tr>
    </w:tbl>
    <w:p>
      <w:pPr>
        <w:spacing w:after="0" w:line="266"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The Company assumes no salvage value on its computation of depreciation.</w:t>
      </w:r>
    </w:p>
    <w:p>
      <w:pPr>
        <w:spacing w:after="0" w:line="260" w:lineRule="exact"/>
        <w:rPr>
          <w:sz w:val="20"/>
          <w:szCs w:val="20"/>
          <w:color w:val="auto"/>
        </w:rPr>
      </w:pPr>
    </w:p>
    <w:p>
      <w:pPr>
        <w:jc w:val="both"/>
        <w:ind w:left="1160"/>
        <w:spacing w:after="0" w:line="253" w:lineRule="auto"/>
        <w:rPr>
          <w:sz w:val="20"/>
          <w:szCs w:val="20"/>
          <w:color w:val="auto"/>
        </w:rPr>
      </w:pPr>
      <w:r>
        <w:rPr>
          <w:rFonts w:ascii="Arial" w:cs="Arial" w:eastAsia="Arial" w:hAnsi="Arial"/>
          <w:sz w:val="22"/>
          <w:szCs w:val="22"/>
          <w:color w:val="auto"/>
        </w:rPr>
        <w:t>The Company's policy is to review the estimated useful lives of fixed assets on an annual basis. Upon retirement or disposal of property, plant and equipment, the cost and related accumulated depreciation are removed from the accounts and any resulting gain or loss is recognized in cost of sales.</w:t>
      </w:r>
    </w:p>
    <w:p>
      <w:pPr>
        <w:spacing w:after="0" w:line="226" w:lineRule="exact"/>
        <w:rPr>
          <w:sz w:val="20"/>
          <w:szCs w:val="20"/>
          <w:color w:val="auto"/>
        </w:rPr>
      </w:pPr>
    </w:p>
    <w:p>
      <w:pPr>
        <w:ind w:left="1200" w:hanging="571"/>
        <w:spacing w:after="0"/>
        <w:tabs>
          <w:tab w:leader="none" w:pos="1200" w:val="left"/>
        </w:tabs>
        <w:numPr>
          <w:ilvl w:val="0"/>
          <w:numId w:val="5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Intangible assets</w:t>
      </w:r>
    </w:p>
    <w:p>
      <w:pPr>
        <w:spacing w:after="0" w:line="260" w:lineRule="exact"/>
        <w:rPr>
          <w:sz w:val="20"/>
          <w:szCs w:val="20"/>
          <w:color w:val="auto"/>
        </w:rPr>
      </w:pPr>
    </w:p>
    <w:p>
      <w:pPr>
        <w:jc w:val="both"/>
        <w:ind w:left="1160"/>
        <w:spacing w:after="0" w:line="253" w:lineRule="auto"/>
        <w:rPr>
          <w:sz w:val="20"/>
          <w:szCs w:val="20"/>
          <w:color w:val="auto"/>
        </w:rPr>
      </w:pPr>
      <w:r>
        <w:rPr>
          <w:rFonts w:ascii="Arial" w:cs="Arial" w:eastAsia="Arial" w:hAnsi="Arial"/>
          <w:sz w:val="22"/>
          <w:szCs w:val="22"/>
          <w:color w:val="auto"/>
        </w:rPr>
        <w:t>Intangible assets include technology licenses and are amortized on a straight-line basis over the shorter of the life of license or the planned life-cycle of the vehicles or products associated with the license, ranging from three to ten years.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125" w:right="239" w:bottom="1440" w:gutter="0" w:footer="0" w:header="0"/>
        </w:sectPr>
      </w:pPr>
    </w:p>
    <w:bookmarkStart w:id="153" w:name="page154"/>
    <w:bookmarkEnd w:id="153"/>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sz w:val="20"/>
          <w:szCs w:val="20"/>
          <w:color w:val="auto"/>
        </w:rPr>
      </w:pPr>
    </w:p>
    <w:p>
      <w:pPr>
        <w:ind w:left="1200" w:hanging="571"/>
        <w:spacing w:after="0"/>
        <w:tabs>
          <w:tab w:leader="none" w:pos="1200" w:val="left"/>
        </w:tabs>
        <w:numPr>
          <w:ilvl w:val="0"/>
          <w:numId w:val="5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Impairment of long-lived assets</w:t>
      </w:r>
    </w:p>
    <w:p>
      <w:pPr>
        <w:spacing w:after="0" w:line="260" w:lineRule="exact"/>
        <w:rPr>
          <w:sz w:val="20"/>
          <w:szCs w:val="20"/>
          <w:color w:val="auto"/>
        </w:rPr>
      </w:pPr>
    </w:p>
    <w:p>
      <w:pPr>
        <w:jc w:val="both"/>
        <w:ind w:left="1160"/>
        <w:spacing w:after="0" w:line="292" w:lineRule="auto"/>
        <w:rPr>
          <w:sz w:val="20"/>
          <w:szCs w:val="20"/>
          <w:color w:val="auto"/>
        </w:rPr>
      </w:pPr>
      <w:r>
        <w:rPr>
          <w:rFonts w:ascii="Arial" w:cs="Arial" w:eastAsia="Arial" w:hAnsi="Arial"/>
          <w:sz w:val="19"/>
          <w:szCs w:val="19"/>
          <w:color w:val="auto"/>
        </w:rPr>
        <w:t>Long-lived assets and intangible assets subject to amortization are reviewed for impairment whenever events or changes in circumstances indicate that the carrying amount of an asset may not be recoverable. When events and circumstances warrant, the Company evaluates the carrying value of long-lived assets to be held and used in the business, other than goodwill. If the carrying value of a long-lived asset group is considered impaired, a loss is recognized based on the amount by which the carrying value exceeds the fair value for assets to be held and used. Fair value is determined primarily using the anticipated cash flows discounted at a rate commensurate with the risk involved. Long-lived assets to be disposed of other than by sale are considered held for use until disposition.</w:t>
      </w:r>
    </w:p>
    <w:p>
      <w:pPr>
        <w:spacing w:after="0" w:line="192" w:lineRule="exact"/>
        <w:rPr>
          <w:sz w:val="20"/>
          <w:szCs w:val="20"/>
          <w:color w:val="auto"/>
        </w:rPr>
      </w:pPr>
    </w:p>
    <w:p>
      <w:pPr>
        <w:ind w:left="1200" w:hanging="571"/>
        <w:spacing w:after="0"/>
        <w:tabs>
          <w:tab w:leader="none" w:pos="1200" w:val="left"/>
        </w:tabs>
        <w:numPr>
          <w:ilvl w:val="0"/>
          <w:numId w:val="5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Goodwill</w:t>
      </w:r>
    </w:p>
    <w:p>
      <w:pPr>
        <w:spacing w:after="0" w:line="260" w:lineRule="exact"/>
        <w:rPr>
          <w:sz w:val="20"/>
          <w:szCs w:val="20"/>
          <w:color w:val="auto"/>
        </w:rPr>
      </w:pPr>
    </w:p>
    <w:p>
      <w:pPr>
        <w:jc w:val="both"/>
        <w:ind w:left="1160"/>
        <w:spacing w:after="0" w:line="286" w:lineRule="auto"/>
        <w:rPr>
          <w:sz w:val="20"/>
          <w:szCs w:val="20"/>
          <w:color w:val="auto"/>
        </w:rPr>
      </w:pPr>
      <w:r>
        <w:rPr>
          <w:rFonts w:ascii="Arial" w:cs="Arial" w:eastAsia="Arial" w:hAnsi="Arial"/>
          <w:sz w:val="19"/>
          <w:szCs w:val="19"/>
          <w:color w:val="auto"/>
        </w:rPr>
        <w:t>Goodwill represents the excess of the cost of an acquisition over the fair value of net assets acquired. Goodwill and intangible assets acquired in a business combination that are determined to have an indefinite useful life are not amortized, but instead tested for impairment at least annually. The Company completes a two-step goodwill impairment test, at the same time every year, and when an event occurs or circumstances change such that it is reasonably possible that impairment may exist. The first step of the impairment test requires the identification of our reporting units and comparison of the fair value of each of these reporting units to their respective carrying value. The fair values of the reporting units are determined based on valuation techniques using the best information that is available, such as discounted cash flow projections. If the carrying value is less than the fair value, no impairment exists and the second step is not performed. If the carrying value is higher than the fair value, there is an indication that impairment may exist and the second step must be performed to compute the amount of the impairment. In the second step, the impairment is computed by estimating the fair values of all recognized and unrecognized assets and liabilities of the reporting unit and comparing the implied fair value of the reporting unit's goodwill with the carrying amount of that unit's goodwill. The annual impairment tests are performed in the fourth quarter of each year.</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No impairments were recognized in the years ended December 31, 2015, 2014 and 2013.</w:t>
      </w:r>
    </w:p>
    <w:p>
      <w:pPr>
        <w:spacing w:after="0" w:line="260" w:lineRule="exact"/>
        <w:rPr>
          <w:sz w:val="20"/>
          <w:szCs w:val="20"/>
          <w:color w:val="auto"/>
        </w:rPr>
      </w:pPr>
    </w:p>
    <w:p>
      <w:pPr>
        <w:ind w:left="1200" w:hanging="571"/>
        <w:spacing w:after="0"/>
        <w:tabs>
          <w:tab w:leader="none" w:pos="1200" w:val="left"/>
        </w:tabs>
        <w:numPr>
          <w:ilvl w:val="0"/>
          <w:numId w:val="5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Prepaid land use rights</w:t>
      </w:r>
    </w:p>
    <w:p>
      <w:pPr>
        <w:spacing w:after="0" w:line="260" w:lineRule="exact"/>
        <w:rPr>
          <w:sz w:val="20"/>
          <w:szCs w:val="20"/>
          <w:color w:val="auto"/>
        </w:rPr>
      </w:pPr>
    </w:p>
    <w:p>
      <w:pPr>
        <w:jc w:val="both"/>
        <w:ind w:left="1160"/>
        <w:spacing w:after="0" w:line="253" w:lineRule="auto"/>
        <w:rPr>
          <w:sz w:val="20"/>
          <w:szCs w:val="20"/>
          <w:color w:val="auto"/>
        </w:rPr>
      </w:pPr>
      <w:r>
        <w:rPr>
          <w:rFonts w:ascii="Arial" w:cs="Arial" w:eastAsia="Arial" w:hAnsi="Arial"/>
          <w:sz w:val="22"/>
          <w:szCs w:val="22"/>
          <w:color w:val="auto"/>
        </w:rPr>
        <w:t>All land in China is owned by the government, who, according to the laws, may sell the right to use the land for a specified period of time. Prepaid land use rights are amortized on a straight-line method over the effective period of land use rights.</w:t>
      </w:r>
    </w:p>
    <w:p>
      <w:pPr>
        <w:spacing w:after="0" w:line="226" w:lineRule="exact"/>
        <w:rPr>
          <w:sz w:val="20"/>
          <w:szCs w:val="20"/>
          <w:color w:val="auto"/>
        </w:rPr>
      </w:pPr>
    </w:p>
    <w:p>
      <w:pPr>
        <w:ind w:left="1200" w:hanging="571"/>
        <w:spacing w:after="0"/>
        <w:tabs>
          <w:tab w:leader="none" w:pos="1200" w:val="left"/>
        </w:tabs>
        <w:numPr>
          <w:ilvl w:val="0"/>
          <w:numId w:val="5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Revenue recognition</w:t>
      </w:r>
    </w:p>
    <w:p>
      <w:pPr>
        <w:spacing w:after="0" w:line="260" w:lineRule="exact"/>
        <w:rPr>
          <w:sz w:val="20"/>
          <w:szCs w:val="20"/>
          <w:color w:val="auto"/>
        </w:rPr>
      </w:pPr>
    </w:p>
    <w:p>
      <w:pPr>
        <w:ind w:left="1160" w:right="20"/>
        <w:spacing w:after="0" w:line="263" w:lineRule="auto"/>
        <w:rPr>
          <w:sz w:val="20"/>
          <w:szCs w:val="20"/>
          <w:color w:val="auto"/>
        </w:rPr>
      </w:pPr>
      <w:r>
        <w:rPr>
          <w:rFonts w:ascii="Arial" w:cs="Arial" w:eastAsia="Arial" w:hAnsi="Arial"/>
          <w:sz w:val="22"/>
          <w:szCs w:val="22"/>
          <w:color w:val="auto"/>
        </w:rPr>
        <w:t>Automotive sales consist primarily of revenue generated from the sale of vehicles. Vehicle sales are recorded when title and risks and rewards of ownership have passed to our customers.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126" w:right="239" w:bottom="1440" w:gutter="0" w:footer="0" w:header="0"/>
        </w:sectPr>
      </w:pPr>
    </w:p>
    <w:bookmarkStart w:id="154" w:name="page155"/>
    <w:bookmarkEnd w:id="154"/>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rFonts w:ascii="Arial" w:cs="Arial" w:eastAsia="Arial" w:hAnsi="Arial"/>
          <w:sz w:val="22"/>
          <w:szCs w:val="22"/>
          <w:color w:val="auto"/>
        </w:rPr>
      </w:pPr>
    </w:p>
    <w:p>
      <w:pPr>
        <w:ind w:left="1200" w:hanging="571"/>
        <w:spacing w:after="0"/>
        <w:tabs>
          <w:tab w:leader="none" w:pos="1200" w:val="left"/>
        </w:tabs>
        <w:numPr>
          <w:ilvl w:val="1"/>
          <w:numId w:val="6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Sales and Sales-Related Taxes</w:t>
      </w:r>
    </w:p>
    <w:p>
      <w:pPr>
        <w:spacing w:after="0" w:line="260" w:lineRule="exact"/>
        <w:rPr>
          <w:sz w:val="20"/>
          <w:szCs w:val="20"/>
          <w:color w:val="auto"/>
        </w:rPr>
      </w:pPr>
    </w:p>
    <w:p>
      <w:pPr>
        <w:jc w:val="both"/>
        <w:ind w:left="1160"/>
        <w:spacing w:after="0" w:line="292" w:lineRule="auto"/>
        <w:rPr>
          <w:sz w:val="20"/>
          <w:szCs w:val="20"/>
          <w:color w:val="auto"/>
        </w:rPr>
      </w:pPr>
      <w:r>
        <w:rPr>
          <w:rFonts w:ascii="Arial" w:cs="Arial" w:eastAsia="Arial" w:hAnsi="Arial"/>
          <w:sz w:val="19"/>
          <w:szCs w:val="19"/>
          <w:color w:val="auto"/>
        </w:rPr>
        <w:t>The Company collects and remits taxes assessed by different governmental authorities that are both imposed on and concurrent with a revenue-producing transaction between the Company and its customers. These taxes mainly include the consumption taxes of RMB 8,986,941,822, RMB 9,450,509,601 and RMB 8,625,001,651 for the years ended December 31, 2015, 2014 and 2013, respectively. Effective January 1, 2015, we changed our accounting policy to present revenue on a net basis (excluding consumption taxes from revenues) in the consolidated statements of income. We believe this accounting policy is preferable because it is a better presentation of the Company’s revenue. We have retroactively applied this change in accounting policy to all prior period amounts.</w:t>
      </w:r>
    </w:p>
    <w:p>
      <w:pPr>
        <w:spacing w:after="0" w:line="192" w:lineRule="exact"/>
        <w:rPr>
          <w:sz w:val="20"/>
          <w:szCs w:val="20"/>
          <w:color w:val="auto"/>
        </w:rPr>
      </w:pPr>
    </w:p>
    <w:p>
      <w:pPr>
        <w:ind w:left="1200" w:hanging="571"/>
        <w:spacing w:after="0"/>
        <w:tabs>
          <w:tab w:leader="none" w:pos="1200" w:val="left"/>
        </w:tabs>
        <w:numPr>
          <w:ilvl w:val="0"/>
          <w:numId w:val="6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Research and development costs</w:t>
      </w:r>
    </w:p>
    <w:p>
      <w:pPr>
        <w:spacing w:after="0" w:line="260" w:lineRule="exact"/>
        <w:rPr>
          <w:sz w:val="20"/>
          <w:szCs w:val="20"/>
          <w:color w:val="auto"/>
        </w:rPr>
      </w:pPr>
    </w:p>
    <w:p>
      <w:pPr>
        <w:jc w:val="both"/>
        <w:ind w:left="1160"/>
        <w:spacing w:after="0" w:line="250" w:lineRule="auto"/>
        <w:rPr>
          <w:sz w:val="20"/>
          <w:szCs w:val="20"/>
          <w:color w:val="auto"/>
        </w:rPr>
      </w:pPr>
      <w:r>
        <w:rPr>
          <w:rFonts w:ascii="Arial" w:cs="Arial" w:eastAsia="Arial" w:hAnsi="Arial"/>
          <w:sz w:val="22"/>
          <w:szCs w:val="22"/>
          <w:color w:val="auto"/>
        </w:rPr>
        <w:t>Research and development costs are expensed when incurred. Expenditures for research activities relating to product development and improvement are charged to expense as incurred. Such expenditures amounted to RMB 3,771,754,277, RMB 3,442,856,072 and RMB 3,270,150,001 for the years ended December 31, 2015, 2014 and 2013, respectively.</w:t>
      </w:r>
    </w:p>
    <w:p>
      <w:pPr>
        <w:spacing w:after="0" w:line="229" w:lineRule="exact"/>
        <w:rPr>
          <w:sz w:val="20"/>
          <w:szCs w:val="20"/>
          <w:color w:val="auto"/>
        </w:rPr>
      </w:pPr>
    </w:p>
    <w:p>
      <w:pPr>
        <w:ind w:left="1200" w:hanging="571"/>
        <w:spacing w:after="0"/>
        <w:tabs>
          <w:tab w:leader="none" w:pos="1200" w:val="left"/>
        </w:tabs>
        <w:numPr>
          <w:ilvl w:val="0"/>
          <w:numId w:val="6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Government grants</w:t>
      </w:r>
    </w:p>
    <w:p>
      <w:pPr>
        <w:spacing w:after="0" w:line="260" w:lineRule="exact"/>
        <w:rPr>
          <w:sz w:val="20"/>
          <w:szCs w:val="20"/>
          <w:color w:val="auto"/>
        </w:rPr>
      </w:pPr>
    </w:p>
    <w:p>
      <w:pPr>
        <w:jc w:val="both"/>
        <w:ind w:left="1160"/>
        <w:spacing w:after="0" w:line="247" w:lineRule="auto"/>
        <w:rPr>
          <w:sz w:val="20"/>
          <w:szCs w:val="20"/>
          <w:color w:val="auto"/>
        </w:rPr>
      </w:pPr>
      <w:r>
        <w:rPr>
          <w:rFonts w:ascii="Arial" w:cs="Arial" w:eastAsia="Arial" w:hAnsi="Arial"/>
          <w:sz w:val="22"/>
          <w:szCs w:val="22"/>
          <w:color w:val="auto"/>
        </w:rPr>
        <w:t>The Company receives grants from the government mainly to support infrastructure construction and capital expenditures. Such grants are deferred and are generally refundable to the extent the Company does not utilize the funds for qualifying expenditures. Once earned, the Company records the grants as a contra amount to the assets and amortizes such amount over the useful lives of the related assets as a reduction to depreciation expense. For grants received not relating to infrastructure construction and capital expenditures, they are recorded as a reduction of expenses according to the nature.</w:t>
      </w:r>
    </w:p>
    <w:p>
      <w:pPr>
        <w:spacing w:after="0" w:line="234" w:lineRule="exact"/>
        <w:rPr>
          <w:sz w:val="20"/>
          <w:szCs w:val="20"/>
          <w:color w:val="auto"/>
        </w:rPr>
      </w:pPr>
    </w:p>
    <w:p>
      <w:pPr>
        <w:ind w:left="1200" w:hanging="571"/>
        <w:spacing w:after="0"/>
        <w:tabs>
          <w:tab w:leader="none" w:pos="1200" w:val="left"/>
        </w:tabs>
        <w:numPr>
          <w:ilvl w:val="0"/>
          <w:numId w:val="6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Income taxes</w:t>
      </w:r>
    </w:p>
    <w:p>
      <w:pPr>
        <w:spacing w:after="0" w:line="260" w:lineRule="exact"/>
        <w:rPr>
          <w:sz w:val="20"/>
          <w:szCs w:val="20"/>
          <w:color w:val="auto"/>
        </w:rPr>
      </w:pPr>
    </w:p>
    <w:p>
      <w:pPr>
        <w:jc w:val="both"/>
        <w:ind w:left="1160"/>
        <w:spacing w:after="0" w:line="294" w:lineRule="auto"/>
        <w:rPr>
          <w:sz w:val="20"/>
          <w:szCs w:val="20"/>
          <w:color w:val="auto"/>
        </w:rPr>
      </w:pPr>
      <w:r>
        <w:rPr>
          <w:rFonts w:ascii="Arial" w:cs="Arial" w:eastAsia="Arial" w:hAnsi="Arial"/>
          <w:sz w:val="19"/>
          <w:szCs w:val="19"/>
          <w:color w:val="auto"/>
        </w:rPr>
        <w:t>The Company uses the asset and liability method in accounting for income taxes. 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A valuation allowance is recorded to reduce the carrying amounts of deferred tax assets unless it is more likely than not that such asset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126" w:right="239" w:bottom="1440" w:gutter="0" w:footer="0" w:header="0"/>
        </w:sectPr>
      </w:pPr>
    </w:p>
    <w:bookmarkStart w:id="155" w:name="page156"/>
    <w:bookmarkEnd w:id="155"/>
    <w:p>
      <w:pPr>
        <w:jc w:val="center"/>
        <w:ind w:right="8"/>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52" w:hanging="652"/>
        <w:spacing w:after="0"/>
        <w:tabs>
          <w:tab w:leader="none" w:pos="652"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rFonts w:ascii="Arial" w:cs="Arial" w:eastAsia="Arial" w:hAnsi="Arial"/>
          <w:sz w:val="22"/>
          <w:szCs w:val="22"/>
          <w:color w:val="auto"/>
        </w:rPr>
      </w:pPr>
    </w:p>
    <w:p>
      <w:pPr>
        <w:ind w:left="1192" w:hanging="571"/>
        <w:spacing w:after="0"/>
        <w:tabs>
          <w:tab w:leader="none" w:pos="1192" w:val="left"/>
        </w:tabs>
        <w:numPr>
          <w:ilvl w:val="1"/>
          <w:numId w:val="6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Restricted reserves</w:t>
      </w:r>
    </w:p>
    <w:p>
      <w:pPr>
        <w:spacing w:after="0" w:line="260" w:lineRule="exact"/>
        <w:rPr>
          <w:sz w:val="20"/>
          <w:szCs w:val="20"/>
          <w:color w:val="auto"/>
        </w:rPr>
      </w:pPr>
    </w:p>
    <w:p>
      <w:pPr>
        <w:jc w:val="both"/>
        <w:ind w:left="1152"/>
        <w:spacing w:after="0" w:line="287" w:lineRule="auto"/>
        <w:rPr>
          <w:sz w:val="20"/>
          <w:szCs w:val="20"/>
          <w:color w:val="auto"/>
        </w:rPr>
      </w:pPr>
      <w:r>
        <w:rPr>
          <w:rFonts w:ascii="Arial" w:cs="Arial" w:eastAsia="Arial" w:hAnsi="Arial"/>
          <w:sz w:val="19"/>
          <w:szCs w:val="19"/>
          <w:color w:val="auto"/>
        </w:rPr>
        <w:t>Pursuant to laws applicable to entities incorporated in the PRC, the Company and its subsidiaries must make appropriations from after-tax profit to a surplus reserve fund, enterprise expansion fund and staff welfare fund. The amount allocated to each of these funds is at the discretion of the Company’s board of directors. For the year ended December 31, 2015, appropriation of 0.5%, 0.5% and 1% of after-tax profit has been made to surplus reserve fund, enterprise expansion fund and staff welfare fund, respectively (2014 and 2013: 1% for each fund). The surplus reserve fund can only be used to increase the registered capital and eliminate future losses of the respective companies under PRC regulations. The enterprise expansion fund was RMB 1,479,953,772 and RMB 1,378,164,717 as of December 31, 2015 and 2014 respectively, and the surplus reserve fund was RMB 1,489,279,845 and RMB 1,387,490,790 as of December 31, 2015 and 2014 respectively. During the years ended December 31, 2015, 2014 and 2013, the Company contributed RMB 234,557,894, RMB 206,506,851 and RMB 163,148,647 to the staff welfare fund, all of which was recorded in general and administrative expenses. In addition, due to the restrictions on the distribution of statutory capital from the Company, statutory capital of RMB8,802,006,138 at December 31, 2015 and 2014 is considered restricted.</w:t>
      </w:r>
    </w:p>
    <w:p>
      <w:pPr>
        <w:spacing w:after="0" w:line="200" w:lineRule="exact"/>
        <w:rPr>
          <w:sz w:val="20"/>
          <w:szCs w:val="20"/>
          <w:color w:val="auto"/>
        </w:rPr>
      </w:pPr>
    </w:p>
    <w:p>
      <w:pPr>
        <w:spacing w:after="0" w:line="257" w:lineRule="exact"/>
        <w:rPr>
          <w:sz w:val="20"/>
          <w:szCs w:val="20"/>
          <w:color w:val="auto"/>
        </w:rPr>
      </w:pPr>
    </w:p>
    <w:p>
      <w:pPr>
        <w:ind w:left="1192" w:hanging="571"/>
        <w:spacing w:after="0"/>
        <w:tabs>
          <w:tab w:leader="none" w:pos="1192" w:val="left"/>
        </w:tabs>
        <w:numPr>
          <w:ilvl w:val="0"/>
          <w:numId w:val="6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Concentration of credit risk</w:t>
      </w:r>
    </w:p>
    <w:p>
      <w:pPr>
        <w:spacing w:after="0" w:line="260" w:lineRule="exact"/>
        <w:rPr>
          <w:sz w:val="20"/>
          <w:szCs w:val="20"/>
          <w:color w:val="auto"/>
        </w:rPr>
      </w:pPr>
    </w:p>
    <w:p>
      <w:pPr>
        <w:ind w:left="1152" w:right="20"/>
        <w:spacing w:after="0" w:line="263" w:lineRule="auto"/>
        <w:rPr>
          <w:sz w:val="20"/>
          <w:szCs w:val="20"/>
          <w:color w:val="auto"/>
        </w:rPr>
      </w:pPr>
      <w:r>
        <w:rPr>
          <w:rFonts w:ascii="Arial" w:cs="Arial" w:eastAsia="Arial" w:hAnsi="Arial"/>
          <w:sz w:val="22"/>
          <w:szCs w:val="22"/>
          <w:color w:val="auto"/>
        </w:rPr>
        <w:t>Financial instruments that potentially expose the Company to concentrations of credit risk consist primarily of cash and cash equivalents and accounts receivable.</w:t>
      </w:r>
    </w:p>
    <w:p>
      <w:pPr>
        <w:spacing w:after="0" w:line="215" w:lineRule="exact"/>
        <w:rPr>
          <w:sz w:val="20"/>
          <w:szCs w:val="20"/>
          <w:color w:val="auto"/>
        </w:rPr>
      </w:pPr>
    </w:p>
    <w:p>
      <w:pPr>
        <w:ind w:left="1152"/>
        <w:spacing w:after="0"/>
        <w:rPr>
          <w:sz w:val="20"/>
          <w:szCs w:val="20"/>
          <w:color w:val="auto"/>
        </w:rPr>
      </w:pPr>
      <w:r>
        <w:rPr>
          <w:rFonts w:ascii="Arial" w:cs="Arial" w:eastAsia="Arial" w:hAnsi="Arial"/>
          <w:sz w:val="21"/>
          <w:szCs w:val="21"/>
          <w:color w:val="auto"/>
        </w:rPr>
        <w:t>The Company places cash and cash equivalents with financial institutions with high credit ratings and quality.</w:t>
      </w:r>
    </w:p>
    <w:p>
      <w:pPr>
        <w:spacing w:after="0" w:line="272" w:lineRule="exact"/>
        <w:rPr>
          <w:sz w:val="20"/>
          <w:szCs w:val="20"/>
          <w:color w:val="auto"/>
        </w:rPr>
      </w:pPr>
    </w:p>
    <w:p>
      <w:pPr>
        <w:ind w:left="1152"/>
        <w:spacing w:after="0" w:line="287" w:lineRule="auto"/>
        <w:rPr>
          <w:sz w:val="20"/>
          <w:szCs w:val="20"/>
          <w:color w:val="auto"/>
        </w:rPr>
      </w:pPr>
      <w:r>
        <w:rPr>
          <w:rFonts w:ascii="Arial" w:cs="Arial" w:eastAsia="Arial" w:hAnsi="Arial"/>
          <w:sz w:val="21"/>
          <w:szCs w:val="21"/>
          <w:color w:val="auto"/>
        </w:rPr>
        <w:t>The Company conducts credit evaluations of customers and generally does not require collateral or other security from the customers. The Company has no significant credit risk associated with accounts receivable.</w:t>
      </w:r>
    </w:p>
    <w:p>
      <w:pPr>
        <w:spacing w:after="0" w:line="192" w:lineRule="exact"/>
        <w:rPr>
          <w:sz w:val="20"/>
          <w:szCs w:val="20"/>
          <w:color w:val="auto"/>
        </w:rPr>
      </w:pPr>
    </w:p>
    <w:p>
      <w:pPr>
        <w:ind w:left="1192" w:hanging="571"/>
        <w:spacing w:after="0"/>
        <w:tabs>
          <w:tab w:leader="none" w:pos="1192" w:val="left"/>
        </w:tabs>
        <w:numPr>
          <w:ilvl w:val="0"/>
          <w:numId w:val="6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Recently issued accounting standards</w:t>
      </w:r>
    </w:p>
    <w:p>
      <w:pPr>
        <w:spacing w:after="0" w:line="260" w:lineRule="exact"/>
        <w:rPr>
          <w:sz w:val="20"/>
          <w:szCs w:val="20"/>
          <w:color w:val="auto"/>
        </w:rPr>
      </w:pPr>
    </w:p>
    <w:p>
      <w:pPr>
        <w:jc w:val="both"/>
        <w:ind w:left="1152"/>
        <w:spacing w:after="0" w:line="250" w:lineRule="auto"/>
        <w:rPr>
          <w:sz w:val="20"/>
          <w:szCs w:val="20"/>
          <w:color w:val="auto"/>
        </w:rPr>
      </w:pPr>
      <w:r>
        <w:rPr>
          <w:rFonts w:ascii="Arial" w:cs="Arial" w:eastAsia="Arial" w:hAnsi="Arial"/>
          <w:sz w:val="22"/>
          <w:szCs w:val="22"/>
          <w:color w:val="auto"/>
        </w:rPr>
        <w:t>In 2015 we adopted ASU 2015-02, “Amendments to the Consolidation Analysis” (ASU 2015-02), which is effective for annual reporting periods beginning on or after December 15, 2015, with early adoption permitted. ASU 2015-02 requires us to reassess whether certain entities should be consolidated. The adoption of ASU 2015-02 did not have a material impact on our consolidated financial statements.</w:t>
      </w:r>
    </w:p>
    <w:p>
      <w:pPr>
        <w:spacing w:after="0" w:line="200" w:lineRule="exact"/>
        <w:rPr>
          <w:sz w:val="20"/>
          <w:szCs w:val="20"/>
          <w:color w:val="auto"/>
        </w:rPr>
      </w:pPr>
    </w:p>
    <w:p>
      <w:pPr>
        <w:spacing w:after="0" w:line="266" w:lineRule="exact"/>
        <w:rPr>
          <w:sz w:val="20"/>
          <w:szCs w:val="20"/>
          <w:color w:val="auto"/>
        </w:rPr>
      </w:pPr>
    </w:p>
    <w:p>
      <w:pPr>
        <w:ind w:left="11032"/>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412"/>
          </w:cols>
          <w:pgMar w:left="248" w:top="126" w:right="239" w:bottom="1440" w:gutter="0" w:footer="0" w:header="0"/>
        </w:sectPr>
      </w:pPr>
    </w:p>
    <w:bookmarkStart w:id="156" w:name="page157"/>
    <w:bookmarkEnd w:id="156"/>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rFonts w:ascii="Arial" w:cs="Arial" w:eastAsia="Arial" w:hAnsi="Arial"/>
          <w:sz w:val="22"/>
          <w:szCs w:val="22"/>
          <w:color w:val="auto"/>
        </w:rPr>
      </w:pPr>
    </w:p>
    <w:p>
      <w:pPr>
        <w:ind w:left="1200" w:hanging="571"/>
        <w:spacing w:after="0"/>
        <w:tabs>
          <w:tab w:leader="none" w:pos="1200" w:val="left"/>
        </w:tabs>
        <w:numPr>
          <w:ilvl w:val="1"/>
          <w:numId w:val="6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Accounting Standards Not Yet Adopted</w:t>
      </w:r>
    </w:p>
    <w:p>
      <w:pPr>
        <w:spacing w:after="0" w:line="260" w:lineRule="exact"/>
        <w:rPr>
          <w:sz w:val="20"/>
          <w:szCs w:val="20"/>
          <w:color w:val="auto"/>
        </w:rPr>
      </w:pPr>
    </w:p>
    <w:p>
      <w:pPr>
        <w:jc w:val="both"/>
        <w:ind w:left="1160"/>
        <w:spacing w:after="0" w:line="261" w:lineRule="auto"/>
        <w:rPr>
          <w:sz w:val="20"/>
          <w:szCs w:val="20"/>
          <w:color w:val="auto"/>
        </w:rPr>
      </w:pPr>
      <w:r>
        <w:rPr>
          <w:rFonts w:ascii="Arial" w:cs="Arial" w:eastAsia="Arial" w:hAnsi="Arial"/>
          <w:sz w:val="21"/>
          <w:szCs w:val="21"/>
          <w:color w:val="auto"/>
        </w:rPr>
        <w:t>In November 2015 the Financial Accounting Standards Board (FASB) issued ASU 2015-17, “Balance Sheet Classification of Deferred Taxes” (ASU 2015-17), which changes how deferred taxes are classified on our balance sheets and is effective for financial statements issued for annual periods beginning after December 15, 2016, with early adoption allowed. ASU 2015-17 requires all deferred tax assets and liabilities to be classified as non-current. Upon adoption, we anticipate reclassifying deferred income taxes of approximately RMB 1,005 million currently classified primarily within total current assets to total non-current assets.</w:t>
      </w:r>
    </w:p>
    <w:p>
      <w:pPr>
        <w:spacing w:after="0" w:line="221" w:lineRule="exact"/>
        <w:rPr>
          <w:sz w:val="20"/>
          <w:szCs w:val="20"/>
          <w:color w:val="auto"/>
        </w:rPr>
      </w:pPr>
    </w:p>
    <w:p>
      <w:pPr>
        <w:jc w:val="both"/>
        <w:ind w:left="1160"/>
        <w:spacing w:after="0" w:line="289" w:lineRule="auto"/>
        <w:rPr>
          <w:sz w:val="20"/>
          <w:szCs w:val="20"/>
          <w:color w:val="auto"/>
        </w:rPr>
      </w:pPr>
      <w:r>
        <w:rPr>
          <w:rFonts w:ascii="Arial" w:cs="Arial" w:eastAsia="Arial" w:hAnsi="Arial"/>
          <w:sz w:val="19"/>
          <w:szCs w:val="19"/>
          <w:color w:val="auto"/>
        </w:rPr>
        <w:t>In May 2014 the FASB issued ASU 2014-09, “Revenue from Contracts with Customers” (ASU 2014-09), which requires us to recognize revenue when a customer obtains control rather than when companies have transferred substantially all risks and rewards of a good or service and requires expanded disclosures. ASU 2014-09 was originally effective for annual reporting periods beginning on or after December 15, 2016 and interim periods therein. In August 2015 the FASB issued ASU 2015-14 which defers the effective date of ASU 2014-09 one year making it effective for annual reporting periods beginning on or after December 15, 2017 while also providing for early adoption as of the original effective date. We anticipate that ASU 2014-09 will accelerate the timing of the recognition of certain sales incentives previously recognized upon program announcement pursuant to current guidance. We continue to assess the overall impact the adoption of ASU 2014-09 will have on our consolidated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200" w:type="dxa"/>
            <w:vAlign w:val="bottom"/>
          </w:tcPr>
          <w:p>
            <w:pPr>
              <w:spacing w:after="0"/>
              <w:rPr>
                <w:sz w:val="20"/>
                <w:szCs w:val="20"/>
                <w:color w:val="auto"/>
              </w:rPr>
            </w:pPr>
            <w:r>
              <w:rPr>
                <w:rFonts w:ascii="Arial" w:cs="Arial" w:eastAsia="Arial" w:hAnsi="Arial"/>
                <w:sz w:val="22"/>
                <w:szCs w:val="22"/>
                <w:color w:val="auto"/>
              </w:rPr>
              <w:t>2.  INVENTORIES</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513"/>
        </w:trPr>
        <w:tc>
          <w:tcPr>
            <w:tcW w:w="7200" w:type="dxa"/>
            <w:vAlign w:val="bottom"/>
          </w:tcPr>
          <w:p>
            <w:pPr>
              <w:ind w:left="620"/>
              <w:spacing w:after="0"/>
              <w:rPr>
                <w:sz w:val="20"/>
                <w:szCs w:val="20"/>
                <w:color w:val="auto"/>
              </w:rPr>
            </w:pPr>
            <w:r>
              <w:rPr>
                <w:rFonts w:ascii="Arial" w:cs="Arial" w:eastAsia="Arial" w:hAnsi="Arial"/>
                <w:sz w:val="22"/>
                <w:szCs w:val="22"/>
                <w:color w:val="auto"/>
                <w:w w:val="95"/>
              </w:rPr>
              <w:t>The following table summarizes the components of inventory (in RMB).</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6"/>
        </w:trPr>
        <w:tc>
          <w:tcPr>
            <w:tcW w:w="7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22"/>
                <w:szCs w:val="22"/>
                <w:color w:val="auto"/>
                <w:w w:val="93"/>
              </w:rPr>
              <w:t>Balance at December 31</w:t>
            </w:r>
          </w:p>
        </w:tc>
      </w:tr>
      <w:tr>
        <w:trPr>
          <w:trHeight w:val="230"/>
        </w:trPr>
        <w:tc>
          <w:tcPr>
            <w:tcW w:w="7200" w:type="dxa"/>
            <w:vAlign w:val="bottom"/>
          </w:tcPr>
          <w:p>
            <w:pPr>
              <w:spacing w:after="0"/>
              <w:rPr>
                <w:sz w:val="19"/>
                <w:szCs w:val="19"/>
                <w:color w:val="auto"/>
              </w:rPr>
            </w:pPr>
          </w:p>
        </w:tc>
        <w:tc>
          <w:tcPr>
            <w:tcW w:w="112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2015</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3"/>
          </w:tcPr>
          <w:p>
            <w:pPr>
              <w:jc w:val="right"/>
              <w:ind w:right="680"/>
              <w:spacing w:after="0" w:line="229" w:lineRule="exact"/>
              <w:rPr>
                <w:sz w:val="20"/>
                <w:szCs w:val="20"/>
                <w:color w:val="auto"/>
              </w:rPr>
            </w:pPr>
            <w:r>
              <w:rPr>
                <w:rFonts w:ascii="Arial" w:cs="Arial" w:eastAsia="Arial" w:hAnsi="Arial"/>
                <w:sz w:val="22"/>
                <w:szCs w:val="22"/>
                <w:color w:val="auto"/>
              </w:rPr>
              <w:t>2014</w:t>
            </w:r>
          </w:p>
        </w:tc>
      </w:tr>
      <w:tr>
        <w:trPr>
          <w:trHeight w:val="20"/>
        </w:trPr>
        <w:tc>
          <w:tcPr>
            <w:tcW w:w="7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52"/>
        </w:trPr>
        <w:tc>
          <w:tcPr>
            <w:tcW w:w="7200" w:type="dxa"/>
            <w:vAlign w:val="bottom"/>
          </w:tcPr>
          <w:p>
            <w:pPr>
              <w:ind w:left="440"/>
              <w:spacing w:after="0"/>
              <w:rPr>
                <w:sz w:val="20"/>
                <w:szCs w:val="20"/>
                <w:color w:val="auto"/>
              </w:rPr>
            </w:pPr>
            <w:r>
              <w:rPr>
                <w:rFonts w:ascii="Arial" w:cs="Arial" w:eastAsia="Arial" w:hAnsi="Arial"/>
                <w:sz w:val="22"/>
                <w:szCs w:val="22"/>
                <w:color w:val="auto"/>
              </w:rPr>
              <w:t>Productive material and supplies</w:t>
            </w:r>
          </w:p>
        </w:tc>
        <w:tc>
          <w:tcPr>
            <w:tcW w:w="1820" w:type="dxa"/>
            <w:vAlign w:val="bottom"/>
            <w:gridSpan w:val="3"/>
          </w:tcPr>
          <w:p>
            <w:pPr>
              <w:jc w:val="right"/>
              <w:ind w:right="120"/>
              <w:spacing w:after="0"/>
              <w:rPr>
                <w:sz w:val="20"/>
                <w:szCs w:val="20"/>
                <w:color w:val="auto"/>
              </w:rPr>
            </w:pPr>
            <w:r>
              <w:rPr>
                <w:rFonts w:ascii="Arial" w:cs="Arial" w:eastAsia="Arial" w:hAnsi="Arial"/>
                <w:sz w:val="22"/>
                <w:szCs w:val="22"/>
                <w:color w:val="auto"/>
              </w:rPr>
              <w:t>5,102,815,152</w:t>
            </w:r>
          </w:p>
        </w:tc>
        <w:tc>
          <w:tcPr>
            <w:tcW w:w="22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22"/>
                <w:szCs w:val="22"/>
                <w:color w:val="auto"/>
              </w:rPr>
              <w:t>4,969,637,350</w:t>
            </w:r>
          </w:p>
        </w:tc>
      </w:tr>
      <w:tr>
        <w:trPr>
          <w:trHeight w:val="297"/>
        </w:trPr>
        <w:tc>
          <w:tcPr>
            <w:tcW w:w="7200" w:type="dxa"/>
            <w:vAlign w:val="bottom"/>
          </w:tcPr>
          <w:p>
            <w:pPr>
              <w:ind w:left="440"/>
              <w:spacing w:after="0"/>
              <w:rPr>
                <w:sz w:val="20"/>
                <w:szCs w:val="20"/>
                <w:color w:val="auto"/>
              </w:rPr>
            </w:pPr>
            <w:r>
              <w:rPr>
                <w:rFonts w:ascii="Arial" w:cs="Arial" w:eastAsia="Arial" w:hAnsi="Arial"/>
                <w:sz w:val="22"/>
                <w:szCs w:val="22"/>
                <w:color w:val="auto"/>
              </w:rPr>
              <w:t>Work in process and semi-products</w:t>
            </w:r>
          </w:p>
        </w:tc>
        <w:tc>
          <w:tcPr>
            <w:tcW w:w="1820" w:type="dxa"/>
            <w:vAlign w:val="bottom"/>
            <w:gridSpan w:val="3"/>
          </w:tcPr>
          <w:p>
            <w:pPr>
              <w:jc w:val="right"/>
              <w:ind w:right="120"/>
              <w:spacing w:after="0"/>
              <w:rPr>
                <w:sz w:val="20"/>
                <w:szCs w:val="20"/>
                <w:color w:val="auto"/>
              </w:rPr>
            </w:pPr>
            <w:r>
              <w:rPr>
                <w:rFonts w:ascii="Arial" w:cs="Arial" w:eastAsia="Arial" w:hAnsi="Arial"/>
                <w:sz w:val="22"/>
                <w:szCs w:val="22"/>
                <w:color w:val="auto"/>
              </w:rPr>
              <w:t>543,062,743</w:t>
            </w:r>
          </w:p>
        </w:tc>
        <w:tc>
          <w:tcPr>
            <w:tcW w:w="22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22"/>
                <w:szCs w:val="22"/>
                <w:color w:val="auto"/>
              </w:rPr>
              <w:t>294,188,707</w:t>
            </w:r>
          </w:p>
        </w:tc>
      </w:tr>
      <w:tr>
        <w:trPr>
          <w:trHeight w:val="308"/>
        </w:trPr>
        <w:tc>
          <w:tcPr>
            <w:tcW w:w="7200" w:type="dxa"/>
            <w:vAlign w:val="bottom"/>
          </w:tcPr>
          <w:p>
            <w:pPr>
              <w:ind w:left="440"/>
              <w:spacing w:after="0"/>
              <w:rPr>
                <w:sz w:val="20"/>
                <w:szCs w:val="20"/>
                <w:color w:val="auto"/>
              </w:rPr>
            </w:pPr>
            <w:r>
              <w:rPr>
                <w:rFonts w:ascii="Arial" w:cs="Arial" w:eastAsia="Arial" w:hAnsi="Arial"/>
                <w:sz w:val="22"/>
                <w:szCs w:val="22"/>
                <w:color w:val="auto"/>
              </w:rPr>
              <w:t>Finished product, including service parts</w:t>
            </w: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122,025,733</w:t>
            </w:r>
          </w:p>
        </w:tc>
        <w:tc>
          <w:tcPr>
            <w:tcW w:w="22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513,984,879</w:t>
            </w:r>
          </w:p>
        </w:tc>
      </w:tr>
      <w:tr>
        <w:trPr>
          <w:trHeight w:val="619"/>
        </w:trPr>
        <w:tc>
          <w:tcPr>
            <w:tcW w:w="7200" w:type="dxa"/>
            <w:vAlign w:val="bottom"/>
          </w:tcPr>
          <w:p>
            <w:pPr>
              <w:ind w:left="440"/>
              <w:spacing w:after="0"/>
              <w:rPr>
                <w:sz w:val="20"/>
                <w:szCs w:val="20"/>
                <w:color w:val="auto"/>
              </w:rPr>
            </w:pPr>
            <w:r>
              <w:rPr>
                <w:rFonts w:ascii="Arial" w:cs="Arial" w:eastAsia="Arial" w:hAnsi="Arial"/>
                <w:sz w:val="22"/>
                <w:szCs w:val="22"/>
                <w:color w:val="auto"/>
              </w:rPr>
              <w:t>Total inventories</w:t>
            </w: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5,767,903,628</w:t>
            </w:r>
          </w:p>
        </w:tc>
        <w:tc>
          <w:tcPr>
            <w:tcW w:w="22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5,777,810,936</w:t>
            </w:r>
          </w:p>
        </w:tc>
      </w:tr>
      <w:tr>
        <w:trPr>
          <w:trHeight w:val="20"/>
        </w:trPr>
        <w:tc>
          <w:tcPr>
            <w:tcW w:w="7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EQUITY IN NET ASSETS OF NONCONSOLIDATED AFFLIATES</w:t>
      </w:r>
    </w:p>
    <w:p>
      <w:pPr>
        <w:spacing w:after="0" w:line="220" w:lineRule="exact"/>
        <w:rPr>
          <w:sz w:val="20"/>
          <w:szCs w:val="20"/>
          <w:color w:val="auto"/>
        </w:rPr>
      </w:pPr>
    </w:p>
    <w:p>
      <w:pPr>
        <w:jc w:val="both"/>
        <w:ind w:left="620"/>
        <w:spacing w:after="0" w:line="312" w:lineRule="auto"/>
        <w:rPr>
          <w:sz w:val="20"/>
          <w:szCs w:val="20"/>
          <w:color w:val="auto"/>
        </w:rPr>
      </w:pPr>
      <w:r>
        <w:rPr>
          <w:rFonts w:ascii="Arial" w:cs="Arial" w:eastAsia="Arial" w:hAnsi="Arial"/>
          <w:sz w:val="19"/>
          <w:szCs w:val="19"/>
          <w:color w:val="auto"/>
        </w:rPr>
        <w:t>The Company has direct ownership interests in SAIC-GMAC Automotive Finance Co., Ltd. (“SAIC-GMAC"), Shanghai OnStar Telematics Company Limited ("Shanghai OnStar") and Shanghai Chengxin Used Car Operation and Management Company Limited ("Chengxin") of 20%, 20% and 33%, respectively, as of December 31, 2015 and 2014.</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126" w:right="239" w:bottom="1440" w:gutter="0" w:footer="0" w:header="0"/>
        </w:sectPr>
      </w:pPr>
    </w:p>
    <w:bookmarkStart w:id="157" w:name="page158"/>
    <w:bookmarkEnd w:id="157"/>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PROPERTY, NET</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b w:val="1"/>
          <w:bCs w:val="1"/>
          <w:i w:val="1"/>
          <w:iCs w:val="1"/>
          <w:color w:val="auto"/>
        </w:rPr>
        <w:t>Property, plant and equipment</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The following table summarizes the components of property, plant and equipment (in RMB).</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285"/>
        </w:trPr>
        <w:tc>
          <w:tcPr>
            <w:tcW w:w="6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22"/>
                <w:szCs w:val="22"/>
                <w:color w:val="auto"/>
                <w:w w:val="98"/>
              </w:rPr>
              <w:t>Balance at December 31</w:t>
            </w:r>
          </w:p>
        </w:tc>
      </w:tr>
      <w:tr>
        <w:trPr>
          <w:trHeight w:val="230"/>
        </w:trPr>
        <w:tc>
          <w:tcPr>
            <w:tcW w:w="6340" w:type="dxa"/>
            <w:vAlign w:val="bottom"/>
          </w:tcPr>
          <w:p>
            <w:pPr>
              <w:spacing w:after="0"/>
              <w:rPr>
                <w:sz w:val="19"/>
                <w:szCs w:val="19"/>
                <w:color w:val="auto"/>
              </w:rPr>
            </w:pPr>
          </w:p>
        </w:tc>
        <w:tc>
          <w:tcPr>
            <w:tcW w:w="122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2015</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3"/>
          </w:tcPr>
          <w:p>
            <w:pPr>
              <w:jc w:val="right"/>
              <w:ind w:right="800"/>
              <w:spacing w:after="0" w:line="229" w:lineRule="exact"/>
              <w:rPr>
                <w:sz w:val="20"/>
                <w:szCs w:val="20"/>
                <w:color w:val="auto"/>
              </w:rPr>
            </w:pPr>
            <w:r>
              <w:rPr>
                <w:rFonts w:ascii="Arial" w:cs="Arial" w:eastAsia="Arial" w:hAnsi="Arial"/>
                <w:sz w:val="22"/>
                <w:szCs w:val="22"/>
                <w:color w:val="auto"/>
              </w:rPr>
              <w:t>2014</w:t>
            </w:r>
          </w:p>
        </w:tc>
      </w:tr>
      <w:tr>
        <w:trPr>
          <w:trHeight w:val="20"/>
        </w:trPr>
        <w:tc>
          <w:tcPr>
            <w:tcW w:w="6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52"/>
        </w:trPr>
        <w:tc>
          <w:tcPr>
            <w:tcW w:w="6340" w:type="dxa"/>
            <w:vAlign w:val="bottom"/>
          </w:tcPr>
          <w:p>
            <w:pPr>
              <w:spacing w:after="0"/>
              <w:rPr>
                <w:sz w:val="20"/>
                <w:szCs w:val="20"/>
                <w:color w:val="auto"/>
              </w:rPr>
            </w:pPr>
            <w:r>
              <w:rPr>
                <w:rFonts w:ascii="Arial" w:cs="Arial" w:eastAsia="Arial" w:hAnsi="Arial"/>
                <w:sz w:val="22"/>
                <w:szCs w:val="22"/>
                <w:color w:val="auto"/>
              </w:rPr>
              <w:t>Buildings</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9,387,462,782</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7,170,651,263</w:t>
            </w:r>
          </w:p>
        </w:tc>
      </w:tr>
      <w:tr>
        <w:trPr>
          <w:trHeight w:val="297"/>
        </w:trPr>
        <w:tc>
          <w:tcPr>
            <w:tcW w:w="6340" w:type="dxa"/>
            <w:vAlign w:val="bottom"/>
          </w:tcPr>
          <w:p>
            <w:pPr>
              <w:spacing w:after="0"/>
              <w:rPr>
                <w:sz w:val="20"/>
                <w:szCs w:val="20"/>
                <w:color w:val="auto"/>
              </w:rPr>
            </w:pPr>
            <w:r>
              <w:rPr>
                <w:rFonts w:ascii="Arial" w:cs="Arial" w:eastAsia="Arial" w:hAnsi="Arial"/>
                <w:sz w:val="22"/>
                <w:szCs w:val="22"/>
                <w:color w:val="auto"/>
              </w:rPr>
              <w:t>Machinery</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31,164,652,691</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25,453,257,831</w:t>
            </w:r>
          </w:p>
        </w:tc>
      </w:tr>
      <w:tr>
        <w:trPr>
          <w:trHeight w:val="297"/>
        </w:trPr>
        <w:tc>
          <w:tcPr>
            <w:tcW w:w="6340" w:type="dxa"/>
            <w:vAlign w:val="bottom"/>
          </w:tcPr>
          <w:p>
            <w:pPr>
              <w:spacing w:after="0"/>
              <w:rPr>
                <w:sz w:val="20"/>
                <w:szCs w:val="20"/>
                <w:color w:val="auto"/>
              </w:rPr>
            </w:pPr>
            <w:r>
              <w:rPr>
                <w:rFonts w:ascii="Arial" w:cs="Arial" w:eastAsia="Arial" w:hAnsi="Arial"/>
                <w:sz w:val="22"/>
                <w:szCs w:val="22"/>
                <w:color w:val="auto"/>
              </w:rPr>
              <w:t>Furniture, fixtures and equipment</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1,393,592,627</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1,207,740,050</w:t>
            </w:r>
          </w:p>
        </w:tc>
      </w:tr>
      <w:tr>
        <w:trPr>
          <w:trHeight w:val="308"/>
        </w:trPr>
        <w:tc>
          <w:tcPr>
            <w:tcW w:w="6340" w:type="dxa"/>
            <w:vAlign w:val="bottom"/>
          </w:tcPr>
          <w:p>
            <w:pPr>
              <w:spacing w:after="0"/>
              <w:rPr>
                <w:sz w:val="20"/>
                <w:szCs w:val="20"/>
                <w:color w:val="auto"/>
              </w:rPr>
            </w:pPr>
            <w:r>
              <w:rPr>
                <w:rFonts w:ascii="Arial" w:cs="Arial" w:eastAsia="Arial" w:hAnsi="Arial"/>
                <w:sz w:val="22"/>
                <w:szCs w:val="22"/>
                <w:color w:val="auto"/>
              </w:rPr>
              <w:t>Tooling</w:t>
            </w:r>
          </w:p>
        </w:tc>
        <w:tc>
          <w:tcPr>
            <w:tcW w:w="2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21,381,291,972</w:t>
            </w:r>
          </w:p>
        </w:tc>
        <w:tc>
          <w:tcPr>
            <w:tcW w:w="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18,168,895,414</w:t>
            </w:r>
          </w:p>
        </w:tc>
      </w:tr>
      <w:tr>
        <w:trPr>
          <w:trHeight w:val="280"/>
        </w:trPr>
        <w:tc>
          <w:tcPr>
            <w:tcW w:w="6340" w:type="dxa"/>
            <w:vAlign w:val="bottom"/>
          </w:tcPr>
          <w:p>
            <w:pPr>
              <w:spacing w:after="0"/>
              <w:rPr>
                <w:sz w:val="20"/>
                <w:szCs w:val="20"/>
                <w:color w:val="auto"/>
              </w:rPr>
            </w:pPr>
            <w:r>
              <w:rPr>
                <w:rFonts w:ascii="Arial" w:cs="Arial" w:eastAsia="Arial" w:hAnsi="Arial"/>
                <w:sz w:val="22"/>
                <w:szCs w:val="22"/>
                <w:color w:val="auto"/>
              </w:rPr>
              <w:t>Total</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63,327,000,072</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52,000,544,558</w:t>
            </w:r>
          </w:p>
        </w:tc>
      </w:tr>
      <w:tr>
        <w:trPr>
          <w:trHeight w:val="483"/>
        </w:trPr>
        <w:tc>
          <w:tcPr>
            <w:tcW w:w="6340" w:type="dxa"/>
            <w:vAlign w:val="bottom"/>
          </w:tcPr>
          <w:p>
            <w:pPr>
              <w:spacing w:after="0"/>
              <w:rPr>
                <w:sz w:val="20"/>
                <w:szCs w:val="20"/>
                <w:color w:val="auto"/>
              </w:rPr>
            </w:pPr>
            <w:r>
              <w:rPr>
                <w:rFonts w:ascii="Arial" w:cs="Arial" w:eastAsia="Arial" w:hAnsi="Arial"/>
                <w:sz w:val="22"/>
                <w:szCs w:val="22"/>
                <w:color w:val="auto"/>
              </w:rPr>
              <w:t>Accumulated depreciation</w:t>
            </w:r>
          </w:p>
        </w:tc>
        <w:tc>
          <w:tcPr>
            <w:tcW w:w="2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(32,495,296,047)</w:t>
            </w:r>
          </w:p>
        </w:tc>
        <w:tc>
          <w:tcPr>
            <w:tcW w:w="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(27,885,375,575)</w:t>
            </w:r>
          </w:p>
        </w:tc>
      </w:tr>
      <w:tr>
        <w:trPr>
          <w:trHeight w:val="469"/>
        </w:trPr>
        <w:tc>
          <w:tcPr>
            <w:tcW w:w="6340" w:type="dxa"/>
            <w:vAlign w:val="bottom"/>
          </w:tcPr>
          <w:p>
            <w:pPr>
              <w:spacing w:after="0"/>
              <w:rPr>
                <w:sz w:val="20"/>
                <w:szCs w:val="20"/>
                <w:color w:val="auto"/>
              </w:rPr>
            </w:pPr>
            <w:r>
              <w:rPr>
                <w:rFonts w:ascii="Arial" w:cs="Arial" w:eastAsia="Arial" w:hAnsi="Arial"/>
                <w:sz w:val="22"/>
                <w:szCs w:val="22"/>
                <w:color w:val="auto"/>
              </w:rPr>
              <w:t>Subtotal</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30,831,704,025</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24,115,168,983</w:t>
            </w:r>
          </w:p>
        </w:tc>
      </w:tr>
      <w:tr>
        <w:trPr>
          <w:trHeight w:val="308"/>
        </w:trPr>
        <w:tc>
          <w:tcPr>
            <w:tcW w:w="6340" w:type="dxa"/>
            <w:vAlign w:val="bottom"/>
          </w:tcPr>
          <w:p>
            <w:pPr>
              <w:spacing w:after="0"/>
              <w:rPr>
                <w:sz w:val="20"/>
                <w:szCs w:val="20"/>
                <w:color w:val="auto"/>
              </w:rPr>
            </w:pPr>
            <w:r>
              <w:rPr>
                <w:rFonts w:ascii="Arial" w:cs="Arial" w:eastAsia="Arial" w:hAnsi="Arial"/>
                <w:sz w:val="22"/>
                <w:szCs w:val="22"/>
                <w:color w:val="auto"/>
              </w:rPr>
              <w:t>Construction in progress</w:t>
            </w:r>
          </w:p>
        </w:tc>
        <w:tc>
          <w:tcPr>
            <w:tcW w:w="2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7,348,789,999</w:t>
            </w:r>
          </w:p>
        </w:tc>
        <w:tc>
          <w:tcPr>
            <w:tcW w:w="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8,925,756,749</w:t>
            </w:r>
          </w:p>
        </w:tc>
      </w:tr>
      <w:tr>
        <w:trPr>
          <w:trHeight w:val="457"/>
        </w:trPr>
        <w:tc>
          <w:tcPr>
            <w:tcW w:w="6340" w:type="dxa"/>
            <w:vAlign w:val="bottom"/>
          </w:tcPr>
          <w:p>
            <w:pPr>
              <w:spacing w:after="0"/>
              <w:rPr>
                <w:sz w:val="20"/>
                <w:szCs w:val="20"/>
                <w:color w:val="auto"/>
              </w:rPr>
            </w:pPr>
            <w:r>
              <w:rPr>
                <w:rFonts w:ascii="Arial" w:cs="Arial" w:eastAsia="Arial" w:hAnsi="Arial"/>
                <w:sz w:val="22"/>
                <w:szCs w:val="22"/>
                <w:color w:val="auto"/>
              </w:rPr>
              <w:t>Total property, net</w:t>
            </w:r>
          </w:p>
        </w:tc>
        <w:tc>
          <w:tcPr>
            <w:tcW w:w="2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38,180,494,024</w:t>
            </w:r>
          </w:p>
        </w:tc>
        <w:tc>
          <w:tcPr>
            <w:tcW w:w="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33,040,925,732</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left="620"/>
        <w:spacing w:after="0" w:line="312" w:lineRule="auto"/>
        <w:rPr>
          <w:sz w:val="20"/>
          <w:szCs w:val="20"/>
          <w:color w:val="auto"/>
        </w:rPr>
      </w:pPr>
      <w:r>
        <w:rPr>
          <w:rFonts w:ascii="Arial" w:cs="Arial" w:eastAsia="Arial" w:hAnsi="Arial"/>
          <w:sz w:val="19"/>
          <w:szCs w:val="19"/>
          <w:color w:val="auto"/>
        </w:rPr>
        <w:t>For the years ended December 31, 2015, 2014 and 2013, depreciation expense was RMB 5,549,988,627, RMB 3,889,243,783 and RMB 3,376,619,276, of which about 98%, 95% and 89% were charged to cost of sales and 2%, 5% and 11% to selling, general and administrative expenses for the years ended December 31, 2015, 2014 and 2013, respectively.</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2"/>
          <w:szCs w:val="22"/>
          <w:b w:val="1"/>
          <w:bCs w:val="1"/>
          <w:i w:val="1"/>
          <w:iCs w:val="1"/>
          <w:color w:val="auto"/>
        </w:rPr>
        <w:t>Capital lease</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Property, plant, and equipment include assets acquired under capital leases.</w:t>
      </w:r>
    </w:p>
    <w:p>
      <w:pPr>
        <w:spacing w:after="0" w:line="260" w:lineRule="exact"/>
        <w:rPr>
          <w:sz w:val="20"/>
          <w:szCs w:val="20"/>
          <w:color w:val="auto"/>
        </w:rPr>
      </w:pPr>
    </w:p>
    <w:p>
      <w:pPr>
        <w:jc w:val="both"/>
        <w:ind w:left="620"/>
        <w:spacing w:after="0" w:line="263" w:lineRule="auto"/>
        <w:rPr>
          <w:sz w:val="20"/>
          <w:szCs w:val="20"/>
          <w:color w:val="auto"/>
        </w:rPr>
      </w:pPr>
      <w:r>
        <w:rPr>
          <w:rFonts w:ascii="Arial" w:cs="Arial" w:eastAsia="Arial" w:hAnsi="Arial"/>
          <w:sz w:val="22"/>
          <w:szCs w:val="22"/>
          <w:color w:val="auto"/>
        </w:rPr>
        <w:t>At the end of December 31, 2015, the leased property had a gross value of RMB 53,600,269 and accumulated depreciation of RMB 37,520,188. Future minimum lease payment under capital leases are as follows (In RMB):</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22"/>
          <w:szCs w:val="22"/>
          <w:u w:val="single" w:color="auto"/>
          <w:color w:val="auto"/>
        </w:rPr>
        <w:t>Year ended December 31:</w:t>
      </w:r>
    </w:p>
    <w:p>
      <w:pPr>
        <w:spacing w:after="0" w:line="368" w:lineRule="exact"/>
        <w:rPr>
          <w:sz w:val="20"/>
          <w:szCs w:val="20"/>
          <w:color w:val="auto"/>
        </w:rPr>
      </w:pPr>
    </w:p>
    <w:tbl>
      <w:tblPr>
        <w:tblLayout w:type="fixed"/>
        <w:tblInd w:w="1060" w:type="dxa"/>
        <w:tblCellMar>
          <w:top w:w="0" w:type="dxa"/>
          <w:left w:w="0" w:type="dxa"/>
          <w:bottom w:w="0" w:type="dxa"/>
          <w:right w:w="0" w:type="dxa"/>
        </w:tblCellMar>
      </w:tblPr>
      <w:tr>
        <w:trPr>
          <w:trHeight w:val="275"/>
        </w:trPr>
        <w:tc>
          <w:tcPr>
            <w:tcW w:w="8380" w:type="dxa"/>
            <w:vAlign w:val="bottom"/>
          </w:tcPr>
          <w:p>
            <w:pPr>
              <w:spacing w:after="0"/>
              <w:rPr>
                <w:sz w:val="20"/>
                <w:szCs w:val="20"/>
                <w:color w:val="auto"/>
              </w:rPr>
            </w:pPr>
            <w:r>
              <w:rPr>
                <w:rFonts w:ascii="Arial" w:cs="Arial" w:eastAsia="Arial" w:hAnsi="Arial"/>
                <w:sz w:val="22"/>
                <w:szCs w:val="22"/>
                <w:color w:val="auto"/>
              </w:rPr>
              <w:t>2016</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2"/>
                <w:szCs w:val="22"/>
                <w:color w:val="auto"/>
              </w:rPr>
              <w:t>2017</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2"/>
                <w:szCs w:val="22"/>
                <w:color w:val="auto"/>
              </w:rPr>
              <w:t>2018</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2"/>
                <w:szCs w:val="22"/>
                <w:color w:val="auto"/>
              </w:rPr>
              <w:t>2019</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2"/>
                <w:szCs w:val="22"/>
                <w:color w:val="auto"/>
              </w:rPr>
              <w:t>2020</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308"/>
        </w:trPr>
        <w:tc>
          <w:tcPr>
            <w:tcW w:w="8380" w:type="dxa"/>
            <w:vAlign w:val="bottom"/>
          </w:tcPr>
          <w:p>
            <w:pPr>
              <w:spacing w:after="0"/>
              <w:rPr>
                <w:sz w:val="20"/>
                <w:szCs w:val="20"/>
                <w:color w:val="auto"/>
              </w:rPr>
            </w:pPr>
            <w:r>
              <w:rPr>
                <w:rFonts w:ascii="Arial" w:cs="Arial" w:eastAsia="Arial" w:hAnsi="Arial"/>
                <w:sz w:val="22"/>
                <w:szCs w:val="22"/>
                <w:color w:val="auto"/>
              </w:rPr>
              <w:t>2021 and after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7,352,790</w:t>
            </w:r>
          </w:p>
        </w:tc>
        <w:tc>
          <w:tcPr>
            <w:tcW w:w="0" w:type="dxa"/>
            <w:vAlign w:val="bottom"/>
          </w:tcPr>
          <w:p>
            <w:pPr>
              <w:spacing w:after="0"/>
              <w:rPr>
                <w:sz w:val="1"/>
                <w:szCs w:val="1"/>
                <w:color w:val="auto"/>
              </w:rPr>
            </w:pPr>
          </w:p>
        </w:tc>
      </w:tr>
      <w:tr>
        <w:trPr>
          <w:trHeight w:val="280"/>
        </w:trPr>
        <w:tc>
          <w:tcPr>
            <w:tcW w:w="8380" w:type="dxa"/>
            <w:vAlign w:val="bottom"/>
          </w:tcPr>
          <w:p>
            <w:pPr>
              <w:spacing w:after="0"/>
              <w:rPr>
                <w:sz w:val="20"/>
                <w:szCs w:val="20"/>
                <w:color w:val="auto"/>
              </w:rPr>
            </w:pPr>
            <w:r>
              <w:rPr>
                <w:rFonts w:ascii="Arial" w:cs="Arial" w:eastAsia="Arial" w:hAnsi="Arial"/>
                <w:sz w:val="22"/>
                <w:szCs w:val="22"/>
                <w:color w:val="auto"/>
              </w:rPr>
              <w:t>Total minimum lease payments</w:t>
            </w:r>
          </w:p>
        </w:tc>
        <w:tc>
          <w:tcPr>
            <w:tcW w:w="1600" w:type="dxa"/>
            <w:vAlign w:val="bottom"/>
          </w:tcPr>
          <w:p>
            <w:pPr>
              <w:jc w:val="right"/>
              <w:spacing w:after="0"/>
              <w:rPr>
                <w:sz w:val="20"/>
                <w:szCs w:val="20"/>
                <w:color w:val="auto"/>
              </w:rPr>
            </w:pPr>
            <w:r>
              <w:rPr>
                <w:rFonts w:ascii="Arial" w:cs="Arial" w:eastAsia="Arial" w:hAnsi="Arial"/>
                <w:sz w:val="22"/>
                <w:szCs w:val="22"/>
                <w:color w:val="auto"/>
              </w:rPr>
              <w:t>34,925,790</w:t>
            </w:r>
          </w:p>
        </w:tc>
        <w:tc>
          <w:tcPr>
            <w:tcW w:w="0" w:type="dxa"/>
            <w:vAlign w:val="bottom"/>
          </w:tcPr>
          <w:p>
            <w:pPr>
              <w:spacing w:after="0"/>
              <w:rPr>
                <w:sz w:val="1"/>
                <w:szCs w:val="1"/>
                <w:color w:val="auto"/>
              </w:rPr>
            </w:pPr>
          </w:p>
        </w:tc>
      </w:tr>
      <w:tr>
        <w:trPr>
          <w:trHeight w:val="308"/>
        </w:trPr>
        <w:tc>
          <w:tcPr>
            <w:tcW w:w="8380" w:type="dxa"/>
            <w:vAlign w:val="bottom"/>
          </w:tcPr>
          <w:p>
            <w:pPr>
              <w:spacing w:after="0"/>
              <w:rPr>
                <w:sz w:val="20"/>
                <w:szCs w:val="20"/>
                <w:color w:val="auto"/>
              </w:rPr>
            </w:pPr>
            <w:r>
              <w:rPr>
                <w:rFonts w:ascii="Arial" w:cs="Arial" w:eastAsia="Arial" w:hAnsi="Arial"/>
                <w:sz w:val="22"/>
                <w:szCs w:val="22"/>
                <w:color w:val="auto"/>
              </w:rPr>
              <w:t>Unrecognised finance costs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(7,698,968)</w:t>
            </w:r>
          </w:p>
        </w:tc>
        <w:tc>
          <w:tcPr>
            <w:tcW w:w="0" w:type="dxa"/>
            <w:vAlign w:val="bottom"/>
          </w:tcPr>
          <w:p>
            <w:pPr>
              <w:spacing w:after="0"/>
              <w:rPr>
                <w:sz w:val="1"/>
                <w:szCs w:val="1"/>
                <w:color w:val="auto"/>
              </w:rPr>
            </w:pPr>
          </w:p>
        </w:tc>
      </w:tr>
      <w:tr>
        <w:trPr>
          <w:trHeight w:val="294"/>
        </w:trPr>
        <w:tc>
          <w:tcPr>
            <w:tcW w:w="8380" w:type="dxa"/>
            <w:vAlign w:val="bottom"/>
          </w:tcPr>
          <w:p>
            <w:pPr>
              <w:spacing w:after="0"/>
              <w:rPr>
                <w:sz w:val="20"/>
                <w:szCs w:val="20"/>
                <w:color w:val="auto"/>
              </w:rPr>
            </w:pPr>
            <w:r>
              <w:rPr>
                <w:rFonts w:ascii="Arial" w:cs="Arial" w:eastAsia="Arial" w:hAnsi="Arial"/>
                <w:sz w:val="22"/>
                <w:szCs w:val="22"/>
                <w:color w:val="auto"/>
              </w:rPr>
              <w:t>Finance lease payables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27,226,822</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22"/>
                <w:szCs w:val="22"/>
                <w:color w:val="auto"/>
              </w:rPr>
              <w:t>Comprising:</w:t>
            </w: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8380" w:type="dxa"/>
            <w:vAlign w:val="bottom"/>
          </w:tcPr>
          <w:p>
            <w:pPr>
              <w:spacing w:after="0"/>
              <w:rPr>
                <w:sz w:val="20"/>
                <w:szCs w:val="20"/>
                <w:color w:val="auto"/>
              </w:rPr>
            </w:pPr>
            <w:r>
              <w:rPr>
                <w:rFonts w:ascii="Arial" w:cs="Arial" w:eastAsia="Arial" w:hAnsi="Arial"/>
                <w:sz w:val="22"/>
                <w:szCs w:val="22"/>
                <w:color w:val="auto"/>
              </w:rPr>
              <w:t>Finance lease payments due within one year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3,449,027</w:t>
            </w:r>
          </w:p>
        </w:tc>
        <w:tc>
          <w:tcPr>
            <w:tcW w:w="0" w:type="dxa"/>
            <w:vAlign w:val="bottom"/>
          </w:tcPr>
          <w:p>
            <w:pPr>
              <w:spacing w:after="0"/>
              <w:rPr>
                <w:sz w:val="1"/>
                <w:szCs w:val="1"/>
                <w:color w:val="auto"/>
              </w:rPr>
            </w:pPr>
          </w:p>
        </w:tc>
      </w:tr>
      <w:tr>
        <w:trPr>
          <w:trHeight w:val="291"/>
        </w:trPr>
        <w:tc>
          <w:tcPr>
            <w:tcW w:w="8380" w:type="dxa"/>
            <w:vAlign w:val="bottom"/>
          </w:tcPr>
          <w:p>
            <w:pPr>
              <w:spacing w:after="0"/>
              <w:rPr>
                <w:sz w:val="20"/>
                <w:szCs w:val="20"/>
                <w:color w:val="auto"/>
              </w:rPr>
            </w:pPr>
            <w:r>
              <w:rPr>
                <w:rFonts w:ascii="Arial" w:cs="Arial" w:eastAsia="Arial" w:hAnsi="Arial"/>
                <w:sz w:val="22"/>
                <w:szCs w:val="22"/>
                <w:color w:val="auto"/>
              </w:rPr>
              <w:t>Finance lease payments due after one year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23,777,795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- 16 -</w:t>
      </w:r>
    </w:p>
    <w:p>
      <w:pPr>
        <w:sectPr>
          <w:pgSz w:w="11900" w:h="16838" w:orient="portrait"/>
          <w:cols w:equalWidth="0" w:num="1">
            <w:col w:w="11420"/>
          </w:cols>
          <w:pgMar w:left="240" w:top="125" w:right="239" w:bottom="1440" w:gutter="0" w:footer="0" w:header="0"/>
          <w:type w:val="continuous"/>
        </w:sectPr>
      </w:pPr>
    </w:p>
    <w:bookmarkStart w:id="158" w:name="page159"/>
    <w:bookmarkEnd w:id="158"/>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1"/>
          <w:szCs w:val="21"/>
          <w:color w:val="auto"/>
        </w:rPr>
        <w:t>INTANGIBLE ASSETS</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Intangible assets include technology license fees, summarized as follows (in RMB).</w:t>
      </w:r>
    </w:p>
    <w:p>
      <w:pPr>
        <w:spacing w:after="0" w:line="152" w:lineRule="exact"/>
        <w:rPr>
          <w:sz w:val="20"/>
          <w:szCs w:val="20"/>
          <w:color w:val="auto"/>
        </w:rPr>
      </w:pPr>
    </w:p>
    <w:tbl>
      <w:tblPr>
        <w:tblLayout w:type="fixed"/>
        <w:tblInd w:w="1060" w:type="dxa"/>
        <w:tblCellMar>
          <w:top w:w="0" w:type="dxa"/>
          <w:left w:w="0" w:type="dxa"/>
          <w:bottom w:w="0" w:type="dxa"/>
          <w:right w:w="0" w:type="dxa"/>
        </w:tblCellMar>
      </w:tblPr>
      <w:tr>
        <w:trPr>
          <w:trHeight w:val="285"/>
        </w:trPr>
        <w:tc>
          <w:tcPr>
            <w:tcW w:w="63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22"/>
                <w:szCs w:val="22"/>
                <w:color w:val="auto"/>
                <w:w w:val="91"/>
              </w:rPr>
              <w:t>Balance at December 31</w:t>
            </w:r>
          </w:p>
        </w:tc>
      </w:tr>
      <w:tr>
        <w:trPr>
          <w:trHeight w:val="230"/>
        </w:trPr>
        <w:tc>
          <w:tcPr>
            <w:tcW w:w="6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line="229" w:lineRule="exact"/>
              <w:rPr>
                <w:sz w:val="20"/>
                <w:szCs w:val="20"/>
                <w:color w:val="auto"/>
              </w:rPr>
            </w:pPr>
            <w:r>
              <w:rPr>
                <w:rFonts w:ascii="Arial" w:cs="Arial" w:eastAsia="Arial" w:hAnsi="Arial"/>
                <w:sz w:val="22"/>
                <w:szCs w:val="22"/>
                <w:color w:val="auto"/>
                <w:w w:val="85"/>
              </w:rPr>
              <w:t>2015</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2014</w:t>
            </w:r>
          </w:p>
        </w:tc>
        <w:tc>
          <w:tcPr>
            <w:tcW w:w="6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28"/>
        </w:trPr>
        <w:tc>
          <w:tcPr>
            <w:tcW w:w="6380" w:type="dxa"/>
            <w:vAlign w:val="bottom"/>
          </w:tcPr>
          <w:p>
            <w:pPr>
              <w:spacing w:after="0"/>
              <w:rPr>
                <w:sz w:val="20"/>
                <w:szCs w:val="20"/>
                <w:color w:val="auto"/>
              </w:rPr>
            </w:pPr>
            <w:r>
              <w:rPr>
                <w:rFonts w:ascii="Arial" w:cs="Arial" w:eastAsia="Arial" w:hAnsi="Arial"/>
                <w:sz w:val="22"/>
                <w:szCs w:val="22"/>
                <w:color w:val="auto"/>
              </w:rPr>
              <w:t>Technology license fee - gross</w:t>
            </w:r>
          </w:p>
        </w:tc>
        <w:tc>
          <w:tcPr>
            <w:tcW w:w="1720" w:type="dxa"/>
            <w:vAlign w:val="bottom"/>
            <w:gridSpan w:val="3"/>
          </w:tcPr>
          <w:p>
            <w:pPr>
              <w:jc w:val="right"/>
              <w:ind w:right="120"/>
              <w:spacing w:after="0"/>
              <w:rPr>
                <w:sz w:val="20"/>
                <w:szCs w:val="20"/>
                <w:color w:val="auto"/>
              </w:rPr>
            </w:pPr>
            <w:r>
              <w:rPr>
                <w:rFonts w:ascii="Arial" w:cs="Arial" w:eastAsia="Arial" w:hAnsi="Arial"/>
                <w:sz w:val="22"/>
                <w:szCs w:val="22"/>
                <w:color w:val="auto"/>
              </w:rPr>
              <w:t>4,746,979,177</w:t>
            </w:r>
          </w:p>
        </w:tc>
        <w:tc>
          <w:tcPr>
            <w:tcW w:w="180" w:type="dxa"/>
            <w:vAlign w:val="bottom"/>
          </w:tcPr>
          <w:p>
            <w:pPr>
              <w:spacing w:after="0"/>
              <w:rPr>
                <w:sz w:val="24"/>
                <w:szCs w:val="24"/>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22"/>
                <w:szCs w:val="22"/>
                <w:color w:val="auto"/>
              </w:rPr>
              <w:t>4,324,443,031</w:t>
            </w:r>
          </w:p>
        </w:tc>
      </w:tr>
      <w:tr>
        <w:trPr>
          <w:trHeight w:val="308"/>
        </w:trPr>
        <w:tc>
          <w:tcPr>
            <w:tcW w:w="6380" w:type="dxa"/>
            <w:vAlign w:val="bottom"/>
          </w:tcPr>
          <w:p>
            <w:pPr>
              <w:spacing w:after="0"/>
              <w:rPr>
                <w:sz w:val="20"/>
                <w:szCs w:val="20"/>
                <w:color w:val="auto"/>
              </w:rPr>
            </w:pPr>
            <w:r>
              <w:rPr>
                <w:rFonts w:ascii="Arial" w:cs="Arial" w:eastAsia="Arial" w:hAnsi="Arial"/>
                <w:sz w:val="22"/>
                <w:szCs w:val="22"/>
                <w:color w:val="auto"/>
              </w:rPr>
              <w:t>Accumulated amortization</w:t>
            </w:r>
          </w:p>
        </w:tc>
        <w:tc>
          <w:tcPr>
            <w:tcW w:w="1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(1,576,356,865)</w:t>
            </w:r>
          </w:p>
        </w:tc>
        <w:tc>
          <w:tcPr>
            <w:tcW w:w="180" w:type="dxa"/>
            <w:vAlign w:val="bottom"/>
          </w:tcPr>
          <w:p>
            <w:pPr>
              <w:spacing w:after="0"/>
              <w:rPr>
                <w:sz w:val="24"/>
                <w:szCs w:val="24"/>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(1,505,129,073)</w:t>
            </w:r>
          </w:p>
        </w:tc>
      </w:tr>
      <w:tr>
        <w:trPr>
          <w:trHeight w:val="295"/>
        </w:trPr>
        <w:tc>
          <w:tcPr>
            <w:tcW w:w="6380" w:type="dxa"/>
            <w:vAlign w:val="bottom"/>
          </w:tcPr>
          <w:p>
            <w:pPr>
              <w:spacing w:after="0"/>
              <w:rPr>
                <w:sz w:val="20"/>
                <w:szCs w:val="20"/>
                <w:color w:val="auto"/>
              </w:rPr>
            </w:pPr>
            <w:r>
              <w:rPr>
                <w:rFonts w:ascii="Arial" w:cs="Arial" w:eastAsia="Arial" w:hAnsi="Arial"/>
                <w:sz w:val="22"/>
                <w:szCs w:val="22"/>
                <w:color w:val="auto"/>
              </w:rPr>
              <w:t>Technology license fee - net</w:t>
            </w: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3,170,622,312</w:t>
            </w:r>
          </w:p>
        </w:tc>
        <w:tc>
          <w:tcPr>
            <w:tcW w:w="180" w:type="dxa"/>
            <w:vAlign w:val="bottom"/>
          </w:tcPr>
          <w:p>
            <w:pPr>
              <w:spacing w:after="0"/>
              <w:rPr>
                <w:sz w:val="24"/>
                <w:szCs w:val="2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2,819,313,958</w:t>
            </w:r>
          </w:p>
        </w:tc>
      </w:tr>
      <w:tr>
        <w:trPr>
          <w:trHeight w:val="20"/>
        </w:trPr>
        <w:tc>
          <w:tcPr>
            <w:tcW w:w="6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1"/>
          <w:szCs w:val="21"/>
          <w:color w:val="auto"/>
        </w:rPr>
        <w:t>FAIR VALUE MEASUREMENT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Fair value measurements on a recurring basis</w:t>
      </w:r>
    </w:p>
    <w:p>
      <w:pPr>
        <w:spacing w:after="0" w:line="26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measures money market fund at fair value on a recurring basis using quoted prices in active markets for identical assets (Level 1). The carrying amounts are RMB 1,492,894,524 and RMB 1,491,036,452 as of December 31, 2015 and 2014 respectively, which approximates its fair values.</w:t>
      </w:r>
    </w:p>
    <w:p>
      <w:pPr>
        <w:spacing w:after="0" w:line="22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1"/>
          <w:szCs w:val="21"/>
          <w:color w:val="auto"/>
        </w:rPr>
        <w:t>INCOME TAX</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Income tax expense is summarized as follows (in RMB):</w:t>
      </w:r>
    </w:p>
    <w:p>
      <w:pPr>
        <w:spacing w:after="0" w:line="152" w:lineRule="exact"/>
        <w:rPr>
          <w:sz w:val="20"/>
          <w:szCs w:val="20"/>
          <w:color w:val="auto"/>
        </w:rPr>
      </w:pPr>
    </w:p>
    <w:tbl>
      <w:tblPr>
        <w:tblLayout w:type="fixed"/>
        <w:tblInd w:w="1060" w:type="dxa"/>
        <w:tblCellMar>
          <w:top w:w="0" w:type="dxa"/>
          <w:left w:w="0" w:type="dxa"/>
          <w:bottom w:w="0" w:type="dxa"/>
          <w:right w:w="0" w:type="dxa"/>
        </w:tblCellMar>
      </w:tblPr>
      <w:tr>
        <w:trPr>
          <w:trHeight w:val="285"/>
        </w:trPr>
        <w:tc>
          <w:tcPr>
            <w:tcW w:w="44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352"/>
              <w:spacing w:after="0"/>
              <w:rPr>
                <w:sz w:val="20"/>
                <w:szCs w:val="20"/>
                <w:color w:val="auto"/>
              </w:rPr>
            </w:pPr>
            <w:r>
              <w:rPr>
                <w:rFonts w:ascii="Arial" w:cs="Arial" w:eastAsia="Arial" w:hAnsi="Arial"/>
                <w:sz w:val="22"/>
                <w:szCs w:val="22"/>
                <w:color w:val="auto"/>
                <w:w w:val="86"/>
              </w:rPr>
              <w:t>Year ended December 31</w:t>
            </w: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30"/>
        </w:trPr>
        <w:tc>
          <w:tcPr>
            <w:tcW w:w="4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line="229" w:lineRule="exact"/>
              <w:rPr>
                <w:sz w:val="20"/>
                <w:szCs w:val="20"/>
                <w:color w:val="auto"/>
              </w:rPr>
            </w:pPr>
            <w:r>
              <w:rPr>
                <w:rFonts w:ascii="Arial" w:cs="Arial" w:eastAsia="Arial" w:hAnsi="Arial"/>
                <w:sz w:val="22"/>
                <w:szCs w:val="22"/>
                <w:color w:val="auto"/>
                <w:w w:val="85"/>
              </w:rPr>
              <w:t>2015</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line="229" w:lineRule="exact"/>
              <w:rPr>
                <w:sz w:val="20"/>
                <w:szCs w:val="20"/>
                <w:color w:val="auto"/>
              </w:rPr>
            </w:pPr>
            <w:r>
              <w:rPr>
                <w:rFonts w:ascii="Arial" w:cs="Arial" w:eastAsia="Arial" w:hAnsi="Arial"/>
                <w:sz w:val="22"/>
                <w:szCs w:val="22"/>
                <w:color w:val="auto"/>
                <w:w w:val="85"/>
              </w:rPr>
              <w:t>2014</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2013</w:t>
            </w:r>
          </w:p>
        </w:tc>
        <w:tc>
          <w:tcPr>
            <w:tcW w:w="64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28"/>
        </w:trPr>
        <w:tc>
          <w:tcPr>
            <w:tcW w:w="4480" w:type="dxa"/>
            <w:vAlign w:val="bottom"/>
          </w:tcPr>
          <w:p>
            <w:pPr>
              <w:spacing w:after="0"/>
              <w:rPr>
                <w:sz w:val="20"/>
                <w:szCs w:val="20"/>
                <w:color w:val="auto"/>
              </w:rPr>
            </w:pPr>
            <w:r>
              <w:rPr>
                <w:rFonts w:ascii="Arial" w:cs="Arial" w:eastAsia="Arial" w:hAnsi="Arial"/>
                <w:sz w:val="22"/>
                <w:szCs w:val="22"/>
                <w:color w:val="auto"/>
              </w:rPr>
              <w:t>Current tax expense</w:t>
            </w:r>
          </w:p>
        </w:tc>
        <w:tc>
          <w:tcPr>
            <w:tcW w:w="1720" w:type="dxa"/>
            <w:vAlign w:val="bottom"/>
            <w:gridSpan w:val="3"/>
          </w:tcPr>
          <w:p>
            <w:pPr>
              <w:jc w:val="right"/>
              <w:spacing w:after="0"/>
              <w:rPr>
                <w:sz w:val="20"/>
                <w:szCs w:val="20"/>
                <w:color w:val="auto"/>
              </w:rPr>
            </w:pPr>
            <w:r>
              <w:rPr>
                <w:rFonts w:ascii="Arial" w:cs="Arial" w:eastAsia="Arial" w:hAnsi="Arial"/>
                <w:sz w:val="22"/>
                <w:szCs w:val="22"/>
                <w:color w:val="auto"/>
              </w:rPr>
              <w:t>6,142,993,992</w:t>
            </w:r>
          </w:p>
        </w:tc>
        <w:tc>
          <w:tcPr>
            <w:tcW w:w="180" w:type="dxa"/>
            <w:vAlign w:val="bottom"/>
          </w:tcPr>
          <w:p>
            <w:pPr>
              <w:spacing w:after="0"/>
              <w:rPr>
                <w:sz w:val="24"/>
                <w:szCs w:val="24"/>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22"/>
                <w:szCs w:val="22"/>
                <w:color w:val="auto"/>
              </w:rPr>
              <w:t>5,666,930,170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22"/>
                <w:szCs w:val="22"/>
                <w:color w:val="auto"/>
                <w:w w:val="98"/>
              </w:rPr>
              <w:t>4,294,652,238</w:t>
            </w:r>
          </w:p>
        </w:tc>
      </w:tr>
      <w:tr>
        <w:trPr>
          <w:trHeight w:val="308"/>
        </w:trPr>
        <w:tc>
          <w:tcPr>
            <w:tcW w:w="4480" w:type="dxa"/>
            <w:vAlign w:val="bottom"/>
          </w:tcPr>
          <w:p>
            <w:pPr>
              <w:spacing w:after="0"/>
              <w:rPr>
                <w:sz w:val="20"/>
                <w:szCs w:val="20"/>
                <w:color w:val="auto"/>
              </w:rPr>
            </w:pPr>
            <w:r>
              <w:rPr>
                <w:rFonts w:ascii="Arial" w:cs="Arial" w:eastAsia="Arial" w:hAnsi="Arial"/>
                <w:sz w:val="22"/>
                <w:szCs w:val="22"/>
                <w:color w:val="auto"/>
              </w:rPr>
              <w:t>Deferred tax expense (benefit)</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(261,643,536)</w:t>
            </w:r>
          </w:p>
        </w:tc>
        <w:tc>
          <w:tcPr>
            <w:tcW w:w="180" w:type="dxa"/>
            <w:vAlign w:val="bottom"/>
          </w:tcPr>
          <w:p>
            <w:pPr>
              <w:spacing w:after="0"/>
              <w:rPr>
                <w:sz w:val="24"/>
                <w:szCs w:val="24"/>
                <w:color w:val="auto"/>
              </w:rPr>
            </w:pPr>
          </w:p>
        </w:tc>
        <w:tc>
          <w:tcPr>
            <w:tcW w:w="1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(530,482,621)</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(142,127,053)</w:t>
            </w:r>
          </w:p>
        </w:tc>
      </w:tr>
      <w:tr>
        <w:trPr>
          <w:trHeight w:val="295"/>
        </w:trPr>
        <w:tc>
          <w:tcPr>
            <w:tcW w:w="4480" w:type="dxa"/>
            <w:vAlign w:val="bottom"/>
          </w:tcPr>
          <w:p>
            <w:pPr>
              <w:spacing w:after="0"/>
              <w:rPr>
                <w:sz w:val="20"/>
                <w:szCs w:val="20"/>
                <w:color w:val="auto"/>
              </w:rPr>
            </w:pPr>
            <w:r>
              <w:rPr>
                <w:rFonts w:ascii="Arial" w:cs="Arial" w:eastAsia="Arial" w:hAnsi="Arial"/>
                <w:sz w:val="22"/>
                <w:szCs w:val="22"/>
                <w:color w:val="auto"/>
              </w:rPr>
              <w:t>Total income tax expense</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5,881,350,456</w:t>
            </w:r>
          </w:p>
        </w:tc>
        <w:tc>
          <w:tcPr>
            <w:tcW w:w="180" w:type="dxa"/>
            <w:vAlign w:val="bottom"/>
          </w:tcPr>
          <w:p>
            <w:pPr>
              <w:spacing w:after="0"/>
              <w:rPr>
                <w:sz w:val="24"/>
                <w:szCs w:val="24"/>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5,136,447,549</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8"/>
              </w:rPr>
              <w:t>4,152,525,185</w:t>
            </w:r>
          </w:p>
        </w:tc>
      </w:tr>
      <w:tr>
        <w:trPr>
          <w:trHeight w:val="20"/>
        </w:trPr>
        <w:tc>
          <w:tcPr>
            <w:tcW w:w="4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 reconciliation of the provision for income taxes with amounts determined by applying the statutory income tax rate to income before income tax is as follows (in RMB).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126" w:right="239" w:bottom="1440" w:gutter="0" w:footer="0" w:header="0"/>
        </w:sectPr>
      </w:pPr>
    </w:p>
    <w:bookmarkStart w:id="159" w:name="page160"/>
    <w:bookmarkEnd w:id="159"/>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40" w:type="dxa"/>
            <w:vAlign w:val="bottom"/>
            <w:gridSpan w:val="4"/>
          </w:tcPr>
          <w:p>
            <w:pPr>
              <w:spacing w:after="0"/>
              <w:rPr>
                <w:sz w:val="20"/>
                <w:szCs w:val="20"/>
                <w:color w:val="auto"/>
              </w:rPr>
            </w:pPr>
            <w:r>
              <w:rPr>
                <w:rFonts w:ascii="Arial" w:cs="Arial" w:eastAsia="Arial" w:hAnsi="Arial"/>
                <w:sz w:val="22"/>
                <w:szCs w:val="22"/>
                <w:color w:val="auto"/>
              </w:rPr>
              <w:t>7.  INCOME TAX - continued</w:t>
            </w: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6"/>
        </w:trPr>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center"/>
              <w:spacing w:after="0"/>
              <w:rPr>
                <w:sz w:val="20"/>
                <w:szCs w:val="20"/>
                <w:color w:val="auto"/>
              </w:rPr>
            </w:pPr>
            <w:r>
              <w:rPr>
                <w:rFonts w:ascii="Arial" w:cs="Arial" w:eastAsia="Arial" w:hAnsi="Arial"/>
                <w:sz w:val="22"/>
                <w:szCs w:val="22"/>
                <w:color w:val="auto"/>
                <w:w w:val="86"/>
              </w:rPr>
              <w:t>Year ended December 31</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line="229" w:lineRule="exact"/>
              <w:rPr>
                <w:sz w:val="20"/>
                <w:szCs w:val="20"/>
                <w:color w:val="auto"/>
              </w:rPr>
            </w:pPr>
            <w:r>
              <w:rPr>
                <w:rFonts w:ascii="Arial" w:cs="Arial" w:eastAsia="Arial" w:hAnsi="Arial"/>
                <w:sz w:val="22"/>
                <w:szCs w:val="22"/>
                <w:color w:val="auto"/>
                <w:w w:val="85"/>
              </w:rPr>
              <w:t>2015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440" w:type="dxa"/>
            <w:vAlign w:val="bottom"/>
            <w:gridSpan w:val="2"/>
          </w:tcPr>
          <w:p>
            <w:pPr>
              <w:jc w:val="right"/>
              <w:spacing w:after="0" w:line="229" w:lineRule="exact"/>
              <w:rPr>
                <w:sz w:val="20"/>
                <w:szCs w:val="20"/>
                <w:color w:val="auto"/>
              </w:rPr>
            </w:pPr>
            <w:r>
              <w:rPr>
                <w:rFonts w:ascii="Arial" w:cs="Arial" w:eastAsia="Arial" w:hAnsi="Arial"/>
                <w:sz w:val="22"/>
                <w:szCs w:val="22"/>
                <w:color w:val="auto"/>
                <w:w w:val="85"/>
              </w:rPr>
              <w:t>2014</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4"/>
          </w:tcPr>
          <w:p>
            <w:pPr>
              <w:jc w:val="right"/>
              <w:spacing w:after="0" w:line="229" w:lineRule="exact"/>
              <w:rPr>
                <w:sz w:val="20"/>
                <w:szCs w:val="20"/>
                <w:color w:val="auto"/>
              </w:rPr>
            </w:pPr>
            <w:r>
              <w:rPr>
                <w:rFonts w:ascii="Arial" w:cs="Arial" w:eastAsia="Arial" w:hAnsi="Arial"/>
                <w:sz w:val="22"/>
                <w:szCs w:val="22"/>
                <w:color w:val="auto"/>
              </w:rPr>
              <w:t>2013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Statutory income tax rate</w:t>
            </w:r>
          </w:p>
        </w:tc>
        <w:tc>
          <w:tcPr>
            <w:tcW w:w="6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25%</w:t>
            </w:r>
          </w:p>
        </w:tc>
        <w:tc>
          <w:tcPr>
            <w:tcW w:w="18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440" w:type="dxa"/>
            <w:vAlign w:val="bottom"/>
            <w:tcBorders>
              <w:top w:val="single" w:sz="8" w:color="auto"/>
            </w:tcBorders>
            <w:gridSpan w:val="2"/>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2"/>
                <w:szCs w:val="22"/>
                <w:color w:val="auto"/>
              </w:rPr>
              <w:t>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420" w:type="dxa"/>
            <w:vAlign w:val="bottom"/>
            <w:tcBorders>
              <w:top w:val="single" w:sz="8" w:color="auto"/>
            </w:tcBorders>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Computed tax at the statutory tax rate</w:t>
            </w:r>
          </w:p>
        </w:tc>
        <w:tc>
          <w:tcPr>
            <w:tcW w:w="1720" w:type="dxa"/>
            <w:vAlign w:val="bottom"/>
            <w:gridSpan w:val="4"/>
          </w:tcPr>
          <w:p>
            <w:pPr>
              <w:jc w:val="right"/>
              <w:spacing w:after="0"/>
              <w:rPr>
                <w:sz w:val="20"/>
                <w:szCs w:val="20"/>
                <w:color w:val="auto"/>
              </w:rPr>
            </w:pPr>
            <w:r>
              <w:rPr>
                <w:rFonts w:ascii="Arial" w:cs="Arial" w:eastAsia="Arial" w:hAnsi="Arial"/>
                <w:sz w:val="22"/>
                <w:szCs w:val="22"/>
                <w:color w:val="auto"/>
              </w:rPr>
              <w:t>6,340,769,138</w:t>
            </w:r>
          </w:p>
        </w:tc>
        <w:tc>
          <w:tcPr>
            <w:tcW w:w="180" w:type="dxa"/>
            <w:vAlign w:val="bottom"/>
          </w:tcPr>
          <w:p>
            <w:pPr>
              <w:spacing w:after="0"/>
              <w:rPr>
                <w:sz w:val="24"/>
                <w:szCs w:val="24"/>
                <w:color w:val="auto"/>
              </w:rPr>
            </w:pPr>
          </w:p>
        </w:tc>
        <w:tc>
          <w:tcPr>
            <w:tcW w:w="1700" w:type="dxa"/>
            <w:vAlign w:val="bottom"/>
            <w:gridSpan w:val="6"/>
          </w:tcPr>
          <w:p>
            <w:pPr>
              <w:jc w:val="right"/>
              <w:ind w:right="100"/>
              <w:spacing w:after="0"/>
              <w:rPr>
                <w:sz w:val="20"/>
                <w:szCs w:val="20"/>
                <w:color w:val="auto"/>
              </w:rPr>
            </w:pPr>
            <w:r>
              <w:rPr>
                <w:rFonts w:ascii="Arial" w:cs="Arial" w:eastAsia="Arial" w:hAnsi="Arial"/>
                <w:sz w:val="22"/>
                <w:szCs w:val="22"/>
                <w:color w:val="auto"/>
              </w:rPr>
              <w:t>5,691,498,859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w w:val="98"/>
              </w:rPr>
              <w:t>4,462,114,189</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Effect of expenses that are not deductible</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ind w:left="100"/>
              <w:spacing w:after="0"/>
              <w:rPr>
                <w:sz w:val="20"/>
                <w:szCs w:val="20"/>
                <w:color w:val="auto"/>
              </w:rPr>
            </w:pPr>
            <w:r>
              <w:rPr>
                <w:rFonts w:ascii="Arial" w:cs="Arial" w:eastAsia="Arial" w:hAnsi="Arial"/>
                <w:sz w:val="22"/>
                <w:szCs w:val="22"/>
                <w:color w:val="auto"/>
              </w:rPr>
              <w:t>for tax purposes</w:t>
            </w:r>
          </w:p>
        </w:tc>
        <w:tc>
          <w:tcPr>
            <w:tcW w:w="1720" w:type="dxa"/>
            <w:vAlign w:val="bottom"/>
            <w:gridSpan w:val="4"/>
          </w:tcPr>
          <w:p>
            <w:pPr>
              <w:jc w:val="right"/>
              <w:spacing w:after="0"/>
              <w:rPr>
                <w:sz w:val="20"/>
                <w:szCs w:val="20"/>
                <w:color w:val="auto"/>
              </w:rPr>
            </w:pPr>
            <w:r>
              <w:rPr>
                <w:rFonts w:ascii="Arial" w:cs="Arial" w:eastAsia="Arial" w:hAnsi="Arial"/>
                <w:sz w:val="22"/>
                <w:szCs w:val="22"/>
                <w:color w:val="auto"/>
              </w:rPr>
              <w:t>71,679,519</w:t>
            </w:r>
          </w:p>
        </w:tc>
        <w:tc>
          <w:tcPr>
            <w:tcW w:w="180" w:type="dxa"/>
            <w:vAlign w:val="bottom"/>
          </w:tcPr>
          <w:p>
            <w:pPr>
              <w:spacing w:after="0"/>
              <w:rPr>
                <w:sz w:val="24"/>
                <w:szCs w:val="24"/>
                <w:color w:val="auto"/>
              </w:rPr>
            </w:pPr>
          </w:p>
        </w:tc>
        <w:tc>
          <w:tcPr>
            <w:tcW w:w="1700" w:type="dxa"/>
            <w:vAlign w:val="bottom"/>
            <w:gridSpan w:val="6"/>
          </w:tcPr>
          <w:p>
            <w:pPr>
              <w:jc w:val="right"/>
              <w:ind w:right="100"/>
              <w:spacing w:after="0"/>
              <w:rPr>
                <w:sz w:val="20"/>
                <w:szCs w:val="20"/>
                <w:color w:val="auto"/>
              </w:rPr>
            </w:pPr>
            <w:r>
              <w:rPr>
                <w:rFonts w:ascii="Arial" w:cs="Arial" w:eastAsia="Arial" w:hAnsi="Arial"/>
                <w:sz w:val="22"/>
                <w:szCs w:val="22"/>
                <w:color w:val="auto"/>
              </w:rPr>
              <w:t>53,734,139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rPr>
              <w:t>52,703,341</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Effect of non-taxable income</w:t>
            </w:r>
          </w:p>
        </w:tc>
        <w:tc>
          <w:tcPr>
            <w:tcW w:w="1720" w:type="dxa"/>
            <w:vAlign w:val="bottom"/>
            <w:gridSpan w:val="4"/>
          </w:tcPr>
          <w:p>
            <w:pPr>
              <w:jc w:val="right"/>
              <w:spacing w:after="0"/>
              <w:rPr>
                <w:sz w:val="20"/>
                <w:szCs w:val="20"/>
                <w:color w:val="auto"/>
              </w:rPr>
            </w:pPr>
            <w:r>
              <w:rPr>
                <w:rFonts w:ascii="Arial" w:cs="Arial" w:eastAsia="Arial" w:hAnsi="Arial"/>
                <w:sz w:val="22"/>
                <w:szCs w:val="22"/>
                <w:color w:val="auto"/>
              </w:rPr>
              <w:t>(123,514,282)</w:t>
            </w:r>
          </w:p>
        </w:tc>
        <w:tc>
          <w:tcPr>
            <w:tcW w:w="180" w:type="dxa"/>
            <w:vAlign w:val="bottom"/>
          </w:tcPr>
          <w:p>
            <w:pPr>
              <w:spacing w:after="0"/>
              <w:rPr>
                <w:sz w:val="24"/>
                <w:szCs w:val="24"/>
                <w:color w:val="auto"/>
              </w:rPr>
            </w:pPr>
          </w:p>
        </w:tc>
        <w:tc>
          <w:tcPr>
            <w:tcW w:w="1700" w:type="dxa"/>
            <w:vAlign w:val="bottom"/>
            <w:gridSpan w:val="6"/>
          </w:tcPr>
          <w:p>
            <w:pPr>
              <w:jc w:val="right"/>
              <w:ind w:right="20"/>
              <w:spacing w:after="0"/>
              <w:rPr>
                <w:sz w:val="20"/>
                <w:szCs w:val="20"/>
                <w:color w:val="auto"/>
              </w:rPr>
            </w:pPr>
            <w:r>
              <w:rPr>
                <w:rFonts w:ascii="Arial" w:cs="Arial" w:eastAsia="Arial" w:hAnsi="Arial"/>
                <w:sz w:val="22"/>
                <w:szCs w:val="22"/>
                <w:color w:val="auto"/>
              </w:rPr>
              <w:t>(107,605,649)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rPr>
              <w:t>(102,048,190)</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Effect of expenses adjustable</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060" w:type="dxa"/>
            <w:vAlign w:val="bottom"/>
          </w:tcPr>
          <w:p>
            <w:pPr>
              <w:spacing w:after="0"/>
              <w:rPr>
                <w:sz w:val="24"/>
                <w:szCs w:val="24"/>
                <w:color w:val="auto"/>
              </w:rPr>
            </w:pPr>
          </w:p>
        </w:tc>
        <w:tc>
          <w:tcPr>
            <w:tcW w:w="4480" w:type="dxa"/>
            <w:vAlign w:val="bottom"/>
            <w:gridSpan w:val="3"/>
          </w:tcPr>
          <w:p>
            <w:pPr>
              <w:ind w:left="100"/>
              <w:spacing w:after="0"/>
              <w:rPr>
                <w:sz w:val="20"/>
                <w:szCs w:val="20"/>
                <w:color w:val="auto"/>
              </w:rPr>
            </w:pPr>
            <w:r>
              <w:rPr>
                <w:rFonts w:ascii="Arial" w:cs="Arial" w:eastAsia="Arial" w:hAnsi="Arial"/>
                <w:sz w:val="22"/>
                <w:szCs w:val="22"/>
                <w:color w:val="auto"/>
              </w:rPr>
              <w:t>for tax purpose</w:t>
            </w: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rPr>
              <w:t>(407,583,919)</w:t>
            </w:r>
          </w:p>
        </w:tc>
        <w:tc>
          <w:tcPr>
            <w:tcW w:w="180" w:type="dxa"/>
            <w:vAlign w:val="bottom"/>
          </w:tcPr>
          <w:p>
            <w:pPr>
              <w:spacing w:after="0"/>
              <w:rPr>
                <w:sz w:val="24"/>
                <w:szCs w:val="24"/>
                <w:color w:val="auto"/>
              </w:rPr>
            </w:pPr>
          </w:p>
        </w:tc>
        <w:tc>
          <w:tcPr>
            <w:tcW w:w="17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2"/>
                <w:szCs w:val="22"/>
                <w:color w:val="auto"/>
              </w:rPr>
              <w:t>(501,179,800)</w:t>
            </w: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(260,244,155)</w:t>
            </w:r>
          </w:p>
        </w:tc>
        <w:tc>
          <w:tcPr>
            <w:tcW w:w="0" w:type="dxa"/>
            <w:vAlign w:val="bottom"/>
          </w:tcPr>
          <w:p>
            <w:pPr>
              <w:spacing w:after="0"/>
              <w:rPr>
                <w:sz w:val="1"/>
                <w:szCs w:val="1"/>
                <w:color w:val="auto"/>
              </w:rPr>
            </w:pPr>
          </w:p>
        </w:tc>
      </w:tr>
      <w:tr>
        <w:trPr>
          <w:trHeight w:val="619"/>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Income tax expense</w:t>
            </w: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rPr>
              <w:t>5,881,350,456</w:t>
            </w:r>
          </w:p>
        </w:tc>
        <w:tc>
          <w:tcPr>
            <w:tcW w:w="180" w:type="dxa"/>
            <w:vAlign w:val="bottom"/>
          </w:tcPr>
          <w:p>
            <w:pPr>
              <w:spacing w:after="0"/>
              <w:rPr>
                <w:sz w:val="24"/>
                <w:szCs w:val="24"/>
                <w:color w:val="auto"/>
              </w:rPr>
            </w:pPr>
          </w:p>
        </w:tc>
        <w:tc>
          <w:tcPr>
            <w:tcW w:w="17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22"/>
                <w:szCs w:val="22"/>
                <w:color w:val="auto"/>
              </w:rPr>
              <w:t>5,136,447,549</w:t>
            </w: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w w:val="98"/>
              </w:rPr>
              <w:t>4,152,525,185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Effective income tax rate</w:t>
            </w: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rPr>
              <w:t>23%</w:t>
            </w:r>
          </w:p>
        </w:tc>
        <w:tc>
          <w:tcPr>
            <w:tcW w:w="180" w:type="dxa"/>
            <w:vAlign w:val="bottom"/>
          </w:tcPr>
          <w:p>
            <w:pPr>
              <w:spacing w:after="0"/>
              <w:rPr>
                <w:sz w:val="24"/>
                <w:szCs w:val="24"/>
                <w:color w:val="auto"/>
              </w:rPr>
            </w:pPr>
          </w:p>
        </w:tc>
        <w:tc>
          <w:tcPr>
            <w:tcW w:w="17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22"/>
                <w:szCs w:val="22"/>
                <w:color w:val="auto"/>
              </w:rPr>
              <w:t>23%</w:t>
            </w: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9540" w:type="dxa"/>
            <w:vAlign w:val="bottom"/>
            <w:gridSpan w:val="18"/>
          </w:tcPr>
          <w:p>
            <w:pPr>
              <w:ind w:left="620"/>
              <w:spacing w:after="0"/>
              <w:rPr>
                <w:sz w:val="20"/>
                <w:szCs w:val="20"/>
                <w:color w:val="auto"/>
              </w:rPr>
            </w:pPr>
            <w:r>
              <w:rPr>
                <w:rFonts w:ascii="Arial" w:cs="Arial" w:eastAsia="Arial" w:hAnsi="Arial"/>
                <w:sz w:val="22"/>
                <w:szCs w:val="22"/>
                <w:color w:val="auto"/>
                <w:w w:val="91"/>
              </w:rPr>
              <w:t>Significant components of the Company's deferred tax assets and liabilities are as follows (in RMB):</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3"/>
          </w:tcPr>
          <w:p>
            <w:pPr>
              <w:jc w:val="right"/>
              <w:ind w:right="812"/>
              <w:spacing w:after="0"/>
              <w:rPr>
                <w:sz w:val="20"/>
                <w:szCs w:val="20"/>
                <w:color w:val="auto"/>
              </w:rPr>
            </w:pPr>
            <w:r>
              <w:rPr>
                <w:rFonts w:ascii="Arial" w:cs="Arial" w:eastAsia="Arial" w:hAnsi="Arial"/>
                <w:sz w:val="22"/>
                <w:szCs w:val="22"/>
                <w:color w:val="auto"/>
                <w:w w:val="95"/>
              </w:rPr>
              <w:t>Balance at December 31</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line="229" w:lineRule="exact"/>
              <w:rPr>
                <w:sz w:val="20"/>
                <w:szCs w:val="20"/>
                <w:color w:val="auto"/>
              </w:rPr>
            </w:pPr>
            <w:r>
              <w:rPr>
                <w:rFonts w:ascii="Arial" w:cs="Arial" w:eastAsia="Arial" w:hAnsi="Arial"/>
                <w:sz w:val="22"/>
                <w:szCs w:val="22"/>
                <w:color w:val="auto"/>
              </w:rPr>
              <w:t>2015</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4"/>
          </w:tcPr>
          <w:p>
            <w:pPr>
              <w:jc w:val="right"/>
              <w:ind w:right="100"/>
              <w:spacing w:after="0" w:line="229" w:lineRule="exact"/>
              <w:rPr>
                <w:sz w:val="20"/>
                <w:szCs w:val="20"/>
                <w:color w:val="auto"/>
              </w:rPr>
            </w:pPr>
            <w:r>
              <w:rPr>
                <w:rFonts w:ascii="Arial" w:cs="Arial" w:eastAsia="Arial" w:hAnsi="Arial"/>
                <w:sz w:val="22"/>
                <w:szCs w:val="22"/>
                <w:color w:val="auto"/>
              </w:rPr>
              <w:t>2014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Deferred tax assets: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Provision for impairment loss on fixed</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ind w:left="100"/>
              <w:spacing w:after="0"/>
              <w:rPr>
                <w:sz w:val="20"/>
                <w:szCs w:val="20"/>
                <w:color w:val="auto"/>
              </w:rPr>
            </w:pPr>
            <w:r>
              <w:rPr>
                <w:rFonts w:ascii="Arial" w:cs="Arial" w:eastAsia="Arial" w:hAnsi="Arial"/>
                <w:sz w:val="22"/>
                <w:szCs w:val="22"/>
                <w:color w:val="auto"/>
              </w:rPr>
              <w:t>assets and depreciation difference</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w w:val="98"/>
              </w:rPr>
              <w:t>1,224,652,401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w w:val="98"/>
              </w:rPr>
              <w:t>1,018,705,191</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Accrued expense and estimated liability</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rPr>
              <w:t>991,038,099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rPr>
              <w:t>939,233,731</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Provision for decline in value of inventories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4480" w:type="dxa"/>
            <w:vAlign w:val="bottom"/>
            <w:gridSpan w:val="3"/>
          </w:tcPr>
          <w:p>
            <w:pPr>
              <w:ind w:left="140"/>
              <w:spacing w:after="0"/>
              <w:rPr>
                <w:sz w:val="20"/>
                <w:szCs w:val="20"/>
                <w:color w:val="auto"/>
              </w:rPr>
            </w:pPr>
            <w:r>
              <w:rPr>
                <w:rFonts w:ascii="Arial" w:cs="Arial" w:eastAsia="Arial" w:hAnsi="Arial"/>
                <w:sz w:val="22"/>
                <w:szCs w:val="22"/>
                <w:color w:val="auto"/>
              </w:rPr>
              <w:t>and accounts receivable</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rPr>
              <w:t>35,732,236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rPr>
              <w:t>27,685,449</w:t>
            </w:r>
          </w:p>
        </w:tc>
        <w:tc>
          <w:tcPr>
            <w:tcW w:w="0" w:type="dxa"/>
            <w:vAlign w:val="bottom"/>
          </w:tcPr>
          <w:p>
            <w:pPr>
              <w:spacing w:after="0"/>
              <w:rPr>
                <w:sz w:val="1"/>
                <w:szCs w:val="1"/>
                <w:color w:val="auto"/>
              </w:rPr>
            </w:pPr>
          </w:p>
        </w:tc>
      </w:tr>
      <w:tr>
        <w:trPr>
          <w:trHeight w:val="308"/>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Others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256,708,529</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260,993,746</w:t>
            </w: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Subtotal</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w w:val="98"/>
              </w:rPr>
              <w:t>2,508,131,265</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w w:val="98"/>
              </w:rPr>
              <w:t>2,246,618,117</w:t>
            </w:r>
          </w:p>
        </w:tc>
        <w:tc>
          <w:tcPr>
            <w:tcW w:w="0" w:type="dxa"/>
            <w:vAlign w:val="bottom"/>
          </w:tcPr>
          <w:p>
            <w:pPr>
              <w:spacing w:after="0"/>
              <w:rPr>
                <w:sz w:val="1"/>
                <w:szCs w:val="1"/>
                <w:color w:val="auto"/>
              </w:rPr>
            </w:pPr>
          </w:p>
        </w:tc>
      </w:tr>
      <w:tr>
        <w:trPr>
          <w:trHeight w:val="554"/>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Deferred tax liabilities: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rPr>
              <w:t>(498,729)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22"/>
                <w:szCs w:val="22"/>
                <w:color w:val="auto"/>
              </w:rPr>
              <w:t>(629,117)</w:t>
            </w: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1"/>
        </w:trPr>
        <w:tc>
          <w:tcPr>
            <w:tcW w:w="10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22"/>
                <w:szCs w:val="22"/>
                <w:color w:val="auto"/>
              </w:rPr>
              <w:t>Deferred tax assets, net</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w w:val="98"/>
              </w:rPr>
              <w:t>2,507,632,536</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w w:val="98"/>
              </w:rPr>
              <w:t>2,245,989,000</w:t>
            </w:r>
          </w:p>
        </w:tc>
        <w:tc>
          <w:tcPr>
            <w:tcW w:w="0" w:type="dxa"/>
            <w:vAlign w:val="bottom"/>
          </w:tcPr>
          <w:p>
            <w:pPr>
              <w:spacing w:after="0"/>
              <w:rPr>
                <w:sz w:val="1"/>
                <w:szCs w:val="1"/>
                <w:color w:val="auto"/>
              </w:rPr>
            </w:pPr>
          </w:p>
        </w:tc>
      </w:tr>
      <w:tr>
        <w:trPr>
          <w:trHeight w:val="20"/>
        </w:trPr>
        <w:tc>
          <w:tcPr>
            <w:tcW w:w="5540" w:type="dxa"/>
            <w:vAlign w:val="bottom"/>
            <w:gridSpan w:val="4"/>
            <w:vMerge w:val="restart"/>
          </w:tcPr>
          <w:p>
            <w:pPr>
              <w:spacing w:after="0"/>
              <w:rPr>
                <w:sz w:val="20"/>
                <w:szCs w:val="20"/>
                <w:color w:val="auto"/>
              </w:rPr>
            </w:pPr>
            <w:r>
              <w:rPr>
                <w:rFonts w:ascii="Arial" w:cs="Arial" w:eastAsia="Arial" w:hAnsi="Arial"/>
                <w:sz w:val="22"/>
                <w:szCs w:val="22"/>
                <w:color w:val="auto"/>
                <w:w w:val="97"/>
              </w:rPr>
              <w:t>8.  RELATED PARTY TRANSACTIONS AND BALANCES</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5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620"/>
        <w:spacing w:after="0" w:line="250" w:lineRule="auto"/>
        <w:rPr>
          <w:sz w:val="20"/>
          <w:szCs w:val="20"/>
          <w:color w:val="auto"/>
        </w:rPr>
      </w:pPr>
      <w:r>
        <w:rPr>
          <w:rFonts w:ascii="Arial" w:cs="Arial" w:eastAsia="Arial" w:hAnsi="Arial"/>
          <w:sz w:val="22"/>
          <w:szCs w:val="22"/>
          <w:color w:val="auto"/>
        </w:rPr>
        <w:t>Sales to affiliates amounted to RMB 168,477,769,109, RMB 157,556,930,214 and RMB 136,592,717,885 for the years ended December 31, 2015, 2014 and 2013, respectively. Interest income from SAIC-Finance amounted to RMB 152,427,022, RMB 258,420,591 and RMB 291,667,394 for the years ended December 31, 2015, 2014 and 2013, respectively.</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- 18 -</w:t>
      </w:r>
    </w:p>
    <w:p>
      <w:pPr>
        <w:sectPr>
          <w:pgSz w:w="11900" w:h="16838" w:orient="portrait"/>
          <w:cols w:equalWidth="0" w:num="1">
            <w:col w:w="11420"/>
          </w:cols>
          <w:pgMar w:left="240" w:top="126" w:right="239" w:bottom="1440" w:gutter="0" w:footer="0" w:header="0"/>
          <w:type w:val="continuous"/>
        </w:sectPr>
      </w:pPr>
    </w:p>
    <w:bookmarkStart w:id="160" w:name="page161"/>
    <w:bookmarkEnd w:id="160"/>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2015, 2014 and 2013 (unaudited) Notes to The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1"/>
          <w:szCs w:val="21"/>
          <w:color w:val="auto"/>
        </w:rPr>
        <w:t>COMMITMENTS AND CONTINGENCIES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 Lease commitments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Future minimum lease payments under non-cancelable operating lease as of December 31, 2015 are:</w:t>
      </w:r>
    </w:p>
    <w:p>
      <w:pPr>
        <w:spacing w:after="0" w:line="152" w:lineRule="exact"/>
        <w:rPr>
          <w:sz w:val="20"/>
          <w:szCs w:val="20"/>
          <w:color w:val="auto"/>
        </w:rPr>
      </w:pPr>
    </w:p>
    <w:tbl>
      <w:tblPr>
        <w:tblLayout w:type="fixed"/>
        <w:tblInd w:w="680" w:type="dxa"/>
        <w:tblCellMar>
          <w:top w:w="0" w:type="dxa"/>
          <w:left w:w="0" w:type="dxa"/>
          <w:bottom w:w="0" w:type="dxa"/>
          <w:right w:w="0" w:type="dxa"/>
        </w:tblCellMar>
      </w:tblPr>
      <w:tr>
        <w:trPr>
          <w:trHeight w:val="275"/>
        </w:trPr>
        <w:tc>
          <w:tcPr>
            <w:tcW w:w="8480" w:type="dxa"/>
            <w:vAlign w:val="bottom"/>
          </w:tcPr>
          <w:p>
            <w:pPr>
              <w:spacing w:after="0"/>
              <w:rPr>
                <w:sz w:val="20"/>
                <w:szCs w:val="20"/>
                <w:color w:val="auto"/>
              </w:rPr>
            </w:pPr>
            <w:r>
              <w:rPr>
                <w:rFonts w:ascii="Arial" w:cs="Arial" w:eastAsia="Arial" w:hAnsi="Arial"/>
                <w:sz w:val="22"/>
                <w:szCs w:val="22"/>
                <w:color w:val="auto"/>
              </w:rPr>
              <w:t>Within one year</w:t>
            </w:r>
          </w:p>
        </w:tc>
        <w:tc>
          <w:tcPr>
            <w:tcW w:w="1500" w:type="dxa"/>
            <w:vAlign w:val="bottom"/>
          </w:tcPr>
          <w:p>
            <w:pPr>
              <w:jc w:val="right"/>
              <w:spacing w:after="0"/>
              <w:rPr>
                <w:sz w:val="20"/>
                <w:szCs w:val="20"/>
                <w:color w:val="auto"/>
              </w:rPr>
            </w:pPr>
            <w:r>
              <w:rPr>
                <w:rFonts w:ascii="Arial" w:cs="Arial" w:eastAsia="Arial" w:hAnsi="Arial"/>
                <w:sz w:val="22"/>
                <w:szCs w:val="22"/>
                <w:color w:val="auto"/>
              </w:rPr>
              <w:t>20,137,000</w:t>
            </w:r>
          </w:p>
        </w:tc>
      </w:tr>
      <w:tr>
        <w:trPr>
          <w:trHeight w:val="308"/>
        </w:trPr>
        <w:tc>
          <w:tcPr>
            <w:tcW w:w="8480" w:type="dxa"/>
            <w:vAlign w:val="bottom"/>
          </w:tcPr>
          <w:p>
            <w:pPr>
              <w:spacing w:after="0"/>
              <w:rPr>
                <w:sz w:val="20"/>
                <w:szCs w:val="20"/>
                <w:color w:val="auto"/>
              </w:rPr>
            </w:pPr>
            <w:r>
              <w:rPr>
                <w:rFonts w:ascii="Arial" w:cs="Arial" w:eastAsia="Arial" w:hAnsi="Arial"/>
                <w:sz w:val="22"/>
                <w:szCs w:val="22"/>
                <w:color w:val="auto"/>
              </w:rPr>
              <w:t>After one year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177,865,000</w:t>
            </w:r>
          </w:p>
        </w:tc>
      </w:tr>
      <w:tr>
        <w:trPr>
          <w:trHeight w:val="295"/>
        </w:trPr>
        <w:tc>
          <w:tcPr>
            <w:tcW w:w="8480" w:type="dxa"/>
            <w:vAlign w:val="bottom"/>
          </w:tcPr>
          <w:p>
            <w:pPr>
              <w:spacing w:after="0"/>
              <w:rPr>
                <w:sz w:val="20"/>
                <w:szCs w:val="20"/>
                <w:color w:val="auto"/>
              </w:rPr>
            </w:pPr>
            <w:r>
              <w:rPr>
                <w:rFonts w:ascii="Arial" w:cs="Arial" w:eastAsia="Arial" w:hAnsi="Arial"/>
                <w:sz w:val="22"/>
                <w:szCs w:val="22"/>
                <w:color w:val="auto"/>
              </w:rPr>
              <w:t>Total minimum lease payments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198,002,000</w:t>
            </w:r>
          </w:p>
        </w:tc>
      </w:tr>
      <w:tr>
        <w:trPr>
          <w:trHeight w:val="20"/>
        </w:trPr>
        <w:tc>
          <w:tcPr>
            <w:tcW w:w="8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 Capital commitments</w:t>
      </w:r>
    </w:p>
    <w:p>
      <w:pPr>
        <w:spacing w:after="0" w:line="226" w:lineRule="exact"/>
        <w:rPr>
          <w:sz w:val="20"/>
          <w:szCs w:val="20"/>
          <w:color w:val="auto"/>
        </w:rPr>
      </w:pPr>
    </w:p>
    <w:p>
      <w:pPr>
        <w:jc w:val="both"/>
        <w:ind w:left="620" w:right="20"/>
        <w:spacing w:after="0" w:line="253" w:lineRule="auto"/>
        <w:rPr>
          <w:sz w:val="20"/>
          <w:szCs w:val="20"/>
          <w:color w:val="auto"/>
        </w:rPr>
      </w:pPr>
      <w:r>
        <w:rPr>
          <w:rFonts w:ascii="Arial" w:cs="Arial" w:eastAsia="Arial" w:hAnsi="Arial"/>
          <w:sz w:val="22"/>
          <w:szCs w:val="22"/>
          <w:color w:val="auto"/>
        </w:rPr>
        <w:t>As of December 31, 2015, the Company has entered into various firm purchase commitments for the acquisition of long-lived assets, which have not been recognized in the financial statements, totalling RMB 13,246,787,000 (2014: RMB 12,399,163,000).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- 19 -</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lowerLetter"/>
      <w:start w:val="1"/>
    </w:lvl>
    <w:lvl w:ilvl="1">
      <w:lvlJc w:val="left"/>
      <w:lvlText w:val="*"/>
      <w:numFmt w:val="bullet"/>
      <w:start w:val="1"/>
    </w:lvl>
  </w:abstractNum>
  <w:abstractNum w:abstractNumId="7">
    <w:nsid w:val="7724C67E"/>
    <w:multiLevelType w:val="hybridMultilevel"/>
    <w:lvl w:ilvl="0">
      <w:lvlJc w:val="left"/>
      <w:lvlText w:val="(%1)"/>
      <w:numFmt w:val="lowerLetter"/>
      <w:start w:val="1"/>
    </w:lvl>
    <w:lvl w:ilvl="1">
      <w:lvlJc w:val="left"/>
      <w:lvlText w:val="*"/>
      <w:numFmt w:val="bullet"/>
      <w:start w:val="1"/>
    </w:lvl>
  </w:abstractNum>
  <w:abstractNum w:abstractNumId="8">
    <w:nsid w:val="5C482A97"/>
    <w:multiLevelType w:val="hybridMultilevel"/>
    <w:lvl w:ilvl="0">
      <w:lvlJc w:val="left"/>
      <w:lvlText w:val="(%1)"/>
      <w:numFmt w:val="lowerLetter"/>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decimal"/>
      <w:start w:val="4"/>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lowerLetter"/>
      <w:start w:val="1"/>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lowerLetter"/>
      <w:start w:val="1"/>
    </w:lvl>
  </w:abstractNum>
  <w:abstractNum w:abstractNumId="24">
    <w:nsid w:val="4B588F54"/>
    <w:multiLevelType w:val="hybridMultilevel"/>
    <w:lvl w:ilvl="0">
      <w:lvlJc w:val="left"/>
      <w:lvlText w:val="(%1)"/>
      <w:numFmt w:val="lowerLetter"/>
      <w:start w:val="1"/>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lowerLetter"/>
      <w:start w:val="1"/>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lowerLetter"/>
      <w:start w:val="1"/>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2"/>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decimal"/>
      <w:start w:val="1"/>
    </w:lvl>
    <w:lvl w:ilvl="1">
      <w:lvlJc w:val="left"/>
      <w:lvlText w:val="%2)"/>
      <w:numFmt w:val="lowerLetter"/>
      <w:start w:val="1"/>
    </w:lvl>
  </w:abstractNum>
  <w:abstractNum w:abstractNumId="41">
    <w:nsid w:val="4F4EF005"/>
    <w:multiLevelType w:val="hybridMultilevel"/>
    <w:lvl w:ilvl="0">
      <w:lvlJc w:val="left"/>
      <w:lvlText w:val="%1."/>
      <w:numFmt w:val="decimal"/>
      <w:start w:val="1"/>
    </w:lvl>
    <w:lvl w:ilvl="1">
      <w:lvlJc w:val="left"/>
      <w:lvlText w:val="%2)"/>
      <w:numFmt w:val="lowerLetter"/>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lvl w:ilvl="1">
      <w:lvlJc w:val="left"/>
      <w:lvlText w:val="(%2)"/>
      <w:numFmt w:val="lowerLetter"/>
      <w:start w:val="1"/>
    </w:lvl>
  </w:abstractNum>
  <w:abstractNum w:abstractNumId="44">
    <w:nsid w:val="275AC794"/>
    <w:multiLevelType w:val="hybridMultilevel"/>
    <w:lvl w:ilvl="0">
      <w:lvlJc w:val="left"/>
      <w:lvlText w:val="(%1)"/>
      <w:numFmt w:val="lowerLetter"/>
      <w:start w:val="2"/>
    </w:lvl>
  </w:abstractNum>
  <w:abstractNum w:abstractNumId="45">
    <w:nsid w:val="39386575"/>
    <w:multiLevelType w:val="hybridMultilevel"/>
    <w:lvl w:ilvl="0">
      <w:lvlJc w:val="left"/>
      <w:lvlText w:val="(%1)"/>
      <w:numFmt w:val="lowerLetter"/>
      <w:start w:val="3"/>
    </w:lvl>
  </w:abstractNum>
  <w:abstractNum w:abstractNumId="46">
    <w:nsid w:val="1CF10FD8"/>
    <w:multiLevelType w:val="hybridMultilevel"/>
    <w:lvl w:ilvl="0">
      <w:lvlJc w:val="left"/>
      <w:lvlText w:val="(%1)"/>
      <w:numFmt w:val="lowerLetter"/>
      <w:start w:val="4"/>
    </w:lvl>
  </w:abstractNum>
  <w:abstractNum w:abstractNumId="47">
    <w:nsid w:val="180115BE"/>
    <w:multiLevelType w:val="hybridMultilevel"/>
    <w:lvl w:ilvl="0">
      <w:lvlJc w:val="left"/>
      <w:lvlText w:val="(%1)"/>
      <w:numFmt w:val="lowerLetter"/>
      <w:start w:val="5"/>
    </w:lvl>
  </w:abstractNum>
  <w:abstractNum w:abstractNumId="48">
    <w:nsid w:val="235BA861"/>
    <w:multiLevelType w:val="hybridMultilevel"/>
    <w:lvl w:ilvl="0">
      <w:lvlJc w:val="left"/>
      <w:lvlText w:val="(%1)"/>
      <w:numFmt w:val="lowerLetter"/>
      <w:start w:val="6"/>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lowerLetter"/>
      <w:start w:val="8"/>
    </w:lvl>
  </w:abstractNum>
  <w:abstractNum w:abstractNumId="51">
    <w:nsid w:val="15B5AF5C"/>
    <w:multiLevelType w:val="hybridMultilevel"/>
    <w:lvl w:ilvl="0">
      <w:lvlJc w:val="left"/>
      <w:lvlText w:val="%1."/>
      <w:numFmt w:val="decimal"/>
      <w:start w:val="1"/>
    </w:lvl>
    <w:lvl w:ilvl="1">
      <w:lvlJc w:val="left"/>
      <w:lvlText w:val="(%2)"/>
      <w:numFmt w:val="lowerRoman"/>
      <w:start w:val="1"/>
    </w:lvl>
  </w:abstractNum>
  <w:abstractNum w:abstractNumId="52">
    <w:nsid w:val="741226BB"/>
    <w:multiLevelType w:val="hybridMultilevel"/>
    <w:lvl w:ilvl="0">
      <w:lvlJc w:val="left"/>
      <w:lvlText w:val="(%1)"/>
      <w:numFmt w:val="lowerLetter"/>
      <w:start w:val="10"/>
    </w:lvl>
  </w:abstractNum>
  <w:abstractNum w:abstractNumId="53">
    <w:nsid w:val="D34B6A8"/>
    <w:multiLevelType w:val="hybridMultilevel"/>
    <w:lvl w:ilvl="0">
      <w:lvlJc w:val="left"/>
      <w:lvlText w:val="(%1)"/>
      <w:numFmt w:val="lowerLetter"/>
      <w:start w:val="1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lowerLetter"/>
      <w:start w:val="12"/>
    </w:lvl>
  </w:abstractNum>
  <w:abstractNum w:abstractNumId="56">
    <w:nsid w:val="61574095"/>
    <w:multiLevelType w:val="hybridMultilevel"/>
    <w:lvl w:ilvl="0">
      <w:lvlJc w:val="left"/>
      <w:lvlText w:val="(%1)"/>
      <w:numFmt w:val="lowerLetter"/>
      <w:start w:val="13"/>
    </w:lvl>
  </w:abstractNum>
  <w:abstractNum w:abstractNumId="57">
    <w:nsid w:val="7E0C57B1"/>
    <w:multiLevelType w:val="hybridMultilevel"/>
    <w:lvl w:ilvl="0">
      <w:lvlJc w:val="left"/>
      <w:lvlText w:val="(%1)"/>
      <w:numFmt w:val="lowerLetter"/>
      <w:start w:val="14"/>
    </w:lvl>
  </w:abstractNum>
  <w:abstractNum w:abstractNumId="58">
    <w:nsid w:val="77AE35EB"/>
    <w:multiLevelType w:val="hybridMultilevel"/>
    <w:lvl w:ilvl="0">
      <w:lvlJc w:val="left"/>
      <w:lvlText w:val="(%1)"/>
      <w:numFmt w:val="lowerLetter"/>
      <w:start w:val="15"/>
    </w:lvl>
  </w:abstractNum>
  <w:abstractNum w:abstractNumId="59">
    <w:nsid w:val="579BE4F1"/>
    <w:multiLevelType w:val="hybridMultilevel"/>
    <w:lvl w:ilvl="0">
      <w:lvlJc w:val="left"/>
      <w:lvlText w:val="%1."/>
      <w:numFmt w:val="decimal"/>
      <w:start w:val="1"/>
    </w:lvl>
    <w:lvl w:ilvl="1">
      <w:lvlJc w:val="left"/>
      <w:lvlText w:val="(%2)"/>
      <w:numFmt w:val="lowerLetter"/>
      <w:start w:val="16"/>
    </w:lvl>
  </w:abstractNum>
  <w:abstractNum w:abstractNumId="60">
    <w:nsid w:val="310C50B3"/>
    <w:multiLevelType w:val="hybridMultilevel"/>
    <w:lvl w:ilvl="0">
      <w:lvlJc w:val="left"/>
      <w:lvlText w:val="(%1)"/>
      <w:numFmt w:val="lowerLetter"/>
      <w:start w:val="17"/>
    </w:lvl>
  </w:abstractNum>
  <w:abstractNum w:abstractNumId="61">
    <w:nsid w:val="5FF87E05"/>
    <w:multiLevelType w:val="hybridMultilevel"/>
    <w:lvl w:ilvl="0">
      <w:lvlJc w:val="left"/>
      <w:lvlText w:val="(%1)"/>
      <w:numFmt w:val="lowerLetter"/>
      <w:start w:val="18"/>
    </w:lvl>
  </w:abstractNum>
  <w:abstractNum w:abstractNumId="62">
    <w:nsid w:val="2F305DEF"/>
    <w:multiLevelType w:val="hybridMultilevel"/>
    <w:lvl w:ilvl="0">
      <w:lvlJc w:val="left"/>
      <w:lvlText w:val="(%1)"/>
      <w:numFmt w:val="lowerLetter"/>
      <w:start w:val="19"/>
    </w:lvl>
  </w:abstractNum>
  <w:abstractNum w:abstractNumId="63">
    <w:nsid w:val="25A70BF7"/>
    <w:multiLevelType w:val="hybridMultilevel"/>
    <w:lvl w:ilvl="0">
      <w:lvlJc w:val="left"/>
      <w:lvlText w:val="%1."/>
      <w:numFmt w:val="decimal"/>
      <w:start w:val="1"/>
    </w:lvl>
    <w:lvl w:ilvl="1">
      <w:lvlJc w:val="left"/>
      <w:lvlText w:val="(%2)"/>
      <w:numFmt w:val="lowerLetter"/>
      <w:start w:val="20"/>
    </w:lvl>
  </w:abstractNum>
  <w:abstractNum w:abstractNumId="64">
    <w:nsid w:val="1DBABF00"/>
    <w:multiLevelType w:val="hybridMultilevel"/>
    <w:lvl w:ilvl="0">
      <w:lvlJc w:val="left"/>
      <w:lvlText w:val="(%1)"/>
      <w:numFmt w:val="lowerLetter"/>
      <w:start w:val="21"/>
    </w:lvl>
  </w:abstractNum>
  <w:abstractNum w:abstractNumId="65">
    <w:nsid w:val="4AD084E9"/>
    <w:multiLevelType w:val="hybridMultilevel"/>
    <w:lvl w:ilvl="0">
      <w:lvlJc w:val="left"/>
      <w:lvlText w:val="(%1)"/>
      <w:numFmt w:val="lowerRoman"/>
      <w:start w:val="5"/>
    </w:lvl>
  </w:abstractNum>
  <w:abstractNum w:abstractNumId="66">
    <w:nsid w:val="1F48EAA1"/>
    <w:multiLevelType w:val="hybridMultilevel"/>
    <w:lvl w:ilvl="0">
      <w:lvlJc w:val="left"/>
      <w:lvlText w:val="%1."/>
      <w:numFmt w:val="decimal"/>
      <w:start w:val="1"/>
    </w:lvl>
    <w:lvl w:ilvl="1">
      <w:lvlJc w:val="left"/>
      <w:lvlText w:val="(%2)"/>
      <w:numFmt w:val="lowerLetter"/>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2019-12-29T14:34:02Z</dcterms:created>
  <dcterms:modified xsi:type="dcterms:W3CDTF">2019-12-29T14:34:02Z</dcterms:modified>
</cp:coreProperties>
</file>