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90,119,869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90,122,701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90,122,701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60" w:right="7740" w:hanging="647"/>
        <w:spacing w:after="0" w:line="286" w:lineRule="auto"/>
        <w:tabs>
          <w:tab w:leader="none" w:pos="15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General Motors Co.</w:t>
      </w:r>
    </w:p>
    <w:p>
      <w:pPr>
        <w:spacing w:after="0" w:line="45" w:lineRule="exact"/>
        <w:rPr>
          <w:rFonts w:ascii="Times New Roman" w:cs="Times New Roman" w:eastAsia="Times New Roman" w:hAnsi="Times New Roman"/>
          <w:sz w:val="21"/>
          <w:szCs w:val="21"/>
          <w:b w:val="1"/>
          <w:bCs w:val="1"/>
          <w:color w:val="auto"/>
        </w:rPr>
      </w:pPr>
    </w:p>
    <w:p>
      <w:pPr>
        <w:jc w:val="both"/>
        <w:ind w:left="1560" w:right="5140" w:hanging="647"/>
        <w:spacing w:after="0" w:line="286" w:lineRule="auto"/>
        <w:tabs>
          <w:tab w:leader="none" w:pos="15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300 Renaissance Center, Detroit, MI 48265-3000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60" w:hanging="647"/>
        <w:spacing w:after="0"/>
        <w:tabs>
          <w:tab w:leader="none" w:pos="15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5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Capital Research Global Investors</w:t>
      </w:r>
    </w:p>
    <w:p>
      <w:pPr>
        <w:spacing w:after="0" w:line="97" w:lineRule="exact"/>
        <w:rPr>
          <w:rFonts w:ascii="Times New Roman" w:cs="Times New Roman" w:eastAsia="Times New Roman" w:hAnsi="Times New Roman"/>
          <w:sz w:val="22"/>
          <w:szCs w:val="22"/>
          <w:b w:val="1"/>
          <w:bCs w:val="1"/>
          <w:color w:val="auto"/>
        </w:rPr>
      </w:pPr>
    </w:p>
    <w:p>
      <w:pPr>
        <w:ind w:left="1560" w:right="406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560" w:right="842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560" w:right="7060" w:hanging="647"/>
        <w:spacing w:after="0" w:line="262" w:lineRule="auto"/>
        <w:tabs>
          <w:tab w:leader="none" w:pos="15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60" w:right="798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37045V100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20"/>
            <w:col w:w="872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560" w:hanging="647"/>
        <w:spacing w:after="0"/>
        <w:tabs>
          <w:tab w:leader="none" w:pos="1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90,122,701 **</w:t>
      </w:r>
    </w:p>
    <w:p>
      <w:pPr>
        <w:spacing w:after="0" w:line="125" w:lineRule="exact"/>
        <w:rPr>
          <w:rFonts w:ascii="Times New Roman" w:cs="Times New Roman" w:eastAsia="Times New Roman" w:hAnsi="Times New Roman"/>
          <w:sz w:val="22"/>
          <w:szCs w:val="22"/>
          <w:color w:val="auto"/>
        </w:rPr>
      </w:pPr>
    </w:p>
    <w:p>
      <w:pPr>
        <w:ind w:left="1560" w:hanging="647"/>
        <w:spacing w:after="0"/>
        <w:tabs>
          <w:tab w:leader="none" w:pos="1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6.3%</w:t>
      </w:r>
    </w:p>
    <w:p>
      <w:pPr>
        <w:spacing w:after="0" w:line="125" w:lineRule="exact"/>
        <w:rPr>
          <w:rFonts w:ascii="Times New Roman" w:cs="Times New Roman" w:eastAsia="Times New Roman" w:hAnsi="Times New Roman"/>
          <w:sz w:val="22"/>
          <w:szCs w:val="22"/>
          <w:color w:val="auto"/>
        </w:rPr>
      </w:pPr>
    </w:p>
    <w:p>
      <w:pPr>
        <w:ind w:left="1560" w:hanging="647"/>
        <w:spacing w:after="0"/>
        <w:tabs>
          <w:tab w:leader="none" w:pos="1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00" w:hanging="739"/>
        <w:spacing w:after="0"/>
        <w:tabs>
          <w:tab w:leader="none" w:pos="2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00" w:hanging="739"/>
        <w:spacing w:after="0"/>
        <w:tabs>
          <w:tab w:leader="none" w:pos="2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00" w:hanging="739"/>
        <w:spacing w:after="0"/>
        <w:tabs>
          <w:tab w:leader="none" w:pos="230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00" w:right="800" w:hanging="739"/>
        <w:spacing w:after="0" w:line="185" w:lineRule="auto"/>
        <w:tabs>
          <w:tab w:leader="none" w:pos="230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90,119,869</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90,122,701</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500" w:space="260"/>
            <w:col w:w="4260"/>
          </w:cols>
          <w:pgMar w:left="400" w:top="419" w:right="479" w:bottom="0" w:gutter="0" w:footer="0" w:header="0"/>
          <w:type w:val="continuous"/>
        </w:sectPr>
      </w:pPr>
    </w:p>
    <w:p>
      <w:pPr>
        <w:ind w:right="120"/>
        <w:spacing w:after="0" w:line="255" w:lineRule="auto"/>
        <w:rPr>
          <w:sz w:val="20"/>
          <w:szCs w:val="20"/>
          <w:color w:val="auto"/>
        </w:rPr>
      </w:pPr>
      <w:r>
        <w:rPr>
          <w:rFonts w:ascii="Times New Roman" w:cs="Times New Roman" w:eastAsia="Times New Roman" w:hAnsi="Times New Roman"/>
          <w:sz w:val="21"/>
          <w:szCs w:val="21"/>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CRGI's divisions of each of the investment management entities collectively provide investment</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480"/>
        <w:spacing w:after="0" w:line="259" w:lineRule="auto"/>
        <w:rPr>
          <w:sz w:val="20"/>
          <w:szCs w:val="20"/>
          <w:color w:val="auto"/>
        </w:rPr>
      </w:pPr>
      <w:r>
        <w:rPr>
          <w:rFonts w:ascii="Times New Roman" w:cs="Times New Roman" w:eastAsia="Times New Roman" w:hAnsi="Times New Roman"/>
          <w:sz w:val="22"/>
          <w:szCs w:val="22"/>
          <w:color w:val="auto"/>
        </w:rPr>
        <w:t>management services under the name "Capital Research Global Investors." CRGI is deemed to be the beneficial owner of 90,122,701 shares or 6.3% of the 1,431,307,600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Donald H. Rolfe</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2021-02-16T12:29:45Z</dcterms:created>
  <dcterms:modified xsi:type="dcterms:W3CDTF">2021-02-16T12:29:45Z</dcterms:modified>
</cp:coreProperties>
</file>