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October 2, 2012</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On October 2, 2012, General Motors Company issued a news release announcing September sales. The release and charts are attached as Exhibit 99.1.</w:t>
      </w: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October 2,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200" w:type="dxa"/>
            <w:vAlign w:val="bottom"/>
            <w:vMerge w:val="restart"/>
          </w:tcPr>
          <w:p>
            <w:pPr>
              <w:spacing w:after="0"/>
              <w:rPr>
                <w:sz w:val="20"/>
                <w:szCs w:val="20"/>
                <w:color w:val="auto"/>
              </w:rPr>
            </w:pPr>
            <w:r>
              <w:rPr>
                <w:rFonts w:ascii="Arial" w:cs="Arial" w:eastAsia="Arial" w:hAnsi="Arial"/>
                <w:sz w:val="18"/>
                <w:szCs w:val="18"/>
                <w:color w:val="auto"/>
              </w:rPr>
              <w:t>Date: October 4, 2012</w:t>
            </w:r>
          </w:p>
        </w:tc>
        <w:tc>
          <w:tcPr>
            <w:tcW w:w="2200" w:type="dxa"/>
            <w:vAlign w:val="bottom"/>
            <w:vMerge w:val="restart"/>
          </w:tcPr>
          <w:p>
            <w:pPr>
              <w:ind w:left="16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25400</wp:posOffset>
            </wp:positionV>
            <wp:extent cx="2521585"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158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October 2, 2012, 10 a.m. EDT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U.S. Car Sales Increase 29 percent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in September, Total Sales up 1.5 percent</w:t>
      </w:r>
    </w:p>
    <w:p>
      <w:pPr>
        <w:spacing w:after="0" w:line="197" w:lineRule="exact"/>
        <w:rPr>
          <w:sz w:val="20"/>
          <w:szCs w:val="20"/>
          <w:color w:val="auto"/>
        </w:rPr>
      </w:pPr>
    </w:p>
    <w:p>
      <w:pPr>
        <w:jc w:val="both"/>
        <w:ind w:right="28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its highest September U.S. sales since 2008: 210,245 vehicles, up</w:t>
      </w:r>
      <w:r>
        <w:rPr>
          <w:rFonts w:ascii="Arial" w:cs="Arial" w:eastAsia="Arial" w:hAnsi="Arial"/>
          <w:sz w:val="20"/>
          <w:szCs w:val="20"/>
          <w:b w:val="1"/>
          <w:bCs w:val="1"/>
          <w:color w:val="auto"/>
        </w:rPr>
        <w:t xml:space="preserve"> </w:t>
      </w:r>
      <w:r>
        <w:rPr>
          <w:rFonts w:ascii="Arial" w:cs="Arial" w:eastAsia="Arial" w:hAnsi="Arial"/>
          <w:sz w:val="20"/>
          <w:szCs w:val="20"/>
          <w:color w:val="auto"/>
        </w:rPr>
        <w:t>1.5 percent compared with a year ago. New products helped drive a 29 percent increase in passenger car sales. Sales of GM's mini, small and compact cars alone were up a combined 97 percent and all GM brands increased their retail sales.</w:t>
      </w:r>
    </w:p>
    <w:p>
      <w:pPr>
        <w:spacing w:after="0" w:line="196" w:lineRule="exact"/>
        <w:rPr>
          <w:sz w:val="20"/>
          <w:szCs w:val="20"/>
          <w:color w:val="auto"/>
        </w:rPr>
      </w:pPr>
    </w:p>
    <w:p>
      <w:pPr>
        <w:jc w:val="both"/>
        <w:ind w:right="100"/>
        <w:spacing w:after="0" w:line="243" w:lineRule="auto"/>
        <w:rPr>
          <w:sz w:val="20"/>
          <w:szCs w:val="20"/>
          <w:color w:val="auto"/>
        </w:rPr>
      </w:pPr>
      <w:r>
        <w:rPr>
          <w:rFonts w:ascii="Arial" w:cs="Arial" w:eastAsia="Arial" w:hAnsi="Arial"/>
          <w:sz w:val="20"/>
          <w:szCs w:val="20"/>
          <w:color w:val="auto"/>
        </w:rPr>
        <w:t>“Passenger cars have been the launch point for a broad and deep GM product offensive,” said Kurt McNeil, vice president of U.S. sales operations. “Auto sales will continue to be a bright spot for the U.S. economy, which is particularly good news for GM as we walk into an even stronger cadence of new products in 2013 and 2014.”</w:t>
      </w:r>
    </w:p>
    <w:p>
      <w:pPr>
        <w:spacing w:after="0" w:line="206" w:lineRule="exact"/>
        <w:rPr>
          <w:sz w:val="20"/>
          <w:szCs w:val="20"/>
          <w:color w:val="auto"/>
        </w:rPr>
      </w:pPr>
    </w:p>
    <w:p>
      <w:pPr>
        <w:jc w:val="both"/>
        <w:ind w:right="80"/>
        <w:spacing w:after="0" w:line="243" w:lineRule="auto"/>
        <w:rPr>
          <w:sz w:val="20"/>
          <w:szCs w:val="20"/>
          <w:color w:val="auto"/>
        </w:rPr>
      </w:pPr>
      <w:r>
        <w:rPr>
          <w:rFonts w:ascii="Arial" w:cs="Arial" w:eastAsia="Arial" w:hAnsi="Arial"/>
          <w:sz w:val="20"/>
          <w:szCs w:val="20"/>
          <w:color w:val="auto"/>
        </w:rPr>
        <w:t>GM has moved aggressively to replace existing vehicles with better designs, more technology and improved fuel economy. At the same time, GM is entering growth segments and offering new entry points for each brand. Seventy percent of GM nameplates will be all new or redesigned in 2012 and 2013.</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September's car sales increase reflects a strong start for the new Chevrolet Spark and Cadillac XTS, continued strong sales of the Buick Verano, Chevrolet Cruze and Chevrolet Sonic, and a second consecutive all-time sales record for the Chevrolet Volt. September also marked the first deliveries of the all-new Cadillac ATS.</w:t>
      </w:r>
    </w:p>
    <w:p>
      <w:pPr>
        <w:spacing w:after="0" w:line="206"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color w:val="auto"/>
        </w:rPr>
        <w:t>The GMC Terrain and Acadia crossovers had strong months as well, with sales up 8 percent and 16 percent, respectively. This helped drive a 3 percent increase for all GM crossovers versus a year ago.</w:t>
      </w:r>
    </w:p>
    <w:p>
      <w:pPr>
        <w:spacing w:after="0" w:line="20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Truck sales were down 20 percent due to a 46 percent year over year reduction in fleet sales due to the timing of customer deliveries. In the large pickup segment, GM's total sales were down 12 percent and fleet sales were down 56 percent. However, GM reduced its large pickup inventories by approximately 8,600 units compared with August, and earned average transaction prices more than $2,300 per unit above a year ago with the lowest incentive spending in the industry, according to J.D. Power PIN data.</w:t>
      </w:r>
    </w:p>
    <w:p>
      <w:pPr>
        <w:spacing w:after="0" w:line="328" w:lineRule="exact"/>
        <w:rPr>
          <w:sz w:val="20"/>
          <w:szCs w:val="20"/>
          <w:color w:val="auto"/>
        </w:rPr>
      </w:pPr>
    </w:p>
    <w:tbl>
      <w:tblPr>
        <w:tblLayout w:type="fixed"/>
        <w:tblInd w:w="390" w:type="dxa"/>
        <w:tblCellMar>
          <w:top w:w="0" w:type="dxa"/>
          <w:left w:w="0" w:type="dxa"/>
          <w:bottom w:w="0" w:type="dxa"/>
          <w:right w:w="0" w:type="dxa"/>
        </w:tblCellMar>
      </w:tblPr>
      <w:tr>
        <w:trPr>
          <w:trHeight w:val="180"/>
        </w:trPr>
        <w:tc>
          <w:tcPr>
            <w:tcW w:w="1620" w:type="dxa"/>
            <w:vAlign w:val="bottom"/>
            <w:tcBorders>
              <w:top w:val="single" w:sz="8" w:color="auto"/>
              <w:left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Total Change vs.</w:t>
            </w: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Sept. Retail</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Retail Change vs.</w:t>
            </w:r>
          </w:p>
        </w:tc>
        <w:tc>
          <w:tcPr>
            <w:tcW w:w="106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CYTD</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CYTD Retail</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CYTD</w:t>
            </w:r>
          </w:p>
        </w:tc>
        <w:tc>
          <w:tcPr>
            <w:tcW w:w="0" w:type="dxa"/>
            <w:vAlign w:val="bottom"/>
          </w:tcPr>
          <w:p>
            <w:pPr>
              <w:spacing w:after="0"/>
              <w:rPr>
                <w:sz w:val="1"/>
                <w:szCs w:val="1"/>
                <w:color w:val="auto"/>
              </w:rPr>
            </w:pPr>
          </w:p>
        </w:tc>
      </w:tr>
      <w:tr>
        <w:trPr>
          <w:trHeight w:val="81"/>
        </w:trPr>
        <w:tc>
          <w:tcPr>
            <w:tcW w:w="1620" w:type="dxa"/>
            <w:vAlign w:val="bottom"/>
            <w:tcBorders>
              <w:left w:val="single" w:sz="8" w:color="auto"/>
              <w:right w:val="single" w:sz="8" w:color="auto"/>
            </w:tcBorders>
            <w:vMerge w:val="restart"/>
          </w:tcPr>
          <w:p>
            <w:pPr>
              <w:jc w:val="center"/>
              <w:spacing w:after="0" w:line="158" w:lineRule="exact"/>
              <w:rPr>
                <w:sz w:val="20"/>
                <w:szCs w:val="20"/>
                <w:color w:val="auto"/>
              </w:rPr>
            </w:pPr>
            <w:r>
              <w:rPr>
                <w:rFonts w:ascii="Arial" w:cs="Arial" w:eastAsia="Arial" w:hAnsi="Arial"/>
                <w:sz w:val="14"/>
                <w:szCs w:val="14"/>
                <w:b w:val="1"/>
                <w:bCs w:val="1"/>
                <w:color w:val="auto"/>
                <w:w w:val="92"/>
              </w:rPr>
              <w:t>2012 Highlights</w:t>
            </w:r>
          </w:p>
        </w:tc>
        <w:tc>
          <w:tcPr>
            <w:tcW w:w="1180" w:type="dxa"/>
            <w:vAlign w:val="bottom"/>
            <w:tcBorders>
              <w:right w:val="single" w:sz="8" w:color="auto"/>
            </w:tcBorders>
            <w:vMerge w:val="restart"/>
          </w:tcPr>
          <w:p>
            <w:pPr>
              <w:ind w:left="80"/>
              <w:spacing w:after="0" w:line="158" w:lineRule="exact"/>
              <w:rPr>
                <w:sz w:val="20"/>
                <w:szCs w:val="20"/>
                <w:color w:val="auto"/>
              </w:rPr>
            </w:pPr>
            <w:r>
              <w:rPr>
                <w:rFonts w:ascii="Arial" w:cs="Arial" w:eastAsia="Arial" w:hAnsi="Arial"/>
                <w:sz w:val="14"/>
                <w:szCs w:val="14"/>
                <w:b w:val="1"/>
                <w:bCs w:val="1"/>
                <w:color w:val="auto"/>
                <w:w w:val="94"/>
              </w:rPr>
              <w:t>Sept. Total Sales</w:t>
            </w:r>
          </w:p>
        </w:tc>
        <w:tc>
          <w:tcPr>
            <w:tcW w:w="120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ind w:left="300"/>
              <w:spacing w:after="0" w:line="158" w:lineRule="exact"/>
              <w:rPr>
                <w:sz w:val="20"/>
                <w:szCs w:val="20"/>
                <w:color w:val="auto"/>
              </w:rPr>
            </w:pPr>
            <w:r>
              <w:rPr>
                <w:rFonts w:ascii="Arial" w:cs="Arial" w:eastAsia="Arial" w:hAnsi="Arial"/>
                <w:sz w:val="14"/>
                <w:szCs w:val="14"/>
                <w:b w:val="1"/>
                <w:bCs w:val="1"/>
                <w:color w:val="auto"/>
              </w:rPr>
              <w:t>CYTD</w:t>
            </w:r>
          </w:p>
        </w:tc>
        <w:tc>
          <w:tcPr>
            <w:tcW w:w="960" w:type="dxa"/>
            <w:vAlign w:val="bottom"/>
            <w:tcBorders>
              <w:right w:val="single" w:sz="8" w:color="auto"/>
            </w:tcBorders>
            <w:vMerge w:val="restart"/>
          </w:tcPr>
          <w:p>
            <w:pPr>
              <w:jc w:val="center"/>
              <w:spacing w:after="0" w:line="158" w:lineRule="exact"/>
              <w:rPr>
                <w:sz w:val="20"/>
                <w:szCs w:val="20"/>
                <w:color w:val="auto"/>
              </w:rPr>
            </w:pPr>
            <w:r>
              <w:rPr>
                <w:rFonts w:ascii="Arial" w:cs="Arial" w:eastAsia="Arial" w:hAnsi="Arial"/>
                <w:sz w:val="14"/>
                <w:szCs w:val="14"/>
                <w:b w:val="1"/>
                <w:bCs w:val="1"/>
                <w:color w:val="auto"/>
                <w:w w:val="90"/>
              </w:rPr>
              <w:t>Change vs.</w:t>
            </w:r>
          </w:p>
        </w:tc>
        <w:tc>
          <w:tcPr>
            <w:tcW w:w="106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restart"/>
          </w:tcPr>
          <w:p>
            <w:pPr>
              <w:jc w:val="center"/>
              <w:spacing w:after="0" w:line="158" w:lineRule="exact"/>
              <w:rPr>
                <w:sz w:val="20"/>
                <w:szCs w:val="20"/>
                <w:color w:val="auto"/>
              </w:rPr>
            </w:pPr>
            <w:r>
              <w:rPr>
                <w:rFonts w:ascii="Arial" w:cs="Arial" w:eastAsia="Arial" w:hAnsi="Arial"/>
                <w:sz w:val="14"/>
                <w:szCs w:val="14"/>
                <w:b w:val="1"/>
                <w:bCs w:val="1"/>
                <w:color w:val="auto"/>
              </w:rPr>
              <w:t>Retail Change vs.</w:t>
            </w: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Sept. 2011</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Sales</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Sept. 2011</w:t>
            </w:r>
          </w:p>
        </w:tc>
        <w:tc>
          <w:tcPr>
            <w:tcW w:w="106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1"/>
              </w:rPr>
              <w:t>Sales</w:t>
            </w:r>
          </w:p>
        </w:tc>
        <w:tc>
          <w:tcPr>
            <w:tcW w:w="1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620" w:type="dxa"/>
            <w:vAlign w:val="bottom"/>
            <w:tcBorders>
              <w:left w:val="single" w:sz="8" w:color="auto"/>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2011</w:t>
            </w:r>
          </w:p>
        </w:tc>
        <w:tc>
          <w:tcPr>
            <w:tcW w:w="106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01"/>
        </w:trPr>
        <w:tc>
          <w:tcPr>
            <w:tcW w:w="1620" w:type="dxa"/>
            <w:vAlign w:val="bottom"/>
            <w:tcBorders>
              <w:left w:val="single" w:sz="8" w:color="auto"/>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vMerge w:val="continue"/>
          </w:tcPr>
          <w:p>
            <w:pPr>
              <w:spacing w:after="0"/>
              <w:rPr>
                <w:sz w:val="8"/>
                <w:szCs w:val="8"/>
                <w:color w:val="auto"/>
              </w:rPr>
            </w:pPr>
          </w:p>
        </w:tc>
        <w:tc>
          <w:tcPr>
            <w:tcW w:w="960" w:type="dxa"/>
            <w:vAlign w:val="bottom"/>
            <w:tcBorders>
              <w:bottom w:val="single" w:sz="8" w:color="auto"/>
              <w:right w:val="single" w:sz="8" w:color="auto"/>
            </w:tcBorders>
            <w:vMerge w:val="continue"/>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Chevrolet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149,801</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103,668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1,420,383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959,770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3.9%</w:t>
            </w: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GMC</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33,192</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29,018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306,558</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256,799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2.9%</w:t>
            </w: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Buick</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14,673</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13,598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137,262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122,490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Cadillac</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12,579</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(1.3)%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11,990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103,512</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(8.6)%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97,793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(1.9)%</w:t>
            </w: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Total GM</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210,245</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1.5%</w:t>
            </w:r>
          </w:p>
        </w:tc>
        <w:tc>
          <w:tcPr>
            <w:tcW w:w="96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4"/>
                <w:szCs w:val="14"/>
                <w:color w:val="auto"/>
                <w:w w:val="90"/>
              </w:rPr>
              <w:t>158,274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1,967,715</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1,436,852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3.2%</w:t>
            </w:r>
          </w:p>
        </w:tc>
        <w:tc>
          <w:tcPr>
            <w:tcW w:w="0" w:type="dxa"/>
            <w:vAlign w:val="bottom"/>
          </w:tcPr>
          <w:p>
            <w:pPr>
              <w:spacing w:after="0"/>
              <w:rPr>
                <w:sz w:val="1"/>
                <w:szCs w:val="1"/>
                <w:color w:val="auto"/>
              </w:rPr>
            </w:pPr>
          </w:p>
        </w:tc>
      </w:tr>
    </w:tbl>
    <w:p>
      <w:pPr>
        <w:sectPr>
          <w:pgSz w:w="11900" w:h="16838" w:orient="portrait"/>
          <w:cols w:equalWidth="0" w:num="1">
            <w:col w:w="11420"/>
          </w:cols>
          <w:pgMar w:left="240" w:top="811" w:right="239" w:bottom="1440" w:gutter="0" w:footer="0" w:header="0"/>
        </w:sectPr>
      </w:pPr>
    </w:p>
    <w:bookmarkStart w:id="5" w:name="page6"/>
    <w:bookmarkEnd w:id="5"/>
    <w:p>
      <w:pPr>
        <w:spacing w:after="0" w:line="1" w:lineRule="exact"/>
        <w:rPr>
          <w:sz w:val="20"/>
          <w:szCs w:val="20"/>
          <w:color w:val="auto"/>
        </w:rPr>
      </w:pPr>
    </w:p>
    <w:tbl>
      <w:tblPr>
        <w:tblLayout w:type="fixed"/>
        <w:tblInd w:w="390" w:type="dxa"/>
        <w:tblCellMar>
          <w:top w:w="0" w:type="dxa"/>
          <w:left w:w="0" w:type="dxa"/>
          <w:bottom w:w="0" w:type="dxa"/>
          <w:right w:w="0" w:type="dxa"/>
        </w:tblCellMar>
      </w:tblPr>
      <w:tr>
        <w:trPr>
          <w:trHeight w:val="180"/>
        </w:trPr>
        <w:tc>
          <w:tcPr>
            <w:tcW w:w="1400" w:type="dxa"/>
            <w:vAlign w:val="bottom"/>
            <w:tcBorders>
              <w:top w:val="single" w:sz="8" w:color="auto"/>
              <w:left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Days Supply (selling</w:t>
            </w: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Borders>
              <w:top w:val="single" w:sz="8" w:color="auto"/>
              <w:right w:val="single" w:sz="8" w:color="auto"/>
            </w:tcBorders>
          </w:tcPr>
          <w:p>
            <w:pPr>
              <w:spacing w:after="0"/>
              <w:rPr>
                <w:sz w:val="15"/>
                <w:szCs w:val="15"/>
                <w:color w:val="auto"/>
              </w:rPr>
            </w:pPr>
          </w:p>
        </w:tc>
        <w:tc>
          <w:tcPr>
            <w:tcW w:w="1400" w:type="dxa"/>
            <w:vAlign w:val="bottom"/>
            <w:tcBorders>
              <w:top w:val="single" w:sz="8" w:color="auto"/>
              <w:right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Days Supply</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Year-end Inventory</w:t>
            </w:r>
          </w:p>
        </w:tc>
        <w:tc>
          <w:tcPr>
            <w:tcW w:w="18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Year-end Days Supply</w:t>
            </w:r>
          </w:p>
        </w:tc>
        <w:tc>
          <w:tcPr>
            <w:tcW w:w="0" w:type="dxa"/>
            <w:vAlign w:val="bottom"/>
          </w:tcPr>
          <w:p>
            <w:pPr>
              <w:spacing w:after="0"/>
              <w:rPr>
                <w:sz w:val="1"/>
                <w:szCs w:val="1"/>
                <w:color w:val="auto"/>
              </w:rPr>
            </w:pPr>
          </w:p>
        </w:tc>
      </w:tr>
      <w:tr>
        <w:trPr>
          <w:trHeight w:val="81"/>
        </w:trPr>
        <w:tc>
          <w:tcPr>
            <w:tcW w:w="1400" w:type="dxa"/>
            <w:vAlign w:val="bottom"/>
            <w:tcBorders>
              <w:left w:val="single" w:sz="8" w:color="auto"/>
              <w:right w:val="single" w:sz="8" w:color="auto"/>
            </w:tcBorders>
            <w:vMerge w:val="restart"/>
          </w:tcPr>
          <w:p>
            <w:pPr>
              <w:jc w:val="center"/>
              <w:spacing w:after="0" w:line="158" w:lineRule="exact"/>
              <w:rPr>
                <w:sz w:val="20"/>
                <w:szCs w:val="20"/>
                <w:color w:val="auto"/>
              </w:rPr>
            </w:pPr>
            <w:r>
              <w:rPr>
                <w:rFonts w:ascii="Arial" w:cs="Arial" w:eastAsia="Arial" w:hAnsi="Arial"/>
                <w:sz w:val="14"/>
                <w:szCs w:val="14"/>
                <w:b w:val="1"/>
                <w:bCs w:val="1"/>
                <w:color w:val="auto"/>
                <w:w w:val="98"/>
              </w:rPr>
              <w:t>Inventory</w:t>
            </w:r>
          </w:p>
        </w:tc>
        <w:tc>
          <w:tcPr>
            <w:tcW w:w="160" w:type="dxa"/>
            <w:vAlign w:val="bottom"/>
          </w:tcPr>
          <w:p>
            <w:pPr>
              <w:spacing w:after="0"/>
              <w:rPr>
                <w:sz w:val="7"/>
                <w:szCs w:val="7"/>
                <w:color w:val="auto"/>
              </w:rPr>
            </w:pPr>
          </w:p>
        </w:tc>
        <w:tc>
          <w:tcPr>
            <w:tcW w:w="1340" w:type="dxa"/>
            <w:vAlign w:val="bottom"/>
            <w:tcBorders>
              <w:right w:val="single" w:sz="8" w:color="auto"/>
            </w:tcBorders>
            <w:vMerge w:val="restart"/>
          </w:tcPr>
          <w:p>
            <w:pPr>
              <w:jc w:val="center"/>
              <w:ind w:right="128"/>
              <w:spacing w:after="0" w:line="158" w:lineRule="exact"/>
              <w:rPr>
                <w:sz w:val="20"/>
                <w:szCs w:val="20"/>
                <w:color w:val="auto"/>
              </w:rPr>
            </w:pPr>
            <w:r>
              <w:rPr>
                <w:rFonts w:ascii="Arial" w:cs="Arial" w:eastAsia="Arial" w:hAnsi="Arial"/>
                <w:sz w:val="14"/>
                <w:szCs w:val="14"/>
                <w:b w:val="1"/>
                <w:bCs w:val="1"/>
                <w:color w:val="auto"/>
              </w:rPr>
              <w:t>Units @</w:t>
            </w:r>
          </w:p>
        </w:tc>
        <w:tc>
          <w:tcPr>
            <w:tcW w:w="150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gridSpan w:val="2"/>
            <w:vMerge w:val="restart"/>
          </w:tcPr>
          <w:p>
            <w:pPr>
              <w:jc w:val="center"/>
              <w:spacing w:after="0" w:line="158" w:lineRule="exact"/>
              <w:rPr>
                <w:sz w:val="20"/>
                <w:szCs w:val="20"/>
                <w:color w:val="auto"/>
              </w:rPr>
            </w:pPr>
            <w:r>
              <w:rPr>
                <w:rFonts w:ascii="Arial" w:cs="Arial" w:eastAsia="Arial" w:hAnsi="Arial"/>
                <w:sz w:val="14"/>
                <w:szCs w:val="14"/>
                <w:b w:val="1"/>
                <w:bCs w:val="1"/>
                <w:color w:val="auto"/>
              </w:rPr>
              <w:t>Units @</w:t>
            </w:r>
          </w:p>
        </w:tc>
        <w:tc>
          <w:tcPr>
            <w:tcW w:w="28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gridSpan w:val="2"/>
            <w:vMerge w:val="restart"/>
          </w:tcPr>
          <w:p>
            <w:pPr>
              <w:jc w:val="center"/>
              <w:ind w:right="40"/>
              <w:spacing w:after="0" w:line="158" w:lineRule="exact"/>
              <w:rPr>
                <w:sz w:val="20"/>
                <w:szCs w:val="20"/>
                <w:color w:val="auto"/>
              </w:rPr>
            </w:pPr>
            <w:r>
              <w:rPr>
                <w:rFonts w:ascii="Arial" w:cs="Arial" w:eastAsia="Arial" w:hAnsi="Arial"/>
                <w:sz w:val="14"/>
                <w:szCs w:val="14"/>
                <w:b w:val="1"/>
                <w:bCs w:val="1"/>
                <w:color w:val="auto"/>
              </w:rPr>
              <w:t>(selling day</w:t>
            </w:r>
          </w:p>
        </w:tc>
        <w:tc>
          <w:tcPr>
            <w:tcW w:w="1600" w:type="dxa"/>
            <w:vAlign w:val="bottom"/>
            <w:tcBorders>
              <w:right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tcBorders>
              <w:right w:val="single" w:sz="8" w:color="auto"/>
            </w:tcBorders>
            <w:vMerge w:val="restart"/>
          </w:tcPr>
          <w:p>
            <w:pPr>
              <w:jc w:val="center"/>
              <w:ind w:right="208"/>
              <w:spacing w:after="0" w:line="158" w:lineRule="exact"/>
              <w:rPr>
                <w:sz w:val="20"/>
                <w:szCs w:val="20"/>
                <w:color w:val="auto"/>
              </w:rPr>
            </w:pPr>
            <w:r>
              <w:rPr>
                <w:rFonts w:ascii="Arial" w:cs="Arial" w:eastAsia="Arial" w:hAnsi="Arial"/>
                <w:sz w:val="14"/>
                <w:szCs w:val="14"/>
                <w:b w:val="1"/>
                <w:bCs w:val="1"/>
                <w:color w:val="auto"/>
                <w:w w:val="92"/>
              </w:rPr>
              <w:t>Target (selling day</w:t>
            </w:r>
          </w:p>
        </w:tc>
        <w:tc>
          <w:tcPr>
            <w:tcW w:w="0" w:type="dxa"/>
            <w:vAlign w:val="bottom"/>
          </w:tcPr>
          <w:p>
            <w:pPr>
              <w:spacing w:after="0"/>
              <w:rPr>
                <w:sz w:val="1"/>
                <w:szCs w:val="1"/>
                <w:color w:val="auto"/>
              </w:rPr>
            </w:pPr>
          </w:p>
        </w:tc>
      </w:tr>
      <w:tr>
        <w:trPr>
          <w:trHeight w:val="77"/>
        </w:trPr>
        <w:tc>
          <w:tcPr>
            <w:tcW w:w="1400" w:type="dxa"/>
            <w:vAlign w:val="bottom"/>
            <w:tcBorders>
              <w:left w:val="single" w:sz="8" w:color="auto"/>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Borders>
              <w:right w:val="single" w:sz="8" w:color="auto"/>
            </w:tcBorders>
            <w:vMerge w:val="restart"/>
          </w:tcPr>
          <w:p>
            <w:pPr>
              <w:jc w:val="center"/>
              <w:ind w:right="128"/>
              <w:spacing w:after="0"/>
              <w:rPr>
                <w:sz w:val="20"/>
                <w:szCs w:val="20"/>
                <w:color w:val="auto"/>
              </w:rPr>
            </w:pPr>
            <w:r>
              <w:rPr>
                <w:rFonts w:ascii="Arial" w:cs="Arial" w:eastAsia="Arial" w:hAnsi="Arial"/>
                <w:sz w:val="14"/>
                <w:szCs w:val="14"/>
                <w:b w:val="1"/>
                <w:bCs w:val="1"/>
                <w:color w:val="auto"/>
                <w:w w:val="93"/>
              </w:rPr>
              <w:t>day adjusted)</w:t>
            </w:r>
          </w:p>
        </w:tc>
        <w:tc>
          <w:tcPr>
            <w:tcW w:w="2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gridSpan w:val="2"/>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60" w:type="dxa"/>
            <w:vAlign w:val="bottom"/>
          </w:tcPr>
          <w:p>
            <w:pPr>
              <w:spacing w:after="0"/>
              <w:rPr>
                <w:sz w:val="6"/>
                <w:szCs w:val="6"/>
                <w:color w:val="auto"/>
              </w:rPr>
            </w:pPr>
          </w:p>
        </w:tc>
        <w:tc>
          <w:tcPr>
            <w:tcW w:w="15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400" w:type="dxa"/>
            <w:vAlign w:val="bottom"/>
            <w:tcBorders>
              <w:left w:val="single" w:sz="8" w:color="auto"/>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Borders>
              <w:right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rPr>
              <w:t>Oct. 1, 2012</w:t>
            </w:r>
          </w:p>
        </w:tc>
        <w:tc>
          <w:tcPr>
            <w:tcW w:w="180" w:type="dxa"/>
            <w:vAlign w:val="bottom"/>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Aug. 31, 2012</w:t>
            </w:r>
          </w:p>
        </w:tc>
        <w:tc>
          <w:tcPr>
            <w:tcW w:w="28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adjusted)</w:t>
            </w:r>
          </w:p>
        </w:tc>
        <w:tc>
          <w:tcPr>
            <w:tcW w:w="1600" w:type="dxa"/>
            <w:vAlign w:val="bottom"/>
            <w:tcBorders>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Borders>
              <w:right w:val="single" w:sz="8" w:color="auto"/>
            </w:tcBorders>
            <w:vMerge w:val="restart"/>
          </w:tcPr>
          <w:p>
            <w:pPr>
              <w:jc w:val="center"/>
              <w:ind w:right="208"/>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01"/>
        </w:trPr>
        <w:tc>
          <w:tcPr>
            <w:tcW w:w="1400" w:type="dxa"/>
            <w:vAlign w:val="bottom"/>
            <w:tcBorders>
              <w:left w:val="single" w:sz="8" w:color="auto"/>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right w:val="single" w:sz="8" w:color="auto"/>
            </w:tcBorders>
            <w:gridSpan w:val="2"/>
            <w:vMerge w:val="continue"/>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All Vehicles</w:t>
            </w:r>
          </w:p>
        </w:tc>
        <w:tc>
          <w:tcPr>
            <w:tcW w:w="15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0"/>
              </w:rPr>
              <w:t>689,334</w:t>
            </w:r>
          </w:p>
        </w:tc>
        <w:tc>
          <w:tcPr>
            <w:tcW w:w="1500" w:type="dxa"/>
            <w:vAlign w:val="bottom"/>
            <w:tcBorders>
              <w:bottom w:val="single" w:sz="8" w:color="auto"/>
              <w:right w:val="single" w:sz="8" w:color="auto"/>
            </w:tcBorders>
            <w:gridSpan w:val="2"/>
          </w:tcPr>
          <w:p>
            <w:pPr>
              <w:jc w:val="right"/>
              <w:ind w:right="628"/>
              <w:spacing w:after="0"/>
              <w:rPr>
                <w:sz w:val="20"/>
                <w:szCs w:val="20"/>
                <w:color w:val="auto"/>
              </w:rPr>
            </w:pPr>
            <w:r>
              <w:rPr>
                <w:rFonts w:ascii="Arial" w:cs="Arial" w:eastAsia="Arial" w:hAnsi="Arial"/>
                <w:sz w:val="14"/>
                <w:szCs w:val="14"/>
                <w:color w:val="auto"/>
              </w:rPr>
              <w:t>82</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687,354</w:t>
            </w:r>
          </w:p>
        </w:tc>
        <w:tc>
          <w:tcPr>
            <w:tcW w:w="28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77</w:t>
            </w:r>
          </w:p>
        </w:tc>
        <w:tc>
          <w:tcPr>
            <w:tcW w:w="1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650,000 units (range)</w:t>
            </w:r>
          </w:p>
        </w:tc>
        <w:tc>
          <w:tcPr>
            <w:tcW w:w="1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65 - 70</w:t>
            </w: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Full-size Pickups</w:t>
            </w:r>
          </w:p>
        </w:tc>
        <w:tc>
          <w:tcPr>
            <w:tcW w:w="15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0"/>
              </w:rPr>
              <w:t>240,810</w:t>
            </w:r>
          </w:p>
        </w:tc>
        <w:tc>
          <w:tcPr>
            <w:tcW w:w="1500" w:type="dxa"/>
            <w:vAlign w:val="bottom"/>
            <w:tcBorders>
              <w:bottom w:val="single" w:sz="8" w:color="auto"/>
              <w:right w:val="single" w:sz="8" w:color="auto"/>
            </w:tcBorders>
            <w:gridSpan w:val="2"/>
          </w:tcPr>
          <w:p>
            <w:pPr>
              <w:jc w:val="right"/>
              <w:ind w:right="588"/>
              <w:spacing w:after="0"/>
              <w:rPr>
                <w:sz w:val="20"/>
                <w:szCs w:val="20"/>
                <w:color w:val="auto"/>
              </w:rPr>
            </w:pPr>
            <w:r>
              <w:rPr>
                <w:rFonts w:ascii="Arial" w:cs="Arial" w:eastAsia="Arial" w:hAnsi="Arial"/>
                <w:sz w:val="14"/>
                <w:szCs w:val="14"/>
                <w:color w:val="auto"/>
              </w:rPr>
              <w:t>116</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249,411</w:t>
            </w:r>
          </w:p>
        </w:tc>
        <w:tc>
          <w:tcPr>
            <w:tcW w:w="28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122</w:t>
            </w:r>
          </w:p>
        </w:tc>
        <w:tc>
          <w:tcPr>
            <w:tcW w:w="1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200,000 - 220,000 units</w:t>
            </w:r>
          </w:p>
        </w:tc>
        <w:tc>
          <w:tcPr>
            <w:tcW w:w="1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80 - 85</w:t>
            </w:r>
          </w:p>
        </w:tc>
        <w:tc>
          <w:tcPr>
            <w:tcW w:w="0" w:type="dxa"/>
            <w:vAlign w:val="bottom"/>
          </w:tcPr>
          <w:p>
            <w:pPr>
              <w:spacing w:after="0"/>
              <w:rPr>
                <w:sz w:val="1"/>
                <w:szCs w:val="1"/>
                <w:color w:val="auto"/>
              </w:rPr>
            </w:pPr>
          </w:p>
        </w:tc>
      </w:tr>
      <w:tr>
        <w:trPr>
          <w:trHeight w:val="567"/>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3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1"/>
              </w:rPr>
              <w:t>Industry Sales</w:t>
            </w:r>
          </w:p>
        </w:tc>
        <w:tc>
          <w:tcPr>
            <w:tcW w:w="18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8"/>
              </w:rPr>
              <w:t>Sept. SAAR (est.)</w:t>
            </w:r>
          </w:p>
        </w:tc>
        <w:tc>
          <w:tcPr>
            <w:tcW w:w="3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CYTD SAAR (est.)</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Full Year 2012 (est.)</w:t>
            </w:r>
          </w:p>
        </w:tc>
        <w:tc>
          <w:tcPr>
            <w:tcW w:w="260" w:type="dxa"/>
            <w:vAlign w:val="bottom"/>
            <w:tcBorders>
              <w:bottom w:val="single" w:sz="8" w:color="auto"/>
              <w:right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Light Vehicles</w:t>
            </w:r>
          </w:p>
        </w:tc>
        <w:tc>
          <w:tcPr>
            <w:tcW w:w="1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14.5 million range</w:t>
            </w:r>
          </w:p>
        </w:tc>
        <w:tc>
          <w:tcPr>
            <w:tcW w:w="3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gridSpan w:val="2"/>
          </w:tcPr>
          <w:p>
            <w:pPr>
              <w:jc w:val="center"/>
              <w:ind w:right="688"/>
              <w:spacing w:after="0"/>
              <w:rPr>
                <w:sz w:val="20"/>
                <w:szCs w:val="20"/>
                <w:color w:val="auto"/>
              </w:rPr>
            </w:pPr>
            <w:r>
              <w:rPr>
                <w:rFonts w:ascii="Arial" w:cs="Arial" w:eastAsia="Arial" w:hAnsi="Arial"/>
                <w:sz w:val="14"/>
                <w:szCs w:val="14"/>
                <w:color w:val="auto"/>
                <w:w w:val="98"/>
              </w:rPr>
              <w:t>14.3 million</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14.0 million - 14.5 million</w:t>
            </w:r>
          </w:p>
        </w:tc>
        <w:tc>
          <w:tcPr>
            <w:tcW w:w="260" w:type="dxa"/>
            <w:vAlign w:val="bottom"/>
            <w:tcBorders>
              <w:bottom w:val="single" w:sz="8" w:color="auto"/>
              <w:right w:val="single" w:sz="8" w:color="auto"/>
            </w:tcBorders>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714"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5"/>
        </w:trPr>
        <w:tc>
          <w:tcPr>
            <w:tcW w:w="2540" w:type="dxa"/>
            <w:vAlign w:val="bottom"/>
            <w:tcBorders>
              <w:top w:val="single" w:sz="8" w:color="auto"/>
              <w:left w:val="single" w:sz="8" w:color="auto"/>
              <w:right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September</w:t>
            </w:r>
          </w:p>
        </w:tc>
        <w:tc>
          <w:tcPr>
            <w:tcW w:w="1100" w:type="dxa"/>
            <w:vAlign w:val="bottom"/>
            <w:tcBorders>
              <w:top w:val="single" w:sz="8" w:color="auto"/>
              <w:right w:val="single" w:sz="8" w:color="auto"/>
            </w:tcBorders>
          </w:tcPr>
          <w:p>
            <w:pPr>
              <w:spacing w:after="0"/>
              <w:rPr>
                <w:sz w:val="24"/>
                <w:szCs w:val="24"/>
                <w:color w:val="auto"/>
              </w:rPr>
            </w:pPr>
          </w:p>
        </w:tc>
        <w:tc>
          <w:tcPr>
            <w:tcW w:w="248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(Calendar Year-to-Date)</w:t>
            </w:r>
          </w:p>
        </w:tc>
        <w:tc>
          <w:tcPr>
            <w:tcW w:w="800" w:type="dxa"/>
            <w:vAlign w:val="bottom"/>
            <w:tcBorders>
              <w:top w:val="single" w:sz="8" w:color="auto"/>
              <w:right w:val="single" w:sz="8" w:color="auto"/>
            </w:tcBorders>
          </w:tcPr>
          <w:p>
            <w:pPr>
              <w:spacing w:after="0"/>
              <w:rPr>
                <w:sz w:val="24"/>
                <w:szCs w:val="24"/>
                <w:color w:val="auto"/>
              </w:rPr>
            </w:pPr>
          </w:p>
        </w:tc>
      </w:tr>
      <w:tr>
        <w:trPr>
          <w:trHeight w:val="289"/>
        </w:trPr>
        <w:tc>
          <w:tcPr>
            <w:tcW w:w="2540" w:type="dxa"/>
            <w:vAlign w:val="bottom"/>
            <w:tcBorders>
              <w:left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1"/>
              </w:rPr>
              <w:t>January - September</w:t>
            </w:r>
          </w:p>
        </w:tc>
        <w:tc>
          <w:tcPr>
            <w:tcW w:w="800" w:type="dxa"/>
            <w:vAlign w:val="bottom"/>
            <w:tcBorders>
              <w:bottom w:val="single" w:sz="8" w:color="auto"/>
              <w:right w:val="single" w:sz="8" w:color="auto"/>
            </w:tcBorders>
          </w:tcPr>
          <w:p>
            <w:pPr>
              <w:spacing w:after="0"/>
              <w:rPr>
                <w:sz w:val="24"/>
                <w:szCs w:val="24"/>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Borders>
              <w:right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%Change</w:t>
            </w:r>
          </w:p>
        </w:tc>
        <w:tc>
          <w:tcPr>
            <w:tcW w:w="1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Borders>
              <w:right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2,012</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Volume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Volume</w:t>
            </w:r>
          </w:p>
        </w:tc>
      </w:tr>
      <w:tr>
        <w:trPr>
          <w:trHeight w:val="258"/>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4,210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4,868</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(13.5)</w:t>
            </w:r>
          </w:p>
        </w:tc>
        <w:tc>
          <w:tcPr>
            <w:tcW w:w="1020" w:type="dxa"/>
            <w:vAlign w:val="bottom"/>
          </w:tcPr>
          <w:p>
            <w:pPr>
              <w:jc w:val="right"/>
              <w:spacing w:after="0"/>
              <w:rPr>
                <w:sz w:val="20"/>
                <w:szCs w:val="20"/>
                <w:color w:val="auto"/>
              </w:rPr>
            </w:pPr>
            <w:r>
              <w:rPr>
                <w:rFonts w:ascii="Arial" w:cs="Arial" w:eastAsia="Arial" w:hAnsi="Arial"/>
                <w:sz w:val="14"/>
                <w:szCs w:val="14"/>
                <w:color w:val="auto"/>
              </w:rPr>
              <w:t>41,561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44,404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4,580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4,338</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5.6</w:t>
            </w:r>
          </w:p>
        </w:tc>
        <w:tc>
          <w:tcPr>
            <w:tcW w:w="1020" w:type="dxa"/>
            <w:vAlign w:val="bottom"/>
          </w:tcPr>
          <w:p>
            <w:pPr>
              <w:jc w:val="right"/>
              <w:spacing w:after="0"/>
              <w:rPr>
                <w:sz w:val="20"/>
                <w:szCs w:val="20"/>
                <w:color w:val="auto"/>
              </w:rPr>
            </w:pPr>
            <w:r>
              <w:rPr>
                <w:rFonts w:ascii="Arial" w:cs="Arial" w:eastAsia="Arial" w:hAnsi="Arial"/>
                <w:sz w:val="14"/>
                <w:szCs w:val="14"/>
                <w:color w:val="auto"/>
              </w:rPr>
              <w:t>45,066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45,058</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1,068</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(99.8)</w:t>
            </w:r>
          </w:p>
        </w:tc>
        <w:tc>
          <w:tcPr>
            <w:tcW w:w="1020" w:type="dxa"/>
            <w:vAlign w:val="bottom"/>
          </w:tcPr>
          <w:p>
            <w:pPr>
              <w:jc w:val="right"/>
              <w:spacing w:after="0"/>
              <w:rPr>
                <w:sz w:val="20"/>
                <w:szCs w:val="20"/>
                <w:color w:val="auto"/>
              </w:rPr>
            </w:pPr>
            <w:r>
              <w:rPr>
                <w:rFonts w:ascii="Arial" w:cs="Arial" w:eastAsia="Arial" w:hAnsi="Arial"/>
                <w:sz w:val="14"/>
                <w:szCs w:val="14"/>
                <w:color w:val="auto"/>
              </w:rPr>
              <w:t>966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17,973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(94.6)</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1,839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3,325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(44.7)</w:t>
            </w:r>
          </w:p>
        </w:tc>
        <w:tc>
          <w:tcPr>
            <w:tcW w:w="1020" w:type="dxa"/>
            <w:vAlign w:val="bottom"/>
          </w:tcPr>
          <w:p>
            <w:pPr>
              <w:jc w:val="right"/>
              <w:spacing w:after="0"/>
              <w:rPr>
                <w:sz w:val="20"/>
                <w:szCs w:val="20"/>
                <w:color w:val="auto"/>
              </w:rPr>
            </w:pPr>
            <w:r>
              <w:rPr>
                <w:rFonts w:ascii="Arial" w:cs="Arial" w:eastAsia="Arial" w:hAnsi="Arial"/>
                <w:sz w:val="14"/>
                <w:szCs w:val="14"/>
                <w:color w:val="auto"/>
              </w:rPr>
              <w:t>20,523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32,657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(37.2)</w:t>
            </w:r>
          </w:p>
        </w:tc>
      </w:tr>
      <w:tr>
        <w:trPr>
          <w:trHeight w:val="276"/>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4,042</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29,146</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14,673</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13,599</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7.9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137,262</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140,092</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r>
      <w:tr>
        <w:trPr>
          <w:trHeight w:val="258"/>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611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611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3,103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4,663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(33.5)</w:t>
            </w:r>
          </w:p>
        </w:tc>
        <w:tc>
          <w:tcPr>
            <w:tcW w:w="1020" w:type="dxa"/>
            <w:vAlign w:val="bottom"/>
          </w:tcPr>
          <w:p>
            <w:pPr>
              <w:jc w:val="right"/>
              <w:spacing w:after="0"/>
              <w:rPr>
                <w:sz w:val="20"/>
                <w:szCs w:val="20"/>
                <w:color w:val="auto"/>
              </w:rPr>
            </w:pPr>
            <w:r>
              <w:rPr>
                <w:rFonts w:ascii="Arial" w:cs="Arial" w:eastAsia="Arial" w:hAnsi="Arial"/>
                <w:sz w:val="14"/>
                <w:szCs w:val="14"/>
                <w:color w:val="auto"/>
              </w:rPr>
              <w:t>38,465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41,900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583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(99.7)</w:t>
            </w:r>
          </w:p>
        </w:tc>
        <w:tc>
          <w:tcPr>
            <w:tcW w:w="1020" w:type="dxa"/>
            <w:vAlign w:val="bottom"/>
          </w:tcPr>
          <w:p>
            <w:pPr>
              <w:jc w:val="right"/>
              <w:spacing w:after="0"/>
              <w:rPr>
                <w:sz w:val="20"/>
                <w:szCs w:val="20"/>
                <w:color w:val="auto"/>
              </w:rPr>
            </w:pPr>
            <w:r>
              <w:rPr>
                <w:rFonts w:ascii="Arial" w:cs="Arial" w:eastAsia="Arial" w:hAnsi="Arial"/>
                <w:sz w:val="14"/>
                <w:szCs w:val="14"/>
                <w:color w:val="auto"/>
              </w:rPr>
              <w:t>462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10,755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(95.7)</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913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1,527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(40.2)</w:t>
            </w:r>
          </w:p>
        </w:tc>
        <w:tc>
          <w:tcPr>
            <w:tcW w:w="1020" w:type="dxa"/>
            <w:vAlign w:val="bottom"/>
          </w:tcPr>
          <w:p>
            <w:pPr>
              <w:jc w:val="right"/>
              <w:spacing w:after="0"/>
              <w:rPr>
                <w:sz w:val="20"/>
                <w:szCs w:val="20"/>
                <w:color w:val="auto"/>
              </w:rPr>
            </w:pPr>
            <w:r>
              <w:rPr>
                <w:rFonts w:ascii="Arial" w:cs="Arial" w:eastAsia="Arial" w:hAnsi="Arial"/>
                <w:sz w:val="14"/>
                <w:szCs w:val="14"/>
                <w:color w:val="auto"/>
              </w:rPr>
              <w:t>9,294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10,491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595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713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(16.5)</w:t>
            </w:r>
          </w:p>
        </w:tc>
        <w:tc>
          <w:tcPr>
            <w:tcW w:w="1020" w:type="dxa"/>
            <w:vAlign w:val="bottom"/>
          </w:tcPr>
          <w:p>
            <w:pPr>
              <w:jc w:val="right"/>
              <w:spacing w:after="0"/>
              <w:rPr>
                <w:sz w:val="20"/>
                <w:szCs w:val="20"/>
                <w:color w:val="auto"/>
              </w:rPr>
            </w:pPr>
            <w:r>
              <w:rPr>
                <w:rFonts w:ascii="Arial" w:cs="Arial" w:eastAsia="Arial" w:hAnsi="Arial"/>
                <w:sz w:val="14"/>
                <w:szCs w:val="14"/>
                <w:color w:val="auto"/>
              </w:rPr>
              <w:t>5,795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5,770</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188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174</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8.0</w:t>
            </w:r>
          </w:p>
        </w:tc>
        <w:tc>
          <w:tcPr>
            <w:tcW w:w="1020" w:type="dxa"/>
            <w:vAlign w:val="bottom"/>
          </w:tcPr>
          <w:p>
            <w:pPr>
              <w:jc w:val="right"/>
              <w:spacing w:after="0"/>
              <w:rPr>
                <w:sz w:val="20"/>
                <w:szCs w:val="20"/>
                <w:color w:val="auto"/>
              </w:rPr>
            </w:pPr>
            <w:r>
              <w:rPr>
                <w:rFonts w:ascii="Arial" w:cs="Arial" w:eastAsia="Arial" w:hAnsi="Arial"/>
                <w:sz w:val="14"/>
                <w:szCs w:val="14"/>
                <w:color w:val="auto"/>
              </w:rPr>
              <w:t>1,348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1,415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4,660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4,901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(4.9)</w:t>
            </w:r>
          </w:p>
        </w:tc>
        <w:tc>
          <w:tcPr>
            <w:tcW w:w="1020" w:type="dxa"/>
            <w:vAlign w:val="bottom"/>
          </w:tcPr>
          <w:p>
            <w:pPr>
              <w:jc w:val="right"/>
              <w:spacing w:after="0"/>
              <w:rPr>
                <w:sz w:val="20"/>
                <w:szCs w:val="20"/>
                <w:color w:val="auto"/>
              </w:rPr>
            </w:pPr>
            <w:r>
              <w:rPr>
                <w:rFonts w:ascii="Arial" w:cs="Arial" w:eastAsia="Arial" w:hAnsi="Arial"/>
                <w:sz w:val="14"/>
                <w:szCs w:val="14"/>
                <w:color w:val="auto"/>
              </w:rPr>
              <w:t>40,224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39,861</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180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(99.4)</w:t>
            </w:r>
          </w:p>
        </w:tc>
        <w:tc>
          <w:tcPr>
            <w:tcW w:w="1020" w:type="dxa"/>
            <w:vAlign w:val="bottom"/>
          </w:tcPr>
          <w:p>
            <w:pPr>
              <w:jc w:val="right"/>
              <w:spacing w:after="0"/>
              <w:rPr>
                <w:sz w:val="20"/>
                <w:szCs w:val="20"/>
                <w:color w:val="auto"/>
              </w:rPr>
            </w:pPr>
            <w:r>
              <w:rPr>
                <w:rFonts w:ascii="Arial" w:cs="Arial" w:eastAsia="Arial" w:hAnsi="Arial"/>
                <w:sz w:val="14"/>
                <w:szCs w:val="14"/>
                <w:color w:val="auto"/>
              </w:rPr>
              <w:t>157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2,986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(94.7)</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XLR</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89"/>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2,506</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7,156</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12,579</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12,741</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103,512</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113,190</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(8.6)</w:t>
            </w:r>
          </w:p>
        </w:tc>
      </w:tr>
      <w:tr>
        <w:trPr>
          <w:trHeight w:val="258"/>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2,030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1,861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9.1</w:t>
            </w:r>
          </w:p>
        </w:tc>
        <w:tc>
          <w:tcPr>
            <w:tcW w:w="1020" w:type="dxa"/>
            <w:vAlign w:val="bottom"/>
          </w:tcPr>
          <w:p>
            <w:pPr>
              <w:jc w:val="right"/>
              <w:spacing w:after="0"/>
              <w:rPr>
                <w:sz w:val="20"/>
                <w:szCs w:val="20"/>
                <w:color w:val="auto"/>
              </w:rPr>
            </w:pPr>
            <w:r>
              <w:rPr>
                <w:rFonts w:ascii="Arial" w:cs="Arial" w:eastAsia="Arial" w:hAnsi="Arial"/>
                <w:sz w:val="14"/>
                <w:szCs w:val="14"/>
                <w:color w:val="auto"/>
              </w:rPr>
              <w:t>17,149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13,989</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22.6</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1,271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(99.8)</w:t>
            </w:r>
          </w:p>
        </w:tc>
        <w:tc>
          <w:tcPr>
            <w:tcW w:w="1020" w:type="dxa"/>
            <w:vAlign w:val="bottom"/>
          </w:tcPr>
          <w:p>
            <w:pPr>
              <w:jc w:val="right"/>
              <w:spacing w:after="0"/>
              <w:rPr>
                <w:sz w:val="20"/>
                <w:szCs w:val="20"/>
                <w:color w:val="auto"/>
              </w:rPr>
            </w:pPr>
            <w:r>
              <w:rPr>
                <w:rFonts w:ascii="Arial" w:cs="Arial" w:eastAsia="Arial" w:hAnsi="Arial"/>
                <w:sz w:val="14"/>
                <w:szCs w:val="14"/>
                <w:color w:val="auto"/>
              </w:rPr>
              <w:t>61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28,482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(99.8)</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5,670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6,994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(18.9)</w:t>
            </w:r>
          </w:p>
        </w:tc>
        <w:tc>
          <w:tcPr>
            <w:tcW w:w="1020" w:type="dxa"/>
            <w:vAlign w:val="bottom"/>
          </w:tcPr>
          <w:p>
            <w:pPr>
              <w:jc w:val="right"/>
              <w:spacing w:after="0"/>
              <w:rPr>
                <w:sz w:val="20"/>
                <w:szCs w:val="20"/>
                <w:color w:val="auto"/>
              </w:rPr>
            </w:pPr>
            <w:r>
              <w:rPr>
                <w:rFonts w:ascii="Arial" w:cs="Arial" w:eastAsia="Arial" w:hAnsi="Arial"/>
                <w:sz w:val="14"/>
                <w:szCs w:val="14"/>
                <w:color w:val="auto"/>
              </w:rPr>
              <w:t>68,968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70,249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454</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140</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224.3</w:t>
            </w:r>
          </w:p>
        </w:tc>
        <w:tc>
          <w:tcPr>
            <w:tcW w:w="1020" w:type="dxa"/>
            <w:vAlign w:val="bottom"/>
          </w:tcPr>
          <w:p>
            <w:pPr>
              <w:jc w:val="right"/>
              <w:spacing w:after="0"/>
              <w:rPr>
                <w:sz w:val="20"/>
                <w:szCs w:val="20"/>
                <w:color w:val="auto"/>
              </w:rPr>
            </w:pPr>
            <w:r>
              <w:rPr>
                <w:rFonts w:ascii="Arial" w:cs="Arial" w:eastAsia="Arial" w:hAnsi="Arial"/>
                <w:sz w:val="14"/>
                <w:szCs w:val="14"/>
                <w:color w:val="auto"/>
              </w:rPr>
              <w:t>2,865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498</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475.3</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2,849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27,148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843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(98.7)</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2,833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2,171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30.5</w:t>
            </w:r>
          </w:p>
        </w:tc>
        <w:tc>
          <w:tcPr>
            <w:tcW w:w="1020" w:type="dxa"/>
            <w:vAlign w:val="bottom"/>
          </w:tcPr>
          <w:p>
            <w:pPr>
              <w:jc w:val="right"/>
              <w:spacing w:after="0"/>
              <w:rPr>
                <w:sz w:val="20"/>
                <w:szCs w:val="20"/>
                <w:color w:val="auto"/>
              </w:rPr>
            </w:pPr>
            <w:r>
              <w:rPr>
                <w:rFonts w:ascii="Arial" w:cs="Arial" w:eastAsia="Arial" w:hAnsi="Arial"/>
                <w:sz w:val="14"/>
                <w:szCs w:val="14"/>
                <w:color w:val="auto"/>
              </w:rPr>
              <w:t>32,608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23,985</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36.0</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1,351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1,147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17.8</w:t>
            </w:r>
          </w:p>
        </w:tc>
        <w:tc>
          <w:tcPr>
            <w:tcW w:w="1020" w:type="dxa"/>
            <w:vAlign w:val="bottom"/>
          </w:tcPr>
          <w:p>
            <w:pPr>
              <w:jc w:val="right"/>
              <w:spacing w:after="0"/>
              <w:rPr>
                <w:sz w:val="20"/>
                <w:szCs w:val="20"/>
                <w:color w:val="auto"/>
              </w:rPr>
            </w:pPr>
            <w:r>
              <w:rPr>
                <w:rFonts w:ascii="Arial" w:cs="Arial" w:eastAsia="Arial" w:hAnsi="Arial"/>
                <w:sz w:val="14"/>
                <w:szCs w:val="14"/>
                <w:color w:val="auto"/>
              </w:rPr>
              <w:t>10,570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10,270</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25,787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18,097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42.5</w:t>
            </w:r>
          </w:p>
        </w:tc>
        <w:tc>
          <w:tcPr>
            <w:tcW w:w="1020" w:type="dxa"/>
            <w:vAlign w:val="bottom"/>
          </w:tcPr>
          <w:p>
            <w:pPr>
              <w:jc w:val="right"/>
              <w:spacing w:after="0"/>
              <w:rPr>
                <w:sz w:val="20"/>
                <w:szCs w:val="20"/>
                <w:color w:val="auto"/>
              </w:rPr>
            </w:pPr>
            <w:r>
              <w:rPr>
                <w:rFonts w:ascii="Arial" w:cs="Arial" w:eastAsia="Arial" w:hAnsi="Arial"/>
                <w:sz w:val="14"/>
                <w:szCs w:val="14"/>
                <w:color w:val="auto"/>
              </w:rPr>
              <w:t>180,600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187,524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15,835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15,497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2.2</w:t>
            </w:r>
          </w:p>
        </w:tc>
        <w:tc>
          <w:tcPr>
            <w:tcW w:w="1020" w:type="dxa"/>
            <w:vAlign w:val="bottom"/>
          </w:tcPr>
          <w:p>
            <w:pPr>
              <w:jc w:val="right"/>
              <w:spacing w:after="0"/>
              <w:rPr>
                <w:sz w:val="20"/>
                <w:szCs w:val="20"/>
                <w:color w:val="auto"/>
              </w:rPr>
            </w:pPr>
            <w:r>
              <w:rPr>
                <w:rFonts w:ascii="Arial" w:cs="Arial" w:eastAsia="Arial" w:hAnsi="Arial"/>
                <w:sz w:val="14"/>
                <w:szCs w:val="14"/>
                <w:color w:val="auto"/>
              </w:rPr>
              <w:t>166,862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145,035</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15.0</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3,881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7,556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(48.6)</w:t>
            </w:r>
          </w:p>
        </w:tc>
        <w:tc>
          <w:tcPr>
            <w:tcW w:w="1020" w:type="dxa"/>
            <w:vAlign w:val="bottom"/>
          </w:tcPr>
          <w:p>
            <w:pPr>
              <w:jc w:val="right"/>
              <w:spacing w:after="0"/>
              <w:rPr>
                <w:sz w:val="20"/>
                <w:szCs w:val="20"/>
                <w:color w:val="auto"/>
              </w:rPr>
            </w:pPr>
            <w:r>
              <w:rPr>
                <w:rFonts w:ascii="Arial" w:cs="Arial" w:eastAsia="Arial" w:hAnsi="Arial"/>
                <w:sz w:val="14"/>
                <w:szCs w:val="14"/>
                <w:color w:val="auto"/>
              </w:rPr>
              <w:t>57,886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51,674</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158</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(99.4)</w:t>
            </w: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36,771</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15,259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13,822</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10.4</w:t>
            </w:r>
          </w:p>
        </w:tc>
        <w:tc>
          <w:tcPr>
            <w:tcW w:w="1020" w:type="dxa"/>
            <w:vAlign w:val="bottom"/>
          </w:tcPr>
          <w:p>
            <w:pPr>
              <w:jc w:val="right"/>
              <w:spacing w:after="0"/>
              <w:rPr>
                <w:sz w:val="20"/>
                <w:szCs w:val="20"/>
                <w:color w:val="auto"/>
              </w:rPr>
            </w:pPr>
            <w:r>
              <w:rPr>
                <w:rFonts w:ascii="Arial" w:cs="Arial" w:eastAsia="Arial" w:hAnsi="Arial"/>
                <w:sz w:val="14"/>
                <w:szCs w:val="14"/>
                <w:color w:val="auto"/>
              </w:rPr>
              <w:t>140,179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138,122</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Kodiak 4/5 Series</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10</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11,188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11,114</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0.7</w:t>
            </w:r>
          </w:p>
        </w:tc>
        <w:tc>
          <w:tcPr>
            <w:tcW w:w="1020" w:type="dxa"/>
            <w:vAlign w:val="bottom"/>
          </w:tcPr>
          <w:p>
            <w:pPr>
              <w:jc w:val="right"/>
              <w:spacing w:after="0"/>
              <w:rPr>
                <w:sz w:val="20"/>
                <w:szCs w:val="20"/>
                <w:color w:val="auto"/>
              </w:rPr>
            </w:pPr>
            <w:r>
              <w:rPr>
                <w:rFonts w:ascii="Arial" w:cs="Arial" w:eastAsia="Arial" w:hAnsi="Arial"/>
                <w:sz w:val="14"/>
                <w:szCs w:val="14"/>
                <w:color w:val="auto"/>
              </w:rPr>
              <w:t>179,465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171,266</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36,425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43,698</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(16.6)</w:t>
            </w:r>
          </w:p>
        </w:tc>
        <w:tc>
          <w:tcPr>
            <w:tcW w:w="1020" w:type="dxa"/>
            <w:vAlign w:val="bottom"/>
          </w:tcPr>
          <w:p>
            <w:pPr>
              <w:jc w:val="right"/>
              <w:spacing w:after="0"/>
              <w:rPr>
                <w:sz w:val="20"/>
                <w:szCs w:val="20"/>
                <w:color w:val="auto"/>
              </w:rPr>
            </w:pPr>
            <w:r>
              <w:rPr>
                <w:rFonts w:ascii="Arial" w:cs="Arial" w:eastAsia="Arial" w:hAnsi="Arial"/>
                <w:sz w:val="14"/>
                <w:szCs w:val="14"/>
                <w:color w:val="auto"/>
              </w:rPr>
              <w:t>298,200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296,436</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7,525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1,426</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427.7</w:t>
            </w:r>
          </w:p>
        </w:tc>
        <w:tc>
          <w:tcPr>
            <w:tcW w:w="1020" w:type="dxa"/>
            <w:vAlign w:val="bottom"/>
          </w:tcPr>
          <w:p>
            <w:pPr>
              <w:jc w:val="right"/>
              <w:spacing w:after="0"/>
              <w:rPr>
                <w:sz w:val="20"/>
                <w:szCs w:val="20"/>
                <w:color w:val="auto"/>
              </w:rPr>
            </w:pPr>
            <w:r>
              <w:rPr>
                <w:rFonts w:ascii="Arial" w:cs="Arial" w:eastAsia="Arial" w:hAnsi="Arial"/>
                <w:sz w:val="14"/>
                <w:szCs w:val="14"/>
                <w:color w:val="auto"/>
              </w:rPr>
              <w:t>64,746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1,706</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2,223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6,313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3,254</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5,246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(38.0)</w:t>
            </w:r>
          </w:p>
        </w:tc>
        <w:tc>
          <w:tcPr>
            <w:tcW w:w="1020" w:type="dxa"/>
            <w:vAlign w:val="bottom"/>
          </w:tcPr>
          <w:p>
            <w:pPr>
              <w:jc w:val="right"/>
              <w:spacing w:after="0"/>
              <w:rPr>
                <w:sz w:val="20"/>
                <w:szCs w:val="20"/>
                <w:color w:val="auto"/>
              </w:rPr>
            </w:pPr>
            <w:r>
              <w:rPr>
                <w:rFonts w:ascii="Arial" w:cs="Arial" w:eastAsia="Arial" w:hAnsi="Arial"/>
                <w:sz w:val="14"/>
                <w:szCs w:val="14"/>
                <w:color w:val="auto"/>
              </w:rPr>
              <w:t>33,860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33,055</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4,696</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8,813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(46.7)</w:t>
            </w:r>
          </w:p>
        </w:tc>
        <w:tc>
          <w:tcPr>
            <w:tcW w:w="1020" w:type="dxa"/>
            <w:vAlign w:val="bottom"/>
          </w:tcPr>
          <w:p>
            <w:pPr>
              <w:jc w:val="right"/>
              <w:spacing w:after="0"/>
              <w:rPr>
                <w:sz w:val="20"/>
                <w:szCs w:val="20"/>
                <w:color w:val="auto"/>
              </w:rPr>
            </w:pPr>
            <w:r>
              <w:rPr>
                <w:rFonts w:ascii="Arial" w:cs="Arial" w:eastAsia="Arial" w:hAnsi="Arial"/>
                <w:sz w:val="14"/>
                <w:szCs w:val="14"/>
                <w:color w:val="auto"/>
              </w:rPr>
              <w:t>49,481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56,636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(12.6)</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TrailBlazer</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33</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5,687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7,873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(27.8)</w:t>
            </w:r>
          </w:p>
        </w:tc>
        <w:tc>
          <w:tcPr>
            <w:tcW w:w="1020" w:type="dxa"/>
            <w:vAlign w:val="bottom"/>
          </w:tcPr>
          <w:p>
            <w:pPr>
              <w:jc w:val="right"/>
              <w:spacing w:after="0"/>
              <w:rPr>
                <w:sz w:val="20"/>
                <w:szCs w:val="20"/>
                <w:color w:val="auto"/>
              </w:rPr>
            </w:pPr>
            <w:r>
              <w:rPr>
                <w:rFonts w:ascii="Arial" w:cs="Arial" w:eastAsia="Arial" w:hAnsi="Arial"/>
                <w:sz w:val="14"/>
                <w:szCs w:val="14"/>
                <w:color w:val="auto"/>
              </w:rPr>
              <w:t>67,042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83,464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(19.7)</w:t>
            </w:r>
          </w:p>
        </w:tc>
      </w:tr>
      <w:tr>
        <w:trPr>
          <w:trHeight w:val="289"/>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2,851</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723</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294.3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16,348</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3,895</w:t>
            </w:r>
          </w:p>
        </w:tc>
        <w:tc>
          <w:tcPr>
            <w:tcW w:w="8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319.7</w:t>
            </w:r>
          </w:p>
        </w:tc>
      </w:tr>
      <w:tr>
        <w:trPr>
          <w:trHeight w:val="27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149,801</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147,611</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1,420,383</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1,353,943</w:t>
            </w:r>
          </w:p>
        </w:tc>
        <w:tc>
          <w:tcPr>
            <w:tcW w:w="8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w:t>
            </w:r>
          </w:p>
        </w:tc>
      </w:tr>
      <w:tr>
        <w:trPr>
          <w:trHeight w:val="258"/>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6,159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5,287</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16.5</w:t>
            </w:r>
          </w:p>
        </w:tc>
        <w:tc>
          <w:tcPr>
            <w:tcW w:w="1020" w:type="dxa"/>
            <w:vAlign w:val="bottom"/>
          </w:tcPr>
          <w:p>
            <w:pPr>
              <w:jc w:val="right"/>
              <w:spacing w:after="0"/>
              <w:rPr>
                <w:sz w:val="20"/>
                <w:szCs w:val="20"/>
                <w:color w:val="auto"/>
              </w:rPr>
            </w:pPr>
            <w:r>
              <w:rPr>
                <w:rFonts w:ascii="Arial" w:cs="Arial" w:eastAsia="Arial" w:hAnsi="Arial"/>
                <w:sz w:val="14"/>
                <w:szCs w:val="14"/>
                <w:color w:val="auto"/>
              </w:rPr>
              <w:t>63,857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62,013</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555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458</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21.2</w:t>
            </w:r>
          </w:p>
        </w:tc>
        <w:tc>
          <w:tcPr>
            <w:tcW w:w="1020" w:type="dxa"/>
            <w:vAlign w:val="bottom"/>
          </w:tcPr>
          <w:p>
            <w:pPr>
              <w:jc w:val="right"/>
              <w:spacing w:after="0"/>
              <w:rPr>
                <w:sz w:val="20"/>
                <w:szCs w:val="20"/>
                <w:color w:val="auto"/>
              </w:rPr>
            </w:pPr>
            <w:r>
              <w:rPr>
                <w:rFonts w:ascii="Arial" w:cs="Arial" w:eastAsia="Arial" w:hAnsi="Arial"/>
                <w:sz w:val="14"/>
                <w:szCs w:val="14"/>
                <w:color w:val="auto"/>
              </w:rPr>
              <w:t>7,618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7,634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Envoy</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1,005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846</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18.8</w:t>
            </w:r>
          </w:p>
        </w:tc>
        <w:tc>
          <w:tcPr>
            <w:tcW w:w="1020" w:type="dxa"/>
            <w:vAlign w:val="bottom"/>
          </w:tcPr>
          <w:p>
            <w:pPr>
              <w:jc w:val="right"/>
              <w:spacing w:after="0"/>
              <w:rPr>
                <w:sz w:val="20"/>
                <w:szCs w:val="20"/>
                <w:color w:val="auto"/>
              </w:rPr>
            </w:pPr>
            <w:r>
              <w:rPr>
                <w:rFonts w:ascii="Arial" w:cs="Arial" w:eastAsia="Arial" w:hAnsi="Arial"/>
                <w:sz w:val="14"/>
                <w:szCs w:val="14"/>
                <w:color w:val="auto"/>
              </w:rPr>
              <w:t>17,259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13,096</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31.8</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13,636</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13,904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(1.9)</w:t>
            </w:r>
          </w:p>
        </w:tc>
        <w:tc>
          <w:tcPr>
            <w:tcW w:w="1020" w:type="dxa"/>
            <w:vAlign w:val="bottom"/>
          </w:tcPr>
          <w:p>
            <w:pPr>
              <w:jc w:val="right"/>
              <w:spacing w:after="0"/>
              <w:rPr>
                <w:sz w:val="20"/>
                <w:szCs w:val="20"/>
                <w:color w:val="auto"/>
              </w:rPr>
            </w:pPr>
            <w:r>
              <w:rPr>
                <w:rFonts w:ascii="Arial" w:cs="Arial" w:eastAsia="Arial" w:hAnsi="Arial"/>
                <w:sz w:val="14"/>
                <w:szCs w:val="14"/>
                <w:color w:val="auto"/>
              </w:rPr>
              <w:t>112,181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107,342</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7,486</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6,910</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8.3</w:t>
            </w:r>
          </w:p>
        </w:tc>
        <w:tc>
          <w:tcPr>
            <w:tcW w:w="1020" w:type="dxa"/>
            <w:vAlign w:val="bottom"/>
          </w:tcPr>
          <w:p>
            <w:pPr>
              <w:jc w:val="right"/>
              <w:spacing w:after="0"/>
              <w:rPr>
                <w:sz w:val="20"/>
                <w:szCs w:val="20"/>
                <w:color w:val="auto"/>
              </w:rPr>
            </w:pPr>
            <w:r>
              <w:rPr>
                <w:rFonts w:ascii="Arial" w:cs="Arial" w:eastAsia="Arial" w:hAnsi="Arial"/>
                <w:sz w:val="14"/>
                <w:szCs w:val="14"/>
                <w:color w:val="auto"/>
              </w:rPr>
              <w:t>70,826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63,451</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Topkick 4/5 Series</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Topkick 6/7/8 Series</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w:t>
            </w: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2,071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3,338</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(38.0)</w:t>
            </w:r>
          </w:p>
        </w:tc>
        <w:tc>
          <w:tcPr>
            <w:tcW w:w="1020" w:type="dxa"/>
            <w:vAlign w:val="bottom"/>
          </w:tcPr>
          <w:p>
            <w:pPr>
              <w:jc w:val="right"/>
              <w:spacing w:after="0"/>
              <w:rPr>
                <w:sz w:val="20"/>
                <w:szCs w:val="20"/>
                <w:color w:val="auto"/>
              </w:rPr>
            </w:pPr>
            <w:r>
              <w:rPr>
                <w:rFonts w:ascii="Arial" w:cs="Arial" w:eastAsia="Arial" w:hAnsi="Arial"/>
                <w:sz w:val="14"/>
                <w:szCs w:val="14"/>
                <w:color w:val="auto"/>
              </w:rPr>
              <w:t>19,149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24,337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(21.3)</w:t>
            </w:r>
          </w:p>
        </w:tc>
      </w:tr>
      <w:tr>
        <w:trPr>
          <w:trHeight w:val="289"/>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2,280</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2,451</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(7.0)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15,668</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17,056</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(8.1)</w:t>
            </w:r>
          </w:p>
        </w:tc>
      </w:tr>
      <w:tr>
        <w:trPr>
          <w:trHeight w:val="27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33,192</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33,194</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306,558</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294,947</w:t>
            </w:r>
          </w:p>
        </w:tc>
        <w:tc>
          <w:tcPr>
            <w:tcW w:w="8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w:t>
            </w:r>
          </w:p>
        </w:tc>
      </w:tr>
      <w:tr>
        <w:trPr>
          <w:trHeight w:val="277"/>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210,245</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207,145</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1,967,715</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1,902,172</w:t>
            </w:r>
          </w:p>
        </w:tc>
        <w:tc>
          <w:tcPr>
            <w:tcW w:w="8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w:t>
            </w:r>
          </w:p>
        </w:tc>
      </w:tr>
    </w:tbl>
    <w:p>
      <w:pPr>
        <w:spacing w:after="0" w:line="76" w:lineRule="exact"/>
        <w:rPr>
          <w:sz w:val="20"/>
          <w:szCs w:val="20"/>
          <w:color w:val="auto"/>
        </w:rPr>
      </w:pPr>
    </w:p>
    <w:p>
      <w:pPr>
        <w:sectPr>
          <w:pgSz w:w="11900" w:h="16838" w:orient="portrait"/>
          <w:cols w:equalWidth="0" w:num="1">
            <w:col w:w="9320"/>
          </w:cols>
          <w:pgMar w:left="1300" w:top="714" w:right="1279" w:bottom="0" w:gutter="0" w:footer="0" w:header="0"/>
        </w:sectPr>
      </w:pPr>
    </w:p>
    <w:p>
      <w:pPr>
        <w:ind w:left="80"/>
        <w:spacing w:after="0"/>
        <w:rPr>
          <w:sz w:val="20"/>
          <w:szCs w:val="20"/>
          <w:color w:val="auto"/>
        </w:rPr>
      </w:pPr>
      <w:r>
        <w:rPr>
          <w:rFonts w:ascii="Arial" w:cs="Arial" w:eastAsia="Arial" w:hAnsi="Arial"/>
          <w:sz w:val="13"/>
          <w:szCs w:val="13"/>
          <w:color w:val="auto"/>
        </w:rPr>
        <w:t>* 25 selling days for the September period this year and 25 for last year.</w:t>
      </w:r>
    </w:p>
    <w:p>
      <w:pPr>
        <w:sectPr>
          <w:pgSz w:w="11900" w:h="16838" w:orient="portrait"/>
          <w:cols w:equalWidth="0" w:num="1">
            <w:col w:w="9320"/>
          </w:cols>
          <w:pgMar w:left="1300" w:top="714" w:right="1279" w:bottom="0" w:gutter="0" w:footer="0" w:header="0"/>
          <w:type w:val="continuous"/>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2019-12-09T18:25:16Z</dcterms:created>
  <dcterms:modified xsi:type="dcterms:W3CDTF">2019-12-09T18:25:16Z</dcterms:modified>
</cp:coreProperties>
</file>