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21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212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3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Chairman &amp; CEO</w:t>
      </w:r>
    </w:p>
    <w:p>
      <w:pPr>
        <w:spacing w:after="0" w:line="420"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520,607</w:t>
            </w:r>
          </w:p>
        </w:tc>
        <w:tc>
          <w:tcPr>
            <w:tcW w:w="700" w:type="dxa"/>
            <w:vAlign w:val="bottom"/>
          </w:tcPr>
          <w:p>
            <w:pPr>
              <w:spacing w:after="0"/>
              <w:rPr>
                <w:sz w:val="12"/>
                <w:szCs w:val="12"/>
                <w:color w:val="auto"/>
              </w:rPr>
            </w:pPr>
          </w:p>
        </w:tc>
        <w:tc>
          <w:tcPr>
            <w:tcW w:w="960" w:type="dxa"/>
            <w:vAlign w:val="bottom"/>
            <w:vMerge w:val="restart"/>
          </w:tcPr>
          <w:p>
            <w:pPr>
              <w:ind w:left="160"/>
              <w:spacing w:after="0"/>
              <w:rPr>
                <w:sz w:val="20"/>
                <w:szCs w:val="20"/>
                <w:color w:val="auto"/>
              </w:rPr>
            </w:pPr>
            <w:r>
              <w:rPr>
                <w:rFonts w:ascii="Arial" w:cs="Arial" w:eastAsia="Arial" w:hAnsi="Arial"/>
                <w:sz w:val="13"/>
                <w:szCs w:val="13"/>
                <w:color w:val="0000FF"/>
              </w:rPr>
              <w:t>2,082,430</w:t>
            </w:r>
            <w:r>
              <w:rPr>
                <w:rFonts w:ascii="Arial" w:cs="Arial" w:eastAsia="Arial" w:hAnsi="Arial"/>
                <w:sz w:val="22"/>
                <w:szCs w:val="22"/>
                <w:color w:val="008000"/>
                <w:vertAlign w:val="superscript"/>
              </w:rPr>
              <w:t>(2)</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02/15/2019</w:t>
            </w:r>
          </w:p>
        </w:tc>
        <w:tc>
          <w:tcPr>
            <w:tcW w:w="1100" w:type="dxa"/>
            <w:vAlign w:val="bottom"/>
          </w:tcPr>
          <w:p>
            <w:pPr>
              <w:spacing w:after="0"/>
              <w:rPr>
                <w:sz w:val="13"/>
                <w:szCs w:val="1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520,607</w:t>
            </w:r>
          </w:p>
        </w:tc>
        <w:tc>
          <w:tcPr>
            <w:tcW w:w="24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02/15/2019</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07/28/2025</w:t>
            </w:r>
          </w:p>
        </w:tc>
        <w:tc>
          <w:tcPr>
            <w:tcW w:w="7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ind w:left="180"/>
              <w:spacing w:after="0" w:line="119"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2019, 20% of the July 28, 2015, Driving Stockholder Value Stock Option Grant (the "DSV Grant") vested upon meeting or exceeding the median Total Shareholder Return of the peer group for the period July 28, 2015, through December 31, 2018.</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vested and unexercised portion of the DSV Grant, 40% of which vested on February 15, 2017, and 20% of which vested on each of February 15, 2018, and February 15, 2019.</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02/19/2019</w:t>
            </w: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 for Ms. Barra</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2019-12-24T07:25:08Z</dcterms:created>
  <dcterms:modified xsi:type="dcterms:W3CDTF">2019-12-24T07:25:08Z</dcterms:modified>
</cp:coreProperties>
</file>