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00"/>
        <w:spacing w:after="0"/>
        <w:rPr>
          <w:sz w:val="20"/>
          <w:szCs w:val="20"/>
          <w:color w:val="auto"/>
        </w:rPr>
      </w:pPr>
      <w:r>
        <w:rPr>
          <w:rFonts w:ascii="Arial" w:cs="Arial" w:eastAsia="Arial" w:hAnsi="Arial"/>
          <w:sz w:val="19"/>
          <w:szCs w:val="19"/>
          <w:b w:val="1"/>
          <w:bCs w:val="1"/>
          <w:color w:val="auto"/>
        </w:rPr>
        <w:t>Date of Report (Date of earliest event reported) December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2460"/>
        <w:spacing w:after="0"/>
        <w:rPr>
          <w:sz w:val="20"/>
          <w:szCs w:val="20"/>
          <w:color w:val="auto"/>
        </w:rPr>
      </w:pPr>
      <w:r>
        <w:rPr>
          <w:rFonts w:ascii="Arial" w:cs="Arial" w:eastAsia="Arial" w:hAnsi="Arial"/>
          <w:sz w:val="43"/>
          <w:szCs w:val="43"/>
          <w:b w:val="1"/>
          <w:bCs w:val="1"/>
          <w:color w:val="auto"/>
        </w:rPr>
        <w:t>GENERAL MOTORS COMPANY</w:t>
      </w:r>
    </w:p>
    <w:p>
      <w:pPr>
        <w:sectPr>
          <w:pgSz w:w="11900" w:h="16838" w:orient="portrait"/>
          <w:cols w:equalWidth="0" w:num="1">
            <w:col w:w="11020"/>
          </w:cols>
          <w:pgMar w:left="240" w:top="230" w:right="639" w:bottom="1440" w:gutter="0" w:footer="0" w:header="0"/>
        </w:sectPr>
      </w:pP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00" w:type="dxa"/>
        <w:tblCellMar>
          <w:top w:w="0" w:type="dxa"/>
          <w:left w:w="0" w:type="dxa"/>
          <w:bottom w:w="0" w:type="dxa"/>
          <w:right w:w="0" w:type="dxa"/>
        </w:tblCellMar>
      </w:tblPr>
      <w:tr>
        <w:trPr>
          <w:trHeight w:val="218"/>
        </w:trPr>
        <w:tc>
          <w:tcPr>
            <w:tcW w:w="458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DELAWARE</w:t>
            </w:r>
          </w:p>
        </w:tc>
        <w:tc>
          <w:tcPr>
            <w:tcW w:w="4320" w:type="dxa"/>
            <w:vAlign w:val="bottom"/>
            <w:vMerge w:val="restart"/>
          </w:tcPr>
          <w:p>
            <w:pPr>
              <w:jc w:val="right"/>
              <w:ind w:right="2822"/>
              <w:spacing w:after="0"/>
              <w:rPr>
                <w:sz w:val="20"/>
                <w:szCs w:val="20"/>
                <w:color w:val="auto"/>
              </w:rPr>
            </w:pPr>
            <w:r>
              <w:rPr>
                <w:rFonts w:ascii="Arial" w:cs="Arial" w:eastAsia="Arial" w:hAnsi="Arial"/>
                <w:sz w:val="18"/>
                <w:szCs w:val="18"/>
                <w:b w:val="1"/>
                <w:bCs w:val="1"/>
                <w:color w:val="auto"/>
              </w:rPr>
              <w:t>001-34960</w:t>
            </w:r>
          </w:p>
        </w:tc>
        <w:tc>
          <w:tcPr>
            <w:tcW w:w="0" w:type="dxa"/>
            <w:vAlign w:val="bottom"/>
          </w:tcPr>
          <w:p>
            <w:pPr>
              <w:spacing w:after="0"/>
              <w:rPr>
                <w:sz w:val="1"/>
                <w:szCs w:val="1"/>
                <w:color w:val="auto"/>
              </w:rPr>
            </w:pPr>
          </w:p>
        </w:tc>
      </w:tr>
      <w:tr>
        <w:trPr>
          <w:trHeight w:val="149"/>
        </w:trPr>
        <w:tc>
          <w:tcPr>
            <w:tcW w:w="458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87"/>
              </w:rPr>
              <w:t>(State or other jurisdiction of incorporation)</w:t>
            </w:r>
          </w:p>
        </w:tc>
        <w:tc>
          <w:tcPr>
            <w:tcW w:w="4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80" w:type="dxa"/>
            <w:vAlign w:val="bottom"/>
          </w:tcPr>
          <w:p>
            <w:pPr>
              <w:spacing w:after="0"/>
              <w:rPr>
                <w:sz w:val="15"/>
                <w:szCs w:val="15"/>
                <w:color w:val="auto"/>
              </w:rPr>
            </w:pPr>
          </w:p>
        </w:tc>
        <w:tc>
          <w:tcPr>
            <w:tcW w:w="4320" w:type="dxa"/>
            <w:vAlign w:val="bottom"/>
          </w:tcPr>
          <w:p>
            <w:pPr>
              <w:jc w:val="center"/>
              <w:ind w:right="2142"/>
              <w:spacing w:after="0"/>
              <w:rPr>
                <w:sz w:val="20"/>
                <w:szCs w:val="20"/>
                <w:color w:val="auto"/>
              </w:rPr>
            </w:pPr>
            <w:r>
              <w:rPr>
                <w:rFonts w:ascii="Arial" w:cs="Arial" w:eastAsia="Arial" w:hAnsi="Arial"/>
                <w:sz w:val="14"/>
                <w:szCs w:val="14"/>
                <w:b w:val="1"/>
                <w:bCs w:val="1"/>
                <w:color w:val="auto"/>
                <w:w w:val="88"/>
              </w:rPr>
              <w:t>(Commission File Number)</w:t>
            </w:r>
          </w:p>
        </w:tc>
        <w:tc>
          <w:tcPr>
            <w:tcW w:w="0" w:type="dxa"/>
            <w:vAlign w:val="bottom"/>
          </w:tcPr>
          <w:p>
            <w:pPr>
              <w:spacing w:after="0"/>
              <w:rPr>
                <w:sz w:val="1"/>
                <w:szCs w:val="1"/>
                <w:color w:val="auto"/>
              </w:rPr>
            </w:pPr>
          </w:p>
        </w:tc>
      </w:tr>
      <w:tr>
        <w:trPr>
          <w:trHeight w:val="420"/>
        </w:trPr>
        <w:tc>
          <w:tcPr>
            <w:tcW w:w="4580" w:type="dxa"/>
            <w:vAlign w:val="bottom"/>
          </w:tcPr>
          <w:p>
            <w:pPr>
              <w:jc w:val="center"/>
              <w:ind w:left="762"/>
              <w:spacing w:after="0"/>
              <w:rPr>
                <w:sz w:val="20"/>
                <w:szCs w:val="20"/>
                <w:color w:val="auto"/>
              </w:rPr>
            </w:pPr>
            <w:r>
              <w:rPr>
                <w:rFonts w:ascii="Arial" w:cs="Arial" w:eastAsia="Arial" w:hAnsi="Arial"/>
                <w:sz w:val="18"/>
                <w:szCs w:val="18"/>
                <w:b w:val="1"/>
                <w:bCs w:val="1"/>
                <w:color w:val="auto"/>
                <w:w w:val="87"/>
              </w:rPr>
              <w:t>300 Renaissance Center, Detroit, Michigan</w:t>
            </w:r>
          </w:p>
        </w:tc>
        <w:tc>
          <w:tcPr>
            <w:tcW w:w="4320" w:type="dxa"/>
            <w:vAlign w:val="bottom"/>
          </w:tcPr>
          <w:p>
            <w:pPr>
              <w:jc w:val="right"/>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174"/>
        </w:trPr>
        <w:tc>
          <w:tcPr>
            <w:tcW w:w="4580" w:type="dxa"/>
            <w:vAlign w:val="bottom"/>
          </w:tcPr>
          <w:p>
            <w:pPr>
              <w:jc w:val="center"/>
              <w:ind w:left="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320" w:type="dxa"/>
            <w:vAlign w:val="bottom"/>
          </w:tcPr>
          <w:p>
            <w:pPr>
              <w:jc w:val="center"/>
              <w:ind w:left="3402"/>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bl>
    <w:p>
      <w:pPr>
        <w:spacing w:after="0" w:line="148" w:lineRule="exact"/>
        <w:rPr>
          <w:sz w:val="24"/>
          <w:szCs w:val="24"/>
          <w:color w:val="auto"/>
        </w:rPr>
      </w:pPr>
    </w:p>
    <w:p>
      <w:pPr>
        <w:jc w:val="center"/>
        <w:ind w:left="2420"/>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left="24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left="24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27-0756180</w:t>
      </w:r>
    </w:p>
    <w:p>
      <w:pPr>
        <w:spacing w:after="0" w:line="44" w:lineRule="exact"/>
        <w:rPr>
          <w:sz w:val="24"/>
          <w:szCs w:val="24"/>
          <w:color w:val="auto"/>
        </w:rPr>
      </w:pPr>
    </w:p>
    <w:p>
      <w:pPr>
        <w:jc w:val="both"/>
        <w:ind w:right="440" w:firstLine="41"/>
        <w:spacing w:after="0" w:line="302" w:lineRule="auto"/>
        <w:rPr>
          <w:sz w:val="20"/>
          <w:szCs w:val="20"/>
          <w:color w:val="auto"/>
        </w:rPr>
      </w:pPr>
      <w:r>
        <w:rPr>
          <w:rFonts w:ascii="Arial" w:cs="Arial" w:eastAsia="Arial" w:hAnsi="Arial"/>
          <w:sz w:val="12"/>
          <w:szCs w:val="12"/>
          <w:b w:val="1"/>
          <w:bCs w:val="1"/>
          <w:color w:val="auto"/>
        </w:rPr>
        <w:t>(I.R.S. Employer Identification No.)</w:t>
      </w:r>
    </w:p>
    <w:p>
      <w:pPr>
        <w:spacing w:after="0" w:line="1823" w:lineRule="exact"/>
        <w:rPr>
          <w:sz w:val="24"/>
          <w:szCs w:val="24"/>
          <w:color w:val="auto"/>
        </w:rPr>
      </w:pPr>
    </w:p>
    <w:p>
      <w:pPr>
        <w:sectPr>
          <w:pgSz w:w="11900" w:h="16838" w:orient="portrait"/>
          <w:cols w:equalWidth="0" w:num="2">
            <w:col w:w="9000" w:space="520"/>
            <w:col w:w="1500"/>
          </w:cols>
          <w:pgMar w:left="240" w:top="230" w:right="639" w:bottom="1440" w:gutter="0" w:footer="0" w:header="0"/>
          <w:type w:val="continuous"/>
        </w:sect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tabs>
          <w:tab w:leader="none" w:pos="1020" w:val="left"/>
        </w:tabs>
        <w:rPr>
          <w:rFonts w:ascii="Arial" w:cs="Arial" w:eastAsia="Arial" w:hAnsi="Arial"/>
          <w:sz w:val="16"/>
          <w:szCs w:val="16"/>
          <w:b w:val="1"/>
          <w:bCs w:val="1"/>
          <w:u w:val="single" w:color="auto"/>
          <w:color w:val="0000EE"/>
        </w:rPr>
      </w:pPr>
      <w:hyperlink w:anchor="page3">
        <w:r>
          <w:rPr>
            <w:rFonts w:ascii="Arial" w:cs="Arial" w:eastAsia="Arial" w:hAnsi="Arial"/>
            <w:sz w:val="18"/>
            <w:szCs w:val="18"/>
            <w:b w:val="1"/>
            <w:bCs w:val="1"/>
            <w:u w:val="single" w:color="auto"/>
            <w:color w:val="0000EE"/>
          </w:rPr>
          <w:t>ITEM 8.01</w:t>
        </w:r>
      </w:hyperlink>
      <w:r>
        <w:rPr>
          <w:rFonts w:ascii="Arial" w:cs="Arial" w:eastAsia="Arial" w:hAnsi="Arial"/>
          <w:sz w:val="18"/>
          <w:szCs w:val="18"/>
          <w:b w:val="1"/>
          <w:bCs w:val="1"/>
          <w:u w:val="single" w:color="auto"/>
          <w:color w:val="0000EE"/>
        </w:rPr>
        <w:tab/>
      </w:r>
      <w:hyperlink w:anchor="page3">
        <w:r>
          <w:rPr>
            <w:rFonts w:ascii="Arial" w:cs="Arial" w:eastAsia="Arial" w:hAnsi="Arial"/>
            <w:sz w:val="16"/>
            <w:szCs w:val="16"/>
            <w:b w:val="1"/>
            <w:bCs w:val="1"/>
            <w:u w:val="single" w:color="auto"/>
            <w:color w:val="0000EE"/>
          </w:rPr>
          <w:t>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Index to Exhibits</w:t>
        </w:r>
      </w:hyperlink>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Sales Release and Charts Dated December 1, 2011</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December 1, 2011, General Motors Company (GM) issued a news release announcing November sales. The release and charts are attached as Exhibit 99.1.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720" w:type="dxa"/>
            <w:vAlign w:val="bottom"/>
          </w:tcPr>
          <w:p>
            <w:pPr>
              <w:spacing w:after="0"/>
              <w:rPr>
                <w:sz w:val="24"/>
                <w:szCs w:val="24"/>
                <w:color w:val="auto"/>
              </w:rPr>
            </w:pPr>
          </w:p>
        </w:tc>
        <w:tc>
          <w:tcPr>
            <w:tcW w:w="4200" w:type="dxa"/>
            <w:vAlign w:val="bottom"/>
            <w:gridSpan w:val="3"/>
          </w:tcPr>
          <w:p>
            <w:pPr>
              <w:ind w:left="260"/>
              <w:spacing w:after="0"/>
              <w:rPr>
                <w:sz w:val="20"/>
                <w:szCs w:val="20"/>
                <w:color w:val="auto"/>
              </w:rPr>
            </w:pPr>
            <w:r>
              <w:rPr>
                <w:rFonts w:ascii="Arial" w:cs="Arial" w:eastAsia="Arial" w:hAnsi="Arial"/>
                <w:sz w:val="14"/>
                <w:szCs w:val="14"/>
                <w:color w:val="auto"/>
              </w:rPr>
              <w:t>Description</w:t>
            </w:r>
          </w:p>
        </w:tc>
        <w:tc>
          <w:tcPr>
            <w:tcW w:w="74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9"/>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Sales Release and Charts</w:t>
            </w: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6"/>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Dated December 1, 2011</w:t>
            </w:r>
          </w:p>
        </w:tc>
        <w:tc>
          <w:tcPr>
            <w:tcW w:w="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GENERAL MOTORS COMPANY</w:t>
            </w:r>
          </w:p>
        </w:tc>
        <w:tc>
          <w:tcPr>
            <w:tcW w:w="3060" w:type="dxa"/>
            <w:vAlign w:val="bottom"/>
          </w:tcPr>
          <w:p>
            <w:pPr>
              <w:spacing w:after="0"/>
              <w:rPr>
                <w:sz w:val="17"/>
                <w:szCs w:val="17"/>
                <w:color w:val="auto"/>
              </w:rPr>
            </w:pPr>
          </w:p>
        </w:tc>
      </w:tr>
      <w:tr>
        <w:trPr>
          <w:trHeight w:val="235"/>
        </w:trPr>
        <w:tc>
          <w:tcPr>
            <w:tcW w:w="5860" w:type="dxa"/>
            <w:vAlign w:val="bottom"/>
          </w:tcPr>
          <w:p>
            <w:pPr>
              <w:spacing w:after="0"/>
              <w:rPr>
                <w:sz w:val="20"/>
                <w:szCs w:val="20"/>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(Registrant)</w:t>
            </w:r>
          </w:p>
        </w:tc>
      </w:tr>
      <w:tr>
        <w:trPr>
          <w:trHeight w:val="447"/>
        </w:trPr>
        <w:tc>
          <w:tcPr>
            <w:tcW w:w="5860" w:type="dxa"/>
            <w:vAlign w:val="bottom"/>
          </w:tcPr>
          <w:p>
            <w:pPr>
              <w:spacing w:after="0"/>
              <w:rPr>
                <w:sz w:val="20"/>
                <w:szCs w:val="20"/>
                <w:color w:val="auto"/>
              </w:rPr>
            </w:pPr>
            <w:r>
              <w:rPr>
                <w:rFonts w:ascii="Arial" w:cs="Arial" w:eastAsia="Arial" w:hAnsi="Arial"/>
                <w:sz w:val="18"/>
                <w:szCs w:val="18"/>
                <w:color w:val="auto"/>
              </w:rPr>
              <w:t>Date: December 5, 2011</w:t>
            </w:r>
          </w:p>
        </w:tc>
        <w:tc>
          <w:tcPr>
            <w:tcW w:w="5560" w:type="dxa"/>
            <w:vAlign w:val="bottom"/>
            <w:gridSpan w:val="3"/>
          </w:tcPr>
          <w:p>
            <w:pPr>
              <w:spacing w:after="0"/>
              <w:rPr>
                <w:sz w:val="20"/>
                <w:szCs w:val="20"/>
                <w:color w:val="auto"/>
              </w:rPr>
            </w:pPr>
            <w:r>
              <w:rPr>
                <w:rFonts w:ascii="Arial" w:cs="Arial" w:eastAsia="Arial" w:hAnsi="Arial"/>
                <w:sz w:val="18"/>
                <w:szCs w:val="18"/>
                <w:color w:val="auto"/>
              </w:rPr>
              <w:t>By:    /s/ Nick S. Cyprus</w:t>
            </w:r>
          </w:p>
        </w:tc>
      </w:tr>
      <w:tr>
        <w:trPr>
          <w:trHeight w:val="202"/>
        </w:trPr>
        <w:tc>
          <w:tcPr>
            <w:tcW w:w="5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2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Nick S. Cyprus</w:t>
            </w:r>
          </w:p>
        </w:tc>
      </w:tr>
      <w:tr>
        <w:trPr>
          <w:trHeight w:val="222"/>
        </w:trPr>
        <w:tc>
          <w:tcPr>
            <w:tcW w:w="5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Vice President, Controller and Chief Accounting Officer</w:t>
            </w:r>
          </w:p>
        </w:tc>
      </w:tr>
    </w:tbl>
    <w:p>
      <w:pPr>
        <w:sectPr>
          <w:pgSz w:w="11900" w:h="16838" w:orient="portrait"/>
          <w:cols w:equalWidth="0" w:num="1">
            <w:col w:w="11420"/>
          </w:cols>
          <w:pgMar w:left="240" w:top="45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114300</wp:posOffset>
            </wp:positionV>
            <wp:extent cx="2598420" cy="754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For Release: Thursday, Dec. 1, 2011, 10 a.m. EST</w:t>
      </w:r>
    </w:p>
    <w:p>
      <w:pPr>
        <w:spacing w:after="0" w:line="3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GM’s U.S. Sales Up 7 Percent in November</w:t>
      </w:r>
    </w:p>
    <w:p>
      <w:pPr>
        <w:spacing w:after="0" w:line="177"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Chevrolet Cruze and Sonic drive 54-percent increase in small and compact car sales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General Motors Co. (NYSE: GM) today reported total sales of 180,402 vehicles in November, up 7 percent compared with November 2010.</w:t>
      </w:r>
    </w:p>
    <w:p>
      <w:pPr>
        <w:spacing w:after="0" w:line="20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Retail deliveries were up 15 percent compared with the same month a year ago and accounted for 77 percent of GM sales. Deliveries to fleets were down 14 percent.</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seeing a broad spectrum of customers return to the market,” said Don Johnson, vice president, U.S. Sales Operations. “Truck sales showed a very solid increase, as we expected, but the momentum building behind our most fuel-efficient vehicles was even stronger.”</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combined sales of GM small and compact cars, led by the new Chevrolet Sonic and consistently strong-selling Chevrolet Cruze, were up 54 percent compared with a year ago. GM’s total passenger car sales increased 1 percent, crossover sales decreased 9 percent and sales of trucks, which include full-size pickups, vans and SUVs, increased 25 percent.</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Highlights for the month include a 34 percent increase in Chevrolet Silverado sales and a 22 percent increase in GMC Sierra sales. Other vehicles posting double-digit sales increases were the Chevrolet Cruze, Camaro, Avalanche, Colorado, Suburban, Tahoe and Express van, the GMC Yukon and Yukon XL, and the Cadillac SRX.</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Calendar year to date, all four GM brands have increased their sales compared with the same period a year ago, on the strength of double-digit increases in retail sales.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82"/>
              </w:rPr>
              <w:t>Nov. 2011</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i w:val="1"/>
                <w:iCs w:val="1"/>
                <w:color w:val="auto"/>
                <w:w w:val="87"/>
              </w:rPr>
              <w:t>CYTD Total</w:t>
            </w:r>
          </w:p>
        </w:tc>
        <w:tc>
          <w:tcPr>
            <w:tcW w:w="940" w:type="dxa"/>
            <w:vAlign w:val="bottom"/>
            <w:gridSpan w:val="2"/>
          </w:tcPr>
          <w:p>
            <w:pPr>
              <w:jc w:val="center"/>
              <w:ind w:right="92"/>
              <w:spacing w:after="0"/>
              <w:rPr>
                <w:sz w:val="20"/>
                <w:szCs w:val="20"/>
                <w:color w:val="auto"/>
              </w:rPr>
            </w:pPr>
            <w:r>
              <w:rPr>
                <w:rFonts w:ascii="Arial" w:cs="Arial" w:eastAsia="Arial" w:hAnsi="Arial"/>
                <w:sz w:val="14"/>
                <w:szCs w:val="14"/>
                <w:b w:val="1"/>
                <w:bCs w:val="1"/>
                <w:i w:val="1"/>
                <w:iCs w:val="1"/>
                <w:color w:val="auto"/>
                <w:w w:val="89"/>
              </w:rPr>
              <w:t>CYTD Retail</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Sales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Nov. 2011</w:t>
            </w:r>
          </w:p>
        </w:tc>
        <w:tc>
          <w:tcPr>
            <w:tcW w:w="44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i w:val="1"/>
                <w:iCs w:val="1"/>
                <w:color w:val="auto"/>
                <w:w w:val="83"/>
              </w:rPr>
              <w:t>Total</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i w:val="1"/>
                <w:iCs w:val="1"/>
                <w:color w:val="auto"/>
                <w:w w:val="83"/>
              </w:rPr>
              <w:t>Retail Sales</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i w:val="1"/>
                <w:iCs w:val="1"/>
                <w:color w:val="auto"/>
                <w:w w:val="87"/>
              </w:rPr>
              <w:t>CYTD Total</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i w:val="1"/>
                <w:iCs w:val="1"/>
                <w:color w:val="auto"/>
                <w:w w:val="81"/>
              </w:rPr>
              <w:t>Sales</w:t>
            </w:r>
          </w:p>
        </w:tc>
        <w:tc>
          <w:tcPr>
            <w:tcW w:w="94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i w:val="1"/>
                <w:iCs w:val="1"/>
                <w:color w:val="auto"/>
                <w:w w:val="81"/>
              </w:rPr>
              <w:t>Sales</w:t>
            </w:r>
          </w:p>
        </w:tc>
        <w:tc>
          <w:tcPr>
            <w:tcW w:w="0" w:type="dxa"/>
            <w:vAlign w:val="bottom"/>
          </w:tcPr>
          <w:p>
            <w:pPr>
              <w:spacing w:after="0"/>
              <w:rPr>
                <w:sz w:val="1"/>
                <w:szCs w:val="1"/>
                <w:color w:val="auto"/>
              </w:rPr>
            </w:pPr>
          </w:p>
        </w:tc>
      </w:tr>
      <w:tr>
        <w:trPr>
          <w:trHeight w:val="132"/>
        </w:trPr>
        <w:tc>
          <w:tcPr>
            <w:tcW w:w="4580" w:type="dxa"/>
            <w:vAlign w:val="bottom"/>
            <w:gridSpan w:val="3"/>
            <w:vMerge w:val="continue"/>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4"/>
                <w:szCs w:val="14"/>
                <w:b w:val="1"/>
                <w:bCs w:val="1"/>
                <w:i w:val="1"/>
                <w:iCs w:val="1"/>
                <w:color w:val="auto"/>
                <w:w w:val="81"/>
              </w:rPr>
              <w:t>Total Sales</w:t>
            </w:r>
          </w:p>
        </w:tc>
        <w:tc>
          <w:tcPr>
            <w:tcW w:w="440" w:type="dxa"/>
            <w:vAlign w:val="bottom"/>
          </w:tcPr>
          <w:p>
            <w:pPr>
              <w:spacing w:after="0"/>
              <w:rPr>
                <w:sz w:val="11"/>
                <w:szCs w:val="11"/>
                <w:color w:val="auto"/>
              </w:rPr>
            </w:pPr>
          </w:p>
        </w:tc>
        <w:tc>
          <w:tcPr>
            <w:tcW w:w="1200" w:type="dxa"/>
            <w:vAlign w:val="bottom"/>
            <w:gridSpan w:val="2"/>
          </w:tcPr>
          <w:p>
            <w:pPr>
              <w:jc w:val="center"/>
              <w:ind w:right="580"/>
              <w:spacing w:after="0" w:line="133" w:lineRule="exact"/>
              <w:rPr>
                <w:sz w:val="20"/>
                <w:szCs w:val="20"/>
                <w:color w:val="auto"/>
              </w:rPr>
            </w:pPr>
            <w:r>
              <w:rPr>
                <w:rFonts w:ascii="Arial" w:cs="Arial" w:eastAsia="Arial" w:hAnsi="Arial"/>
                <w:sz w:val="14"/>
                <w:szCs w:val="14"/>
                <w:b w:val="1"/>
                <w:bCs w:val="1"/>
                <w:i w:val="1"/>
                <w:iCs w:val="1"/>
                <w:color w:val="auto"/>
                <w:w w:val="82"/>
              </w:rPr>
              <w:t>Change vs.</w:t>
            </w:r>
          </w:p>
        </w:tc>
        <w:tc>
          <w:tcPr>
            <w:tcW w:w="1240" w:type="dxa"/>
            <w:vAlign w:val="bottom"/>
            <w:gridSpan w:val="2"/>
          </w:tcPr>
          <w:p>
            <w:pPr>
              <w:jc w:val="center"/>
              <w:ind w:right="600"/>
              <w:spacing w:after="0" w:line="133" w:lineRule="exact"/>
              <w:rPr>
                <w:sz w:val="20"/>
                <w:szCs w:val="20"/>
                <w:color w:val="auto"/>
              </w:rPr>
            </w:pPr>
            <w:r>
              <w:rPr>
                <w:rFonts w:ascii="Arial" w:cs="Arial" w:eastAsia="Arial" w:hAnsi="Arial"/>
                <w:sz w:val="14"/>
                <w:szCs w:val="14"/>
                <w:b w:val="1"/>
                <w:bCs w:val="1"/>
                <w:i w:val="1"/>
                <w:iCs w:val="1"/>
                <w:color w:val="auto"/>
                <w:w w:val="81"/>
              </w:rPr>
              <w:t>vs. Nov.</w:t>
            </w:r>
          </w:p>
        </w:tc>
        <w:tc>
          <w:tcPr>
            <w:tcW w:w="118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i w:val="1"/>
                <w:iCs w:val="1"/>
                <w:color w:val="auto"/>
                <w:w w:val="81"/>
              </w:rPr>
              <w:t>Sales</w:t>
            </w:r>
          </w:p>
        </w:tc>
        <w:tc>
          <w:tcPr>
            <w:tcW w:w="120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i w:val="1"/>
                <w:iCs w:val="1"/>
                <w:color w:val="auto"/>
                <w:w w:val="82"/>
              </w:rPr>
              <w:t>Change vs.</w:t>
            </w:r>
          </w:p>
        </w:tc>
        <w:tc>
          <w:tcPr>
            <w:tcW w:w="940" w:type="dxa"/>
            <w:vAlign w:val="bottom"/>
            <w:gridSpan w:val="2"/>
          </w:tcPr>
          <w:p>
            <w:pPr>
              <w:jc w:val="center"/>
              <w:ind w:right="112"/>
              <w:spacing w:after="0" w:line="133" w:lineRule="exact"/>
              <w:rPr>
                <w:sz w:val="20"/>
                <w:szCs w:val="20"/>
                <w:color w:val="auto"/>
              </w:rPr>
            </w:pPr>
            <w:r>
              <w:rPr>
                <w:rFonts w:ascii="Arial" w:cs="Arial" w:eastAsia="Arial" w:hAnsi="Arial"/>
                <w:sz w:val="14"/>
                <w:szCs w:val="14"/>
                <w:b w:val="1"/>
                <w:bCs w:val="1"/>
                <w:i w:val="1"/>
                <w:iCs w:val="1"/>
                <w:color w:val="auto"/>
                <w:w w:val="82"/>
              </w:rPr>
              <w:t>Change vs.</w:t>
            </w:r>
          </w:p>
        </w:tc>
        <w:tc>
          <w:tcPr>
            <w:tcW w:w="0" w:type="dxa"/>
            <w:vAlign w:val="bottom"/>
          </w:tcPr>
          <w:p>
            <w:pPr>
              <w:spacing w:after="0"/>
              <w:rPr>
                <w:sz w:val="1"/>
                <w:szCs w:val="1"/>
                <w:color w:val="auto"/>
              </w:rPr>
            </w:pPr>
          </w:p>
        </w:tc>
      </w:tr>
      <w:tr>
        <w:trPr>
          <w:trHeight w:val="149"/>
        </w:trPr>
        <w:tc>
          <w:tcPr>
            <w:tcW w:w="4580" w:type="dxa"/>
            <w:vAlign w:val="bottom"/>
            <w:gridSpan w:val="3"/>
          </w:tcPr>
          <w:p>
            <w:pPr>
              <w:spacing w:after="0" w:line="129" w:lineRule="exact"/>
              <w:rPr>
                <w:sz w:val="20"/>
                <w:szCs w:val="20"/>
                <w:color w:val="auto"/>
              </w:rPr>
            </w:pPr>
            <w:r>
              <w:rPr>
                <w:rFonts w:ascii="Arial" w:cs="Arial" w:eastAsia="Arial" w:hAnsi="Arial"/>
                <w:sz w:val="14"/>
                <w:szCs w:val="14"/>
                <w:b w:val="1"/>
                <w:bCs w:val="1"/>
                <w:i w:val="1"/>
                <w:iCs w:val="1"/>
                <w:color w:val="auto"/>
              </w:rPr>
              <w:t>Highlights</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i w:val="1"/>
                <w:iCs w:val="1"/>
                <w:color w:val="auto"/>
                <w:w w:val="80"/>
              </w:rPr>
              <w:t>(vehicles)</w:t>
            </w:r>
          </w:p>
        </w:tc>
        <w:tc>
          <w:tcPr>
            <w:tcW w:w="440" w:type="dxa"/>
            <w:vAlign w:val="bottom"/>
          </w:tcPr>
          <w:p>
            <w:pPr>
              <w:spacing w:after="0"/>
              <w:rPr>
                <w:sz w:val="12"/>
                <w:szCs w:val="12"/>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i w:val="1"/>
                <w:iCs w:val="1"/>
                <w:color w:val="auto"/>
                <w:w w:val="85"/>
              </w:rPr>
              <w:t>Nov. 2010</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i w:val="1"/>
                <w:iCs w:val="1"/>
                <w:color w:val="auto"/>
                <w:w w:val="83"/>
              </w:rPr>
              <w:t>2010</w:t>
            </w:r>
          </w:p>
        </w:tc>
        <w:tc>
          <w:tcPr>
            <w:tcW w:w="580" w:type="dxa"/>
            <w:vAlign w:val="bottom"/>
          </w:tcPr>
          <w:p>
            <w:pPr>
              <w:spacing w:after="0"/>
              <w:rPr>
                <w:sz w:val="12"/>
                <w:szCs w:val="12"/>
                <w:color w:val="auto"/>
              </w:rPr>
            </w:pPr>
          </w:p>
        </w:tc>
        <w:tc>
          <w:tcPr>
            <w:tcW w:w="118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i w:val="1"/>
                <w:iCs w:val="1"/>
                <w:color w:val="auto"/>
                <w:w w:val="83"/>
              </w:rPr>
              <w:t>(vehicles)</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i w:val="1"/>
                <w:iCs w:val="1"/>
                <w:color w:val="auto"/>
                <w:w w:val="89"/>
              </w:rPr>
              <w:t>2010</w:t>
            </w:r>
          </w:p>
        </w:tc>
        <w:tc>
          <w:tcPr>
            <w:tcW w:w="52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i w:val="1"/>
                <w:iCs w:val="1"/>
                <w:color w:val="auto"/>
                <w:w w:val="83"/>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Chevrolet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128,907</w:t>
            </w: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9.6%</w:t>
            </w:r>
          </w:p>
        </w:tc>
        <w:tc>
          <w:tcPr>
            <w:tcW w:w="124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22.9%</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1,614,654</w:t>
            </w:r>
          </w:p>
        </w:tc>
        <w:tc>
          <w:tcPr>
            <w:tcW w:w="4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13.9%</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GMC</w:t>
            </w:r>
          </w:p>
        </w:tc>
        <w:tc>
          <w:tcPr>
            <w:tcW w:w="640" w:type="dxa"/>
            <w:vAlign w:val="bottom"/>
          </w:tcPr>
          <w:p>
            <w:pPr>
              <w:jc w:val="right"/>
              <w:spacing w:after="0"/>
              <w:rPr>
                <w:sz w:val="20"/>
                <w:szCs w:val="20"/>
                <w:color w:val="auto"/>
              </w:rPr>
            </w:pPr>
            <w:r>
              <w:rPr>
                <w:rFonts w:ascii="Arial" w:cs="Arial" w:eastAsia="Arial" w:hAnsi="Arial"/>
                <w:sz w:val="18"/>
                <w:szCs w:val="18"/>
                <w:color w:val="auto"/>
              </w:rPr>
              <w:t>29,470</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6.8%</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8.3%</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356,026</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Buick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1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162,659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Cadillac</w:t>
            </w:r>
          </w:p>
        </w:tc>
        <w:tc>
          <w:tcPr>
            <w:tcW w:w="640" w:type="dxa"/>
            <w:vAlign w:val="bottom"/>
          </w:tcPr>
          <w:p>
            <w:pPr>
              <w:jc w:val="right"/>
              <w:spacing w:after="0"/>
              <w:rPr>
                <w:sz w:val="20"/>
                <w:szCs w:val="20"/>
                <w:color w:val="auto"/>
              </w:rPr>
            </w:pPr>
            <w:r>
              <w:rPr>
                <w:rFonts w:ascii="Arial" w:cs="Arial" w:eastAsia="Arial" w:hAnsi="Arial"/>
                <w:sz w:val="18"/>
                <w:szCs w:val="18"/>
                <w:color w:val="auto"/>
              </w:rPr>
              <w:t>11,145</w:t>
            </w:r>
          </w:p>
        </w:tc>
        <w:tc>
          <w:tcPr>
            <w:tcW w:w="4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136,130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180,402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2,269,469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ended November with about 620,000 units in dealer stock and expects to end the year with inventory in the high 500,000-unit range, including approximately 200,000 full-size pickup trucks, as previously announced.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Days Supply</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Days Supply</w:t>
            </w:r>
          </w:p>
        </w:tc>
        <w:tc>
          <w:tcPr>
            <w:tcW w:w="0" w:type="dxa"/>
            <w:vAlign w:val="bottom"/>
          </w:tcPr>
          <w:p>
            <w:pPr>
              <w:spacing w:after="0"/>
              <w:rPr>
                <w:sz w:val="1"/>
                <w:szCs w:val="1"/>
                <w:color w:val="auto"/>
              </w:rPr>
            </w:pPr>
          </w:p>
        </w:tc>
      </w:tr>
      <w:tr>
        <w:trPr>
          <w:trHeight w:val="149"/>
        </w:trPr>
        <w:tc>
          <w:tcPr>
            <w:tcW w:w="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5"/>
              </w:rPr>
              <w:t>Inventory</w:t>
            </w:r>
          </w:p>
        </w:tc>
        <w:tc>
          <w:tcPr>
            <w:tcW w:w="5020" w:type="dxa"/>
            <w:vAlign w:val="bottom"/>
            <w:vMerge w:val="restart"/>
          </w:tcPr>
          <w:p>
            <w:pPr>
              <w:spacing w:after="0"/>
              <w:rPr>
                <w:sz w:val="12"/>
                <w:szCs w:val="12"/>
                <w:color w:val="auto"/>
              </w:rPr>
            </w:pPr>
          </w:p>
        </w:tc>
        <w:tc>
          <w:tcPr>
            <w:tcW w:w="13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Units @</w:t>
            </w: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(selling days</w:t>
            </w: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Units @</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(selling days</w:t>
            </w:r>
          </w:p>
        </w:tc>
        <w:tc>
          <w:tcPr>
            <w:tcW w:w="0" w:type="dxa"/>
            <w:vAlign w:val="bottom"/>
          </w:tcPr>
          <w:p>
            <w:pPr>
              <w:spacing w:after="0"/>
              <w:rPr>
                <w:sz w:val="1"/>
                <w:szCs w:val="1"/>
                <w:color w:val="auto"/>
              </w:rPr>
            </w:pPr>
          </w:p>
        </w:tc>
      </w:tr>
      <w:tr>
        <w:trPr>
          <w:trHeight w:val="168"/>
        </w:trPr>
        <w:tc>
          <w:tcPr>
            <w:tcW w:w="560" w:type="dxa"/>
            <w:vAlign w:val="bottom"/>
            <w:tcBorders>
              <w:bottom w:val="single" w:sz="8" w:color="auto"/>
            </w:tcBorders>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138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3"/>
              </w:rPr>
              <w:t>Nov. 30, 2011</w:t>
            </w:r>
          </w:p>
        </w:tc>
        <w:tc>
          <w:tcPr>
            <w:tcW w:w="136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adjusted)</w:t>
            </w:r>
          </w:p>
        </w:tc>
        <w:tc>
          <w:tcPr>
            <w:tcW w:w="136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84"/>
              </w:rPr>
              <w:t>Oct. 31, 2011</w:t>
            </w:r>
          </w:p>
        </w:tc>
        <w:tc>
          <w:tcPr>
            <w:tcW w:w="8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All Vehicles</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623,666</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592,151</w:t>
            </w: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i w:val="1"/>
                <w:iCs w:val="1"/>
                <w:color w:val="auto"/>
              </w:rPr>
              <w:t>Full-size Pickups</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202,720</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207,596</w:t>
            </w: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Industry</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Nov. SAAR</w:t>
            </w: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CYTD SAAR</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Full Year 2011</w:t>
            </w:r>
          </w:p>
        </w:tc>
      </w:tr>
      <w:tr>
        <w:trPr>
          <w:trHeight w:val="149"/>
        </w:trPr>
        <w:tc>
          <w:tcPr>
            <w:tcW w:w="4540" w:type="dxa"/>
            <w:vAlign w:val="bottom"/>
            <w:gridSpan w:val="2"/>
          </w:tcPr>
          <w:p>
            <w:pPr>
              <w:spacing w:after="0" w:line="129" w:lineRule="exact"/>
              <w:rPr>
                <w:sz w:val="20"/>
                <w:szCs w:val="20"/>
                <w:color w:val="auto"/>
              </w:rPr>
            </w:pPr>
            <w:r>
              <w:rPr>
                <w:rFonts w:ascii="Arial" w:cs="Arial" w:eastAsia="Arial" w:hAnsi="Arial"/>
                <w:sz w:val="14"/>
                <w:szCs w:val="14"/>
                <w:b w:val="1"/>
                <w:bCs w:val="1"/>
                <w:i w:val="1"/>
                <w:iCs w:val="1"/>
                <w:color w:val="auto"/>
              </w:rPr>
              <w:t>Sales</w:t>
            </w:r>
          </w:p>
        </w:tc>
        <w:tc>
          <w:tcPr>
            <w:tcW w:w="132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October</w:t>
            </w:r>
          </w:p>
        </w:tc>
        <w:tc>
          <w:tcPr>
            <w:tcW w:w="13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3"/>
              </w:rPr>
              <w:t>(est.)</w:t>
            </w:r>
          </w:p>
        </w:tc>
        <w:tc>
          <w:tcPr>
            <w:tcW w:w="1320" w:type="dxa"/>
            <w:vAlign w:val="bottom"/>
            <w:gridSpan w:val="2"/>
          </w:tcPr>
          <w:p>
            <w:pPr>
              <w:ind w:left="320"/>
              <w:spacing w:after="0" w:line="129" w:lineRule="exact"/>
              <w:rPr>
                <w:sz w:val="20"/>
                <w:szCs w:val="20"/>
                <w:color w:val="auto"/>
              </w:rPr>
            </w:pPr>
            <w:r>
              <w:rPr>
                <w:rFonts w:ascii="Arial" w:cs="Arial" w:eastAsia="Arial" w:hAnsi="Arial"/>
                <w:sz w:val="14"/>
                <w:szCs w:val="14"/>
                <w:b w:val="1"/>
                <w:bCs w:val="1"/>
                <w:color w:val="auto"/>
              </w:rPr>
              <w:t>(est.)</w:t>
            </w:r>
          </w:p>
        </w:tc>
        <w:tc>
          <w:tcPr>
            <w:tcW w:w="20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(est.)</w:t>
            </w:r>
          </w:p>
        </w:tc>
      </w:tr>
      <w:tr>
        <w:trPr>
          <w:trHeight w:val="20"/>
        </w:trPr>
        <w:tc>
          <w:tcPr>
            <w:tcW w:w="5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8"/>
        </w:trPr>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Vehicles</w:t>
            </w:r>
          </w:p>
        </w:tc>
        <w:tc>
          <w:tcPr>
            <w:tcW w:w="9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0"/>
              </w:rPr>
              <w:t>13.6 million</w:t>
            </w: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2"/>
              </w:rPr>
              <w:t>14.0 million</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2"/>
              </w:rPr>
              <w:t>13.0 million</w:t>
            </w:r>
          </w:p>
        </w:tc>
        <w:tc>
          <w:tcPr>
            <w:tcW w:w="40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13.0 million –13.5 million</w:t>
            </w:r>
          </w:p>
        </w:tc>
        <w:tc>
          <w:tcPr>
            <w:tcW w:w="100" w:type="dxa"/>
            <w:vAlign w:val="bottom"/>
            <w:shd w:val="clear" w:color="auto" w:fill="CCEEFF"/>
          </w:tcPr>
          <w:p>
            <w:pPr>
              <w:spacing w:after="0"/>
              <w:rPr>
                <w:sz w:val="16"/>
                <w:szCs w:val="16"/>
                <w:color w:val="auto"/>
              </w:rPr>
            </w:pPr>
          </w:p>
        </w:tc>
      </w:tr>
      <w:tr>
        <w:trPr>
          <w:trHeight w:val="238"/>
        </w:trPr>
        <w:tc>
          <w:tcPr>
            <w:tcW w:w="50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(low end)</w:t>
            </w:r>
          </w:p>
        </w:tc>
      </w:tr>
    </w:tbl>
    <w:p>
      <w:pPr>
        <w:spacing w:after="0" w:line="15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 xml:space="preserve">General Motors Co. (NYSE:GM, TSX: GMM) and its partners produce vehicles in 30 countries, and the company has leadership positions in 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james.cain@gm.com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00"/>
          </w:cols>
          <w:pgMar w:left="240" w:top="2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November 2011 -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vMerge w:val="restart"/>
          </w:tcPr>
          <w:p>
            <w:pPr>
              <w:spacing w:after="0"/>
              <w:rPr>
                <w:sz w:val="20"/>
                <w:szCs w:val="20"/>
                <w:color w:val="auto"/>
              </w:rPr>
            </w:pPr>
            <w:r>
              <w:rPr>
                <w:rFonts w:ascii="Arial" w:cs="Arial" w:eastAsia="Arial" w:hAnsi="Arial"/>
                <w:sz w:val="14"/>
                <w:szCs w:val="14"/>
                <w:color w:val="auto"/>
              </w:rPr>
              <w:t>*S/D Curr: 25</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77"/>
              <w:spacing w:after="0"/>
              <w:rPr>
                <w:sz w:val="20"/>
                <w:szCs w:val="20"/>
                <w:color w:val="auto"/>
              </w:rPr>
            </w:pPr>
            <w:r>
              <w:rPr>
                <w:rFonts w:ascii="Arial" w:cs="Arial" w:eastAsia="Arial" w:hAnsi="Arial"/>
                <w:sz w:val="14"/>
                <w:szCs w:val="14"/>
                <w:color w:val="auto"/>
                <w:w w:val="86"/>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9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280"/>
              <w:spacing w:after="0" w:line="146" w:lineRule="exact"/>
              <w:rPr>
                <w:sz w:val="20"/>
                <w:szCs w:val="20"/>
                <w:color w:val="auto"/>
              </w:rPr>
            </w:pPr>
            <w:r>
              <w:rPr>
                <w:rFonts w:ascii="Arial" w:cs="Arial" w:eastAsia="Arial" w:hAnsi="Arial"/>
                <w:sz w:val="14"/>
                <w:szCs w:val="14"/>
                <w:color w:val="auto"/>
                <w:w w:val="83"/>
              </w:rPr>
              <w:t>November</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center"/>
              <w:ind w:left="377"/>
              <w:spacing w:after="0" w:line="146" w:lineRule="exact"/>
              <w:rPr>
                <w:sz w:val="20"/>
                <w:szCs w:val="20"/>
                <w:color w:val="auto"/>
              </w:rPr>
            </w:pPr>
            <w:r>
              <w:rPr>
                <w:rFonts w:ascii="Arial" w:cs="Arial" w:eastAsia="Arial" w:hAnsi="Arial"/>
                <w:sz w:val="14"/>
                <w:szCs w:val="14"/>
                <w:color w:val="auto"/>
                <w:w w:val="86"/>
              </w:rPr>
              <w:t>January - November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5960" w:type="dxa"/>
            <w:vAlign w:val="bottom"/>
            <w:gridSpan w:val="3"/>
            <w:vMerge w:val="restart"/>
          </w:tcPr>
          <w:p>
            <w:pPr>
              <w:spacing w:after="0"/>
              <w:rPr>
                <w:sz w:val="20"/>
                <w:szCs w:val="20"/>
                <w:color w:val="auto"/>
              </w:rPr>
            </w:pPr>
            <w:r>
              <w:rPr>
                <w:rFonts w:ascii="Arial" w:cs="Arial" w:eastAsia="Arial" w:hAnsi="Arial"/>
                <w:sz w:val="14"/>
                <w:szCs w:val="14"/>
                <w:color w:val="auto"/>
              </w:rPr>
              <w:t>*S/D Prev: 24</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0"/>
              </w:rPr>
              <w:t>% Chg</w:t>
            </w: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5"/>
              </w:rPr>
              <w:t>% Chg</w:t>
            </w:r>
          </w:p>
        </w:tc>
        <w:tc>
          <w:tcPr>
            <w:tcW w:w="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8" w:lineRule="exact"/>
              <w:rPr>
                <w:sz w:val="20"/>
                <w:szCs w:val="20"/>
                <w:color w:val="auto"/>
              </w:rPr>
            </w:pPr>
            <w:r>
              <w:rPr>
                <w:rFonts w:ascii="Arial" w:cs="Arial" w:eastAsia="Arial" w:hAnsi="Arial"/>
                <w:sz w:val="14"/>
                <w:szCs w:val="14"/>
                <w:color w:val="auto"/>
                <w:w w:val="85"/>
              </w:rPr>
              <w:t>% Chg</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960" w:type="dxa"/>
            <w:vAlign w:val="bottom"/>
            <w:gridSpan w:val="3"/>
            <w:vMerge w:val="continue"/>
          </w:tcPr>
          <w:p>
            <w:pPr>
              <w:spacing w:after="0"/>
              <w:rPr>
                <w:sz w:val="12"/>
                <w:szCs w:val="12"/>
                <w:color w:val="auto"/>
              </w:rPr>
            </w:pPr>
          </w:p>
        </w:tc>
        <w:tc>
          <w:tcPr>
            <w:tcW w:w="620" w:type="dxa"/>
            <w:vAlign w:val="bottom"/>
          </w:tcPr>
          <w:p>
            <w:pPr>
              <w:jc w:val="right"/>
              <w:ind w:right="95"/>
              <w:spacing w:after="0" w:line="146"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640" w:type="dxa"/>
            <w:vAlign w:val="bottom"/>
          </w:tcPr>
          <w:p>
            <w:pPr>
              <w:jc w:val="right"/>
              <w:ind w:right="96"/>
              <w:spacing w:after="0" w:line="146"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2"/>
                <w:szCs w:val="12"/>
                <w:color w:val="auto"/>
              </w:rPr>
            </w:pPr>
          </w:p>
        </w:tc>
        <w:tc>
          <w:tcPr>
            <w:tcW w:w="64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7"/>
              <w:spacing w:after="0" w:line="146"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760" w:type="dxa"/>
            <w:vAlign w:val="bottom"/>
          </w:tcPr>
          <w:p>
            <w:pPr>
              <w:jc w:val="right"/>
              <w:ind w:right="155"/>
              <w:spacing w:after="0" w:line="146"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56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Vehicle Total</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180,402</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168,739</w:t>
            </w:r>
          </w:p>
        </w:tc>
        <w:tc>
          <w:tcPr>
            <w:tcW w:w="2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2,269,469</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1,991,042</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180,402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168,704</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2,269,469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1,978,995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960" w:type="dxa"/>
            <w:vAlign w:val="bottom"/>
            <w:gridSpan w:val="3"/>
          </w:tcPr>
          <w:p>
            <w:pPr>
              <w:spacing w:after="0"/>
              <w:rPr>
                <w:sz w:val="20"/>
                <w:szCs w:val="20"/>
                <w:color w:val="auto"/>
              </w:rPr>
            </w:pPr>
            <w:r>
              <w:rPr>
                <w:rFonts w:ascii="Arial" w:cs="Arial" w:eastAsia="Arial" w:hAnsi="Arial"/>
                <w:sz w:val="18"/>
                <w:szCs w:val="18"/>
                <w:color w:val="auto"/>
              </w:rPr>
              <w:t>GM Vehicle Deliveries by Marketing Division</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 Chg</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 Chg</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 Chg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620" w:type="dxa"/>
            <w:vAlign w:val="bottom"/>
          </w:tcPr>
          <w:p>
            <w:pPr>
              <w:jc w:val="right"/>
              <w:ind w:right="95"/>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6"/>
              <w:spacing w:after="0" w:line="159"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3"/>
                <w:szCs w:val="13"/>
                <w:color w:val="auto"/>
              </w:rPr>
            </w:pPr>
          </w:p>
        </w:tc>
        <w:tc>
          <w:tcPr>
            <w:tcW w:w="64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8"/>
              </w:rPr>
              <w:t>Volume</w:t>
            </w:r>
          </w:p>
        </w:tc>
        <w:tc>
          <w:tcPr>
            <w:tcW w:w="6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7"/>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760" w:type="dxa"/>
            <w:vAlign w:val="bottom"/>
          </w:tcPr>
          <w:p>
            <w:pPr>
              <w:jc w:val="right"/>
              <w:ind w:right="155"/>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Buick Total</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162,659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138,294</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Cadillac Total</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11,145</w:t>
            </w:r>
          </w:p>
        </w:tc>
        <w:tc>
          <w:tcPr>
            <w:tcW w:w="640" w:type="dxa"/>
            <w:vAlign w:val="bottom"/>
          </w:tcPr>
          <w:p>
            <w:pPr>
              <w:jc w:val="right"/>
              <w:spacing w:after="0"/>
              <w:rPr>
                <w:sz w:val="20"/>
                <w:szCs w:val="20"/>
                <w:color w:val="auto"/>
              </w:rPr>
            </w:pPr>
            <w:r>
              <w:rPr>
                <w:rFonts w:ascii="Arial" w:cs="Arial" w:eastAsia="Arial" w:hAnsi="Arial"/>
                <w:sz w:val="18"/>
                <w:szCs w:val="18"/>
                <w:color w:val="auto"/>
              </w:rPr>
              <w:t>11,801</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136,130</w:t>
            </w:r>
          </w:p>
        </w:tc>
        <w:tc>
          <w:tcPr>
            <w:tcW w:w="760" w:type="dxa"/>
            <w:vAlign w:val="bottom"/>
          </w:tcPr>
          <w:p>
            <w:pPr>
              <w:jc w:val="right"/>
              <w:spacing w:after="0"/>
              <w:rPr>
                <w:sz w:val="20"/>
                <w:szCs w:val="20"/>
                <w:color w:val="auto"/>
              </w:rPr>
            </w:pPr>
            <w:r>
              <w:rPr>
                <w:rFonts w:ascii="Arial" w:cs="Arial" w:eastAsia="Arial" w:hAnsi="Arial"/>
                <w:sz w:val="18"/>
                <w:szCs w:val="18"/>
                <w:color w:val="auto"/>
              </w:rPr>
              <w:t>130,207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128,907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117,588</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1,614,654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1,417,672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GMC Total **</w:t>
            </w:r>
          </w:p>
        </w:tc>
        <w:tc>
          <w:tcPr>
            <w:tcW w:w="620" w:type="dxa"/>
            <w:vAlign w:val="bottom"/>
          </w:tcPr>
          <w:p>
            <w:pPr>
              <w:jc w:val="right"/>
              <w:spacing w:after="0"/>
              <w:rPr>
                <w:sz w:val="20"/>
                <w:szCs w:val="20"/>
                <w:color w:val="auto"/>
              </w:rPr>
            </w:pPr>
            <w:r>
              <w:rPr>
                <w:rFonts w:ascii="Arial" w:cs="Arial" w:eastAsia="Arial" w:hAnsi="Arial"/>
                <w:sz w:val="18"/>
                <w:szCs w:val="18"/>
                <w:color w:val="auto"/>
              </w:rPr>
              <w:t>29,470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27,590</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356,026</w:t>
            </w:r>
          </w:p>
        </w:tc>
        <w:tc>
          <w:tcPr>
            <w:tcW w:w="760" w:type="dxa"/>
            <w:vAlign w:val="bottom"/>
          </w:tcPr>
          <w:p>
            <w:pPr>
              <w:jc w:val="right"/>
              <w:spacing w:after="0"/>
              <w:rPr>
                <w:sz w:val="20"/>
                <w:szCs w:val="20"/>
                <w:color w:val="auto"/>
              </w:rPr>
            </w:pPr>
            <w:r>
              <w:rPr>
                <w:rFonts w:ascii="Arial" w:cs="Arial" w:eastAsia="Arial" w:hAnsi="Arial"/>
                <w:sz w:val="18"/>
                <w:szCs w:val="18"/>
                <w:color w:val="auto"/>
              </w:rPr>
              <w:t>292,822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180,402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168,704</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2,269,469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1,978,995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HUMMER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3,774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Saab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Other Brand Total</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12,047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180,402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168,739</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2,269,469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1,991,042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Twenty-five selling days for the November period this year and twenty-four for last year.</w:t>
      </w:r>
    </w:p>
    <w:p>
      <w:pPr>
        <w:spacing w:after="0" w:line="1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Calendar Year 2010 includes GMC &amp; Chevrolet Dealer deliveries of commercial vehicles distributed by American Isuzu Motors, Inc.</w:t>
      </w:r>
    </w:p>
    <w:p>
      <w:pPr>
        <w:spacing w:after="0" w:line="151"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November 2011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ind w:left="373"/>
              <w:spacing w:after="0"/>
              <w:rPr>
                <w:sz w:val="20"/>
                <w:szCs w:val="20"/>
                <w:color w:val="auto"/>
              </w:rPr>
            </w:pPr>
            <w:r>
              <w:rPr>
                <w:rFonts w:ascii="Arial" w:cs="Arial" w:eastAsia="Arial" w:hAnsi="Arial"/>
                <w:sz w:val="14"/>
                <w:szCs w:val="14"/>
                <w:color w:val="auto"/>
                <w:w w:val="86"/>
              </w:rPr>
              <w:t>(Calendar Year-to-Date)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w w:val="83"/>
              </w:rPr>
              <w:t>November</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Borders>
              <w:bottom w:val="single" w:sz="8" w:color="auto"/>
            </w:tcBorders>
            <w:gridSpan w:val="4"/>
          </w:tcPr>
          <w:p>
            <w:pPr>
              <w:jc w:val="center"/>
              <w:ind w:left="373"/>
              <w:spacing w:after="0" w:line="159" w:lineRule="exact"/>
              <w:rPr>
                <w:sz w:val="20"/>
                <w:szCs w:val="20"/>
                <w:color w:val="auto"/>
              </w:rPr>
            </w:pPr>
            <w:r>
              <w:rPr>
                <w:rFonts w:ascii="Arial" w:cs="Arial" w:eastAsia="Arial" w:hAnsi="Arial"/>
                <w:sz w:val="14"/>
                <w:szCs w:val="14"/>
                <w:color w:val="auto"/>
                <w:w w:val="86"/>
              </w:rPr>
              <w:t>January - November</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240"/>
              <w:spacing w:after="0" w:line="131" w:lineRule="exact"/>
              <w:rPr>
                <w:sz w:val="20"/>
                <w:szCs w:val="20"/>
                <w:color w:val="auto"/>
              </w:rPr>
            </w:pPr>
            <w:r>
              <w:rPr>
                <w:rFonts w:ascii="Arial" w:cs="Arial" w:eastAsia="Arial" w:hAnsi="Arial"/>
                <w:sz w:val="14"/>
                <w:szCs w:val="14"/>
                <w:color w:val="auto"/>
                <w:w w:val="90"/>
              </w:rPr>
              <w:t>% Chg</w:t>
            </w:r>
          </w:p>
        </w:tc>
        <w:tc>
          <w:tcPr>
            <w:tcW w:w="460" w:type="dxa"/>
            <w:vAlign w:val="bottom"/>
          </w:tcPr>
          <w:p>
            <w:pPr>
              <w:jc w:val="right"/>
              <w:spacing w:after="0" w:line="131" w:lineRule="exact"/>
              <w:rPr>
                <w:sz w:val="20"/>
                <w:szCs w:val="20"/>
                <w:color w:val="auto"/>
              </w:rPr>
            </w:pPr>
            <w:r>
              <w:rPr>
                <w:rFonts w:ascii="Arial" w:cs="Arial" w:eastAsia="Arial" w:hAnsi="Arial"/>
                <w:sz w:val="14"/>
                <w:szCs w:val="14"/>
                <w:color w:val="auto"/>
                <w:w w:val="95"/>
              </w:rPr>
              <w:t>% Chg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1" w:lineRule="exact"/>
              <w:rPr>
                <w:sz w:val="20"/>
                <w:szCs w:val="20"/>
                <w:color w:val="auto"/>
              </w:rPr>
            </w:pPr>
            <w:r>
              <w:rPr>
                <w:rFonts w:ascii="Arial" w:cs="Arial" w:eastAsia="Arial" w:hAnsi="Arial"/>
                <w:sz w:val="14"/>
                <w:szCs w:val="14"/>
                <w:color w:val="auto"/>
                <w:w w:val="85"/>
              </w:rPr>
              <w:t>% Chg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2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640" w:type="dxa"/>
            <w:vAlign w:val="bottom"/>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3"/>
                <w:szCs w:val="13"/>
                <w:color w:val="auto"/>
              </w:rPr>
            </w:pPr>
          </w:p>
        </w:tc>
        <w:tc>
          <w:tcPr>
            <w:tcW w:w="6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4"/>
              </w:rPr>
              <w:t>Volume</w:t>
            </w: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8"/>
              </w:rPr>
              <w:t>per S/D</w:t>
            </w:r>
          </w:p>
        </w:tc>
        <w:tc>
          <w:tcPr>
            <w:tcW w:w="76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3"/>
                <w:szCs w:val="13"/>
                <w:color w:val="auto"/>
              </w:rPr>
            </w:pPr>
          </w:p>
        </w:tc>
        <w:tc>
          <w:tcPr>
            <w:tcW w:w="76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3"/>
                <w:szCs w:val="13"/>
                <w:color w:val="auto"/>
              </w:rPr>
            </w:pPr>
          </w:p>
        </w:tc>
        <w:tc>
          <w:tcPr>
            <w:tcW w:w="5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Selling Days (S/D)</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Arial" w:cs="Arial" w:eastAsia="Arial" w:hAnsi="Arial"/>
                <w:sz w:val="18"/>
                <w:szCs w:val="18"/>
                <w:color w:val="auto"/>
              </w:rPr>
              <w:t>Enclave</w:t>
            </w:r>
          </w:p>
        </w:tc>
        <w:tc>
          <w:tcPr>
            <w:tcW w:w="620" w:type="dxa"/>
            <w:vAlign w:val="bottom"/>
          </w:tcPr>
          <w:p>
            <w:pPr>
              <w:jc w:val="right"/>
              <w:spacing w:after="0"/>
              <w:rPr>
                <w:sz w:val="20"/>
                <w:szCs w:val="20"/>
                <w:color w:val="auto"/>
              </w:rPr>
            </w:pPr>
            <w:r>
              <w:rPr>
                <w:rFonts w:ascii="Arial" w:cs="Arial" w:eastAsia="Arial" w:hAnsi="Arial"/>
                <w:sz w:val="18"/>
                <w:szCs w:val="18"/>
                <w:color w:val="auto"/>
              </w:rPr>
              <w:t>3,924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3,810</w:t>
            </w:r>
          </w:p>
        </w:tc>
        <w:tc>
          <w:tcPr>
            <w:tcW w:w="2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52,837</w:t>
            </w:r>
          </w:p>
        </w:tc>
        <w:tc>
          <w:tcPr>
            <w:tcW w:w="760" w:type="dxa"/>
            <w:vAlign w:val="bottom"/>
          </w:tcPr>
          <w:p>
            <w:pPr>
              <w:jc w:val="right"/>
              <w:spacing w:after="0"/>
              <w:rPr>
                <w:sz w:val="20"/>
                <w:szCs w:val="20"/>
                <w:color w:val="auto"/>
              </w:rPr>
            </w:pPr>
            <w:r>
              <w:rPr>
                <w:rFonts w:ascii="Arial" w:cs="Arial" w:eastAsia="Arial" w:hAnsi="Arial"/>
                <w:sz w:val="18"/>
                <w:szCs w:val="18"/>
                <w:color w:val="auto"/>
              </w:rPr>
              <w:t>48,792</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Lucerne</w:t>
            </w:r>
          </w:p>
        </w:tc>
        <w:tc>
          <w:tcPr>
            <w:tcW w:w="620" w:type="dxa"/>
            <w:vAlign w:val="bottom"/>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1,866</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-55.8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19,646</w:t>
            </w:r>
          </w:p>
        </w:tc>
        <w:tc>
          <w:tcPr>
            <w:tcW w:w="760" w:type="dxa"/>
            <w:vAlign w:val="bottom"/>
          </w:tcPr>
          <w:p>
            <w:pPr>
              <w:jc w:val="right"/>
              <w:spacing w:after="0"/>
              <w:rPr>
                <w:sz w:val="20"/>
                <w:szCs w:val="20"/>
                <w:color w:val="auto"/>
              </w:rPr>
            </w:pPr>
            <w:r>
              <w:rPr>
                <w:rFonts w:ascii="Arial" w:cs="Arial" w:eastAsia="Arial" w:hAnsi="Arial"/>
                <w:sz w:val="18"/>
                <w:szCs w:val="18"/>
                <w:color w:val="auto"/>
              </w:rPr>
              <w:t>24,197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Verano</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Buick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162,659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CTS</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3,727</w:t>
            </w:r>
          </w:p>
        </w:tc>
        <w:tc>
          <w:tcPr>
            <w:tcW w:w="2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49,622</w:t>
            </w:r>
          </w:p>
        </w:tc>
        <w:tc>
          <w:tcPr>
            <w:tcW w:w="760" w:type="dxa"/>
            <w:vAlign w:val="bottom"/>
          </w:tcPr>
          <w:p>
            <w:pPr>
              <w:jc w:val="right"/>
              <w:spacing w:after="0"/>
              <w:rPr>
                <w:sz w:val="20"/>
                <w:szCs w:val="20"/>
                <w:color w:val="auto"/>
              </w:rPr>
            </w:pPr>
            <w:r>
              <w:rPr>
                <w:rFonts w:ascii="Arial" w:cs="Arial" w:eastAsia="Arial" w:hAnsi="Arial"/>
                <w:sz w:val="18"/>
                <w:szCs w:val="18"/>
                <w:color w:val="auto"/>
              </w:rPr>
              <w:t>40,485</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Escalade</w:t>
            </w:r>
          </w:p>
        </w:tc>
        <w:tc>
          <w:tcPr>
            <w:tcW w:w="620" w:type="dxa"/>
            <w:vAlign w:val="bottom"/>
          </w:tcPr>
          <w:p>
            <w:pPr>
              <w:jc w:val="right"/>
              <w:spacing w:after="0"/>
              <w:rPr>
                <w:sz w:val="20"/>
                <w:szCs w:val="20"/>
                <w:color w:val="auto"/>
              </w:rPr>
            </w:pPr>
            <w:r>
              <w:rPr>
                <w:rFonts w:ascii="Arial" w:cs="Arial" w:eastAsia="Arial" w:hAnsi="Arial"/>
                <w:sz w:val="18"/>
                <w:szCs w:val="18"/>
                <w:color w:val="auto"/>
              </w:rPr>
              <w:t>1,274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13,189</w:t>
            </w:r>
          </w:p>
        </w:tc>
        <w:tc>
          <w:tcPr>
            <w:tcW w:w="760" w:type="dxa"/>
            <w:vAlign w:val="bottom"/>
          </w:tcPr>
          <w:p>
            <w:pPr>
              <w:jc w:val="right"/>
              <w:spacing w:after="0"/>
              <w:rPr>
                <w:sz w:val="20"/>
                <w:szCs w:val="20"/>
                <w:color w:val="auto"/>
              </w:rPr>
            </w:pPr>
            <w:r>
              <w:rPr>
                <w:rFonts w:ascii="Arial" w:cs="Arial" w:eastAsia="Arial" w:hAnsi="Arial"/>
                <w:sz w:val="18"/>
                <w:szCs w:val="18"/>
                <w:color w:val="auto"/>
              </w:rPr>
              <w:t>13,832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Escalade ESV</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Escalade EXT</w:t>
            </w: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1,774</w:t>
            </w:r>
          </w:p>
        </w:tc>
        <w:tc>
          <w:tcPr>
            <w:tcW w:w="760" w:type="dxa"/>
            <w:vAlign w:val="bottom"/>
          </w:tcPr>
          <w:p>
            <w:pPr>
              <w:jc w:val="right"/>
              <w:spacing w:after="0"/>
              <w:rPr>
                <w:sz w:val="20"/>
                <w:szCs w:val="20"/>
                <w:color w:val="auto"/>
              </w:rPr>
            </w:pPr>
            <w:r>
              <w:rPr>
                <w:rFonts w:ascii="Arial" w:cs="Arial" w:eastAsia="Arial" w:hAnsi="Arial"/>
                <w:sz w:val="18"/>
                <w:szCs w:val="18"/>
                <w:color w:val="auto"/>
              </w:rPr>
              <w:t>1,816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SRX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49,581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STS</w:t>
            </w: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-69.4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-70.6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3,260</w:t>
            </w:r>
          </w:p>
        </w:tc>
        <w:tc>
          <w:tcPr>
            <w:tcW w:w="760" w:type="dxa"/>
            <w:vAlign w:val="bottom"/>
          </w:tcPr>
          <w:p>
            <w:pPr>
              <w:jc w:val="right"/>
              <w:spacing w:after="0"/>
              <w:rPr>
                <w:sz w:val="20"/>
                <w:szCs w:val="20"/>
                <w:color w:val="auto"/>
              </w:rPr>
            </w:pPr>
            <w:r>
              <w:rPr>
                <w:rFonts w:ascii="Arial" w:cs="Arial" w:eastAsia="Arial" w:hAnsi="Arial"/>
                <w:sz w:val="18"/>
                <w:szCs w:val="18"/>
                <w:color w:val="auto"/>
              </w:rPr>
              <w:t>4,144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XLR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Cadillac Total</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11,145</w:t>
            </w:r>
          </w:p>
        </w:tc>
        <w:tc>
          <w:tcPr>
            <w:tcW w:w="640" w:type="dxa"/>
            <w:vAlign w:val="bottom"/>
          </w:tcPr>
          <w:p>
            <w:pPr>
              <w:jc w:val="right"/>
              <w:spacing w:after="0"/>
              <w:rPr>
                <w:sz w:val="20"/>
                <w:szCs w:val="20"/>
                <w:color w:val="auto"/>
              </w:rPr>
            </w:pPr>
            <w:r>
              <w:rPr>
                <w:rFonts w:ascii="Arial" w:cs="Arial" w:eastAsia="Arial" w:hAnsi="Arial"/>
                <w:sz w:val="18"/>
                <w:szCs w:val="18"/>
                <w:color w:val="auto"/>
              </w:rPr>
              <w:t>11,801</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136,130</w:t>
            </w:r>
          </w:p>
        </w:tc>
        <w:tc>
          <w:tcPr>
            <w:tcW w:w="760" w:type="dxa"/>
            <w:vAlign w:val="bottom"/>
          </w:tcPr>
          <w:p>
            <w:pPr>
              <w:jc w:val="right"/>
              <w:spacing w:after="0"/>
              <w:rPr>
                <w:sz w:val="20"/>
                <w:szCs w:val="20"/>
                <w:color w:val="auto"/>
              </w:rPr>
            </w:pPr>
            <w:r>
              <w:rPr>
                <w:rFonts w:ascii="Arial" w:cs="Arial" w:eastAsia="Arial" w:hAnsi="Arial"/>
                <w:sz w:val="18"/>
                <w:szCs w:val="18"/>
                <w:color w:val="auto"/>
              </w:rPr>
              <w:t>130,207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Avalanche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Aveo</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3,262</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-99.1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-99.1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28,577</w:t>
            </w:r>
          </w:p>
        </w:tc>
        <w:tc>
          <w:tcPr>
            <w:tcW w:w="760" w:type="dxa"/>
            <w:vAlign w:val="bottom"/>
          </w:tcPr>
          <w:p>
            <w:pPr>
              <w:jc w:val="right"/>
              <w:spacing w:after="0"/>
              <w:rPr>
                <w:sz w:val="20"/>
                <w:szCs w:val="20"/>
                <w:color w:val="auto"/>
              </w:rPr>
            </w:pPr>
            <w:r>
              <w:rPr>
                <w:rFonts w:ascii="Arial" w:cs="Arial" w:eastAsia="Arial" w:hAnsi="Arial"/>
                <w:sz w:val="18"/>
                <w:szCs w:val="18"/>
                <w:color w:val="auto"/>
              </w:rPr>
              <w:t>44,586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Camaro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Caprice</w:t>
            </w: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781</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Captiva Sport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Chevy C/T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Chevy W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Cobalt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-99.9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-99.9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851</w:t>
            </w:r>
          </w:p>
        </w:tc>
        <w:tc>
          <w:tcPr>
            <w:tcW w:w="760" w:type="dxa"/>
            <w:vAlign w:val="bottom"/>
          </w:tcPr>
          <w:p>
            <w:pPr>
              <w:jc w:val="right"/>
              <w:spacing w:after="0"/>
              <w:rPr>
                <w:sz w:val="20"/>
                <w:szCs w:val="20"/>
                <w:color w:val="auto"/>
              </w:rPr>
            </w:pPr>
            <w:r>
              <w:rPr>
                <w:rFonts w:ascii="Arial" w:cs="Arial" w:eastAsia="Arial" w:hAnsi="Arial"/>
                <w:sz w:val="18"/>
                <w:szCs w:val="18"/>
                <w:color w:val="auto"/>
              </w:rPr>
              <w:t>96,740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Corvette</w:t>
            </w:r>
          </w:p>
        </w:tc>
        <w:tc>
          <w:tcPr>
            <w:tcW w:w="620" w:type="dxa"/>
            <w:vAlign w:val="bottom"/>
          </w:tcPr>
          <w:p>
            <w:pPr>
              <w:jc w:val="right"/>
              <w:spacing w:after="0"/>
              <w:rPr>
                <w:sz w:val="20"/>
                <w:szCs w:val="20"/>
                <w:color w:val="auto"/>
              </w:rPr>
            </w:pPr>
            <w:r>
              <w:rPr>
                <w:rFonts w:ascii="Arial" w:cs="Arial" w:eastAsia="Arial" w:hAnsi="Arial"/>
                <w:sz w:val="18"/>
                <w:szCs w:val="18"/>
                <w:color w:val="auto"/>
              </w:rPr>
              <w:t>910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12,126</w:t>
            </w:r>
          </w:p>
        </w:tc>
        <w:tc>
          <w:tcPr>
            <w:tcW w:w="760" w:type="dxa"/>
            <w:vAlign w:val="bottom"/>
          </w:tcPr>
          <w:p>
            <w:pPr>
              <w:jc w:val="right"/>
              <w:spacing w:after="0"/>
              <w:rPr>
                <w:sz w:val="20"/>
                <w:szCs w:val="20"/>
                <w:color w:val="auto"/>
              </w:rPr>
            </w:pPr>
            <w:r>
              <w:rPr>
                <w:rFonts w:ascii="Arial" w:cs="Arial" w:eastAsia="Arial" w:hAnsi="Arial"/>
                <w:sz w:val="18"/>
                <w:szCs w:val="18"/>
                <w:color w:val="auto"/>
              </w:rPr>
              <w:t>11,645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Cruze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215,057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Equinox</w:t>
            </w:r>
          </w:p>
        </w:tc>
        <w:tc>
          <w:tcPr>
            <w:tcW w:w="620" w:type="dxa"/>
            <w:vAlign w:val="bottom"/>
          </w:tcPr>
          <w:p>
            <w:pPr>
              <w:jc w:val="right"/>
              <w:spacing w:after="0"/>
              <w:rPr>
                <w:sz w:val="20"/>
                <w:szCs w:val="20"/>
                <w:color w:val="auto"/>
              </w:rPr>
            </w:pPr>
            <w:r>
              <w:rPr>
                <w:rFonts w:ascii="Arial" w:cs="Arial" w:eastAsia="Arial" w:hAnsi="Arial"/>
                <w:sz w:val="18"/>
                <w:szCs w:val="18"/>
                <w:color w:val="auto"/>
              </w:rPr>
              <w:t>14,936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15,387</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175,079</w:t>
            </w:r>
          </w:p>
        </w:tc>
        <w:tc>
          <w:tcPr>
            <w:tcW w:w="760" w:type="dxa"/>
            <w:vAlign w:val="bottom"/>
          </w:tcPr>
          <w:p>
            <w:pPr>
              <w:jc w:val="right"/>
              <w:spacing w:after="0"/>
              <w:rPr>
                <w:sz w:val="20"/>
                <w:szCs w:val="20"/>
                <w:color w:val="auto"/>
              </w:rPr>
            </w:pPr>
            <w:r>
              <w:rPr>
                <w:rFonts w:ascii="Arial" w:cs="Arial" w:eastAsia="Arial" w:hAnsi="Arial"/>
                <w:sz w:val="18"/>
                <w:szCs w:val="18"/>
                <w:color w:val="auto"/>
              </w:rPr>
              <w:t>127,215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Express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63,482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HHR</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4,118</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-99.4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36,862</w:t>
            </w:r>
          </w:p>
        </w:tc>
        <w:tc>
          <w:tcPr>
            <w:tcW w:w="760" w:type="dxa"/>
            <w:vAlign w:val="bottom"/>
          </w:tcPr>
          <w:p>
            <w:pPr>
              <w:jc w:val="right"/>
              <w:spacing w:after="0"/>
              <w:rPr>
                <w:sz w:val="20"/>
                <w:szCs w:val="20"/>
                <w:color w:val="auto"/>
              </w:rPr>
            </w:pPr>
            <w:r>
              <w:rPr>
                <w:rFonts w:ascii="Arial" w:cs="Arial" w:eastAsia="Arial" w:hAnsi="Arial"/>
                <w:sz w:val="18"/>
                <w:szCs w:val="18"/>
                <w:color w:val="auto"/>
              </w:rPr>
              <w:t>71,371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Impala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160,955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160,667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Kodiak 4/5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1,189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Kodiak 6/7/8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Malibu</w:t>
            </w:r>
          </w:p>
        </w:tc>
        <w:tc>
          <w:tcPr>
            <w:tcW w:w="620" w:type="dxa"/>
            <w:vAlign w:val="bottom"/>
          </w:tcPr>
          <w:p>
            <w:pPr>
              <w:jc w:val="right"/>
              <w:spacing w:after="0"/>
              <w:rPr>
                <w:sz w:val="20"/>
                <w:szCs w:val="20"/>
                <w:color w:val="auto"/>
              </w:rPr>
            </w:pPr>
            <w:r>
              <w:rPr>
                <w:rFonts w:ascii="Arial" w:cs="Arial" w:eastAsia="Arial" w:hAnsi="Arial"/>
                <w:sz w:val="18"/>
                <w:szCs w:val="18"/>
                <w:color w:val="auto"/>
              </w:rPr>
              <w:t>10,269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11,651</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191,774</w:t>
            </w:r>
          </w:p>
        </w:tc>
        <w:tc>
          <w:tcPr>
            <w:tcW w:w="760" w:type="dxa"/>
            <w:vAlign w:val="bottom"/>
          </w:tcPr>
          <w:p>
            <w:pPr>
              <w:jc w:val="right"/>
              <w:spacing w:after="0"/>
              <w:rPr>
                <w:sz w:val="20"/>
                <w:szCs w:val="20"/>
                <w:color w:val="auto"/>
              </w:rPr>
            </w:pPr>
            <w:r>
              <w:rPr>
                <w:rFonts w:ascii="Arial" w:cs="Arial" w:eastAsia="Arial" w:hAnsi="Arial"/>
                <w:sz w:val="18"/>
                <w:szCs w:val="18"/>
                <w:color w:val="auto"/>
              </w:rPr>
              <w:t>187,250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Silverado-C/K Pickup</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25,619</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367,343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327,617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Sonic</w:t>
            </w:r>
          </w:p>
        </w:tc>
        <w:tc>
          <w:tcPr>
            <w:tcW w:w="620" w:type="dxa"/>
            <w:vAlign w:val="bottom"/>
          </w:tcPr>
          <w:p>
            <w:pPr>
              <w:jc w:val="right"/>
              <w:spacing w:after="0"/>
              <w:rPr>
                <w:sz w:val="20"/>
                <w:szCs w:val="20"/>
                <w:color w:val="auto"/>
              </w:rPr>
            </w:pPr>
            <w:r>
              <w:rPr>
                <w:rFonts w:ascii="Arial" w:cs="Arial" w:eastAsia="Arial" w:hAnsi="Arial"/>
                <w:sz w:val="18"/>
                <w:szCs w:val="18"/>
                <w:color w:val="auto"/>
              </w:rPr>
              <w:t>4,496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10,035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Tahoe</w:t>
            </w:r>
          </w:p>
        </w:tc>
        <w:tc>
          <w:tcPr>
            <w:tcW w:w="620" w:type="dxa"/>
            <w:vAlign w:val="bottom"/>
          </w:tcPr>
          <w:p>
            <w:pPr>
              <w:jc w:val="right"/>
              <w:spacing w:after="0"/>
              <w:rPr>
                <w:sz w:val="20"/>
                <w:szCs w:val="20"/>
                <w:color w:val="auto"/>
              </w:rPr>
            </w:pPr>
            <w:r>
              <w:rPr>
                <w:rFonts w:ascii="Arial" w:cs="Arial" w:eastAsia="Arial" w:hAnsi="Arial"/>
                <w:sz w:val="18"/>
                <w:szCs w:val="18"/>
                <w:color w:val="auto"/>
              </w:rPr>
              <w:t>8,401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6,325</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72,097</w:t>
            </w:r>
          </w:p>
        </w:tc>
        <w:tc>
          <w:tcPr>
            <w:tcW w:w="760" w:type="dxa"/>
            <w:vAlign w:val="bottom"/>
          </w:tcPr>
          <w:p>
            <w:pPr>
              <w:jc w:val="right"/>
              <w:spacing w:after="0"/>
              <w:rPr>
                <w:sz w:val="20"/>
                <w:szCs w:val="20"/>
                <w:color w:val="auto"/>
              </w:rPr>
            </w:pPr>
            <w:r>
              <w:rPr>
                <w:rFonts w:ascii="Arial" w:cs="Arial" w:eastAsia="Arial" w:hAnsi="Arial"/>
                <w:sz w:val="18"/>
                <w:szCs w:val="18"/>
                <w:color w:val="auto"/>
              </w:rPr>
              <w:t>68,193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TrailBlazer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Traverse</w:t>
            </w:r>
          </w:p>
        </w:tc>
        <w:tc>
          <w:tcPr>
            <w:tcW w:w="620" w:type="dxa"/>
            <w:vAlign w:val="bottom"/>
          </w:tcPr>
          <w:p>
            <w:pPr>
              <w:jc w:val="right"/>
              <w:spacing w:after="0"/>
              <w:rPr>
                <w:sz w:val="20"/>
                <w:szCs w:val="20"/>
                <w:color w:val="auto"/>
              </w:rPr>
            </w:pPr>
            <w:r>
              <w:rPr>
                <w:rFonts w:ascii="Arial" w:cs="Arial" w:eastAsia="Arial" w:hAnsi="Arial"/>
                <w:sz w:val="18"/>
                <w:szCs w:val="18"/>
                <w:color w:val="auto"/>
              </w:rPr>
              <w:t>7,144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9,954</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97,805</w:t>
            </w:r>
          </w:p>
        </w:tc>
        <w:tc>
          <w:tcPr>
            <w:tcW w:w="760" w:type="dxa"/>
            <w:vAlign w:val="bottom"/>
          </w:tcPr>
          <w:p>
            <w:pPr>
              <w:jc w:val="right"/>
              <w:spacing w:after="0"/>
              <w:rPr>
                <w:sz w:val="20"/>
                <w:szCs w:val="20"/>
                <w:color w:val="auto"/>
              </w:rPr>
            </w:pPr>
            <w:r>
              <w:rPr>
                <w:rFonts w:ascii="Arial" w:cs="Arial" w:eastAsia="Arial" w:hAnsi="Arial"/>
                <w:sz w:val="18"/>
                <w:szCs w:val="18"/>
                <w:color w:val="auto"/>
              </w:rPr>
              <w:t>96,221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Uplander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Volt</w:t>
            </w:r>
          </w:p>
        </w:tc>
        <w:tc>
          <w:tcPr>
            <w:tcW w:w="620" w:type="dxa"/>
            <w:vAlign w:val="bottom"/>
          </w:tcPr>
          <w:p>
            <w:pPr>
              <w:jc w:val="right"/>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6,142</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Chevrolet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128,907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117,588</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1,614,654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1,417,672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Acadia</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5,541</w:t>
            </w:r>
          </w:p>
        </w:tc>
        <w:tc>
          <w:tcPr>
            <w:tcW w:w="2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71,933</w:t>
            </w:r>
          </w:p>
        </w:tc>
        <w:tc>
          <w:tcPr>
            <w:tcW w:w="760" w:type="dxa"/>
            <w:vAlign w:val="bottom"/>
          </w:tcPr>
          <w:p>
            <w:pPr>
              <w:jc w:val="right"/>
              <w:spacing w:after="0"/>
              <w:rPr>
                <w:sz w:val="20"/>
                <w:szCs w:val="20"/>
                <w:color w:val="auto"/>
              </w:rPr>
            </w:pPr>
            <w:r>
              <w:rPr>
                <w:rFonts w:ascii="Arial" w:cs="Arial" w:eastAsia="Arial" w:hAnsi="Arial"/>
                <w:sz w:val="18"/>
                <w:szCs w:val="18"/>
                <w:color w:val="auto"/>
              </w:rPr>
              <w:t>60,677</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Canyon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Envoy</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GMC C/T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GMC W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Savana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Sierra</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11,971</w:t>
            </w:r>
          </w:p>
        </w:tc>
        <w:tc>
          <w:tcPr>
            <w:tcW w:w="640" w:type="dxa"/>
            <w:vAlign w:val="bottom"/>
          </w:tcPr>
          <w:p>
            <w:pPr>
              <w:jc w:val="right"/>
              <w:spacing w:after="0"/>
              <w:rPr>
                <w:sz w:val="20"/>
                <w:szCs w:val="20"/>
                <w:color w:val="auto"/>
              </w:rPr>
            </w:pPr>
            <w:r>
              <w:rPr>
                <w:rFonts w:ascii="Arial" w:cs="Arial" w:eastAsia="Arial" w:hAnsi="Arial"/>
                <w:sz w:val="18"/>
                <w:szCs w:val="18"/>
                <w:color w:val="auto"/>
              </w:rPr>
              <w:t>9,781</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132,675</w:t>
            </w:r>
          </w:p>
        </w:tc>
        <w:tc>
          <w:tcPr>
            <w:tcW w:w="760" w:type="dxa"/>
            <w:vAlign w:val="bottom"/>
          </w:tcPr>
          <w:p>
            <w:pPr>
              <w:jc w:val="right"/>
              <w:spacing w:after="0"/>
              <w:rPr>
                <w:sz w:val="20"/>
                <w:szCs w:val="20"/>
                <w:color w:val="auto"/>
              </w:rPr>
            </w:pPr>
            <w:r>
              <w:rPr>
                <w:rFonts w:ascii="Arial" w:cs="Arial" w:eastAsia="Arial" w:hAnsi="Arial"/>
                <w:sz w:val="18"/>
                <w:szCs w:val="18"/>
                <w:color w:val="auto"/>
              </w:rPr>
              <w:t>112,999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Terrain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Topkick 4/5 Series</w:t>
            </w: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tcPr>
          <w:p>
            <w:pPr>
              <w:jc w:val="right"/>
              <w:spacing w:after="0"/>
              <w:rPr>
                <w:sz w:val="20"/>
                <w:szCs w:val="20"/>
                <w:color w:val="auto"/>
              </w:rPr>
            </w:pPr>
            <w:r>
              <w:rPr>
                <w:rFonts w:ascii="Arial" w:cs="Arial" w:eastAsia="Arial" w:hAnsi="Arial"/>
                <w:sz w:val="18"/>
                <w:szCs w:val="18"/>
                <w:color w:val="auto"/>
              </w:rPr>
              <w:t>907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Topkick 6/7/8 Series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Yukon</w:t>
            </w:r>
          </w:p>
        </w:tc>
        <w:tc>
          <w:tcPr>
            <w:tcW w:w="620" w:type="dxa"/>
            <w:vAlign w:val="bottom"/>
          </w:tcPr>
          <w:p>
            <w:pPr>
              <w:jc w:val="right"/>
              <w:spacing w:after="0"/>
              <w:rPr>
                <w:sz w:val="20"/>
                <w:szCs w:val="20"/>
                <w:color w:val="auto"/>
              </w:rPr>
            </w:pPr>
            <w:r>
              <w:rPr>
                <w:rFonts w:ascii="Arial" w:cs="Arial" w:eastAsia="Arial" w:hAnsi="Arial"/>
                <w:sz w:val="18"/>
                <w:szCs w:val="18"/>
                <w:color w:val="auto"/>
              </w:rPr>
              <w:t>2,987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2,317</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30,282</w:t>
            </w:r>
          </w:p>
        </w:tc>
        <w:tc>
          <w:tcPr>
            <w:tcW w:w="760" w:type="dxa"/>
            <w:vAlign w:val="bottom"/>
          </w:tcPr>
          <w:p>
            <w:pPr>
              <w:jc w:val="right"/>
              <w:spacing w:after="0"/>
              <w:rPr>
                <w:sz w:val="20"/>
                <w:szCs w:val="20"/>
                <w:color w:val="auto"/>
              </w:rPr>
            </w:pPr>
            <w:r>
              <w:rPr>
                <w:rFonts w:ascii="Arial" w:cs="Arial" w:eastAsia="Arial" w:hAnsi="Arial"/>
                <w:sz w:val="18"/>
                <w:szCs w:val="18"/>
                <w:color w:val="auto"/>
              </w:rPr>
              <w:t>24,890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Yukon XL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GMC Total</w:t>
            </w:r>
          </w:p>
        </w:tc>
        <w:tc>
          <w:tcPr>
            <w:tcW w:w="620" w:type="dxa"/>
            <w:vAlign w:val="bottom"/>
          </w:tcPr>
          <w:p>
            <w:pPr>
              <w:jc w:val="right"/>
              <w:spacing w:after="0"/>
              <w:rPr>
                <w:sz w:val="20"/>
                <w:szCs w:val="20"/>
                <w:color w:val="auto"/>
              </w:rPr>
            </w:pPr>
            <w:r>
              <w:rPr>
                <w:rFonts w:ascii="Arial" w:cs="Arial" w:eastAsia="Arial" w:hAnsi="Arial"/>
                <w:sz w:val="18"/>
                <w:szCs w:val="18"/>
                <w:color w:val="auto"/>
              </w:rPr>
              <w:t>29,470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27,590</w:t>
            </w: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356,026</w:t>
            </w:r>
          </w:p>
        </w:tc>
        <w:tc>
          <w:tcPr>
            <w:tcW w:w="760" w:type="dxa"/>
            <w:vAlign w:val="bottom"/>
          </w:tcPr>
          <w:p>
            <w:pPr>
              <w:jc w:val="right"/>
              <w:spacing w:after="0"/>
              <w:rPr>
                <w:sz w:val="20"/>
                <w:szCs w:val="20"/>
                <w:color w:val="auto"/>
              </w:rPr>
            </w:pPr>
            <w:r>
              <w:rPr>
                <w:rFonts w:ascii="Arial" w:cs="Arial" w:eastAsia="Arial" w:hAnsi="Arial"/>
                <w:sz w:val="18"/>
                <w:szCs w:val="18"/>
                <w:color w:val="auto"/>
              </w:rPr>
              <w:t>292,822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Brand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180,402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168,704</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2,269,469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1,978,995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HUMMER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3,774</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Pontiac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Arial" w:cs="Arial" w:eastAsia="Arial" w:hAnsi="Arial"/>
                <w:sz w:val="18"/>
                <w:szCs w:val="18"/>
                <w:color w:val="auto"/>
              </w:rPr>
              <w:t>Saab Total</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Saturn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420"/>
              <w:spacing w:after="0"/>
              <w:rPr>
                <w:sz w:val="20"/>
                <w:szCs w:val="20"/>
                <w:color w:val="auto"/>
              </w:rPr>
            </w:pPr>
            <w:r>
              <w:rPr>
                <w:rFonts w:ascii="Arial" w:cs="Arial" w:eastAsia="Arial" w:hAnsi="Arial"/>
                <w:sz w:val="18"/>
                <w:szCs w:val="18"/>
                <w:b w:val="1"/>
                <w:bCs w:val="1"/>
                <w:color w:val="auto"/>
              </w:rPr>
              <w:t>Other Brand 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12,047</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GM Vehicle 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180,402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168,739</w:t>
            </w: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2,269,469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1,991,042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960" w:type="dxa"/>
            <w:vAlign w:val="bottom"/>
            <w:gridSpan w:val="2"/>
          </w:tcPr>
          <w:p>
            <w:pPr>
              <w:spacing w:after="0"/>
              <w:rPr>
                <w:sz w:val="20"/>
                <w:szCs w:val="20"/>
                <w:color w:val="auto"/>
              </w:rPr>
            </w:pPr>
            <w:r>
              <w:rPr>
                <w:rFonts w:ascii="Arial" w:cs="Arial" w:eastAsia="Arial" w:hAnsi="Arial"/>
                <w:sz w:val="18"/>
                <w:szCs w:val="18"/>
                <w:color w:val="auto"/>
              </w:rPr>
              <w:t>Sales Reporting and Data Management</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4"/>
          </w:tcPr>
          <w:p>
            <w:pPr>
              <w:ind w:left="720"/>
              <w:spacing w:after="0"/>
              <w:rPr>
                <w:sz w:val="20"/>
                <w:szCs w:val="20"/>
                <w:color w:val="auto"/>
              </w:rPr>
            </w:pPr>
            <w:r>
              <w:rPr>
                <w:rFonts w:ascii="Arial" w:cs="Arial" w:eastAsia="Arial" w:hAnsi="Arial"/>
                <w:sz w:val="18"/>
                <w:szCs w:val="18"/>
                <w:color w:val="auto"/>
                <w:w w:val="84"/>
              </w:rPr>
              <w:t>Page 2 of 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6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2019-12-11T07:45:41Z</dcterms:created>
  <dcterms:modified xsi:type="dcterms:W3CDTF">2019-12-11T07:45:41Z</dcterms:modified>
</cp:coreProperties>
</file>