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5067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06730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Girsky Stephen J</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35"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9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09/30/2011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3"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9"/>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43"/>
        <w:spacing w:after="0"/>
        <w:rPr>
          <w:sz w:val="20"/>
          <w:szCs w:val="20"/>
          <w:color w:val="auto"/>
        </w:rPr>
      </w:pPr>
      <w:r>
        <w:rPr>
          <w:rFonts w:ascii="Arial" w:cs="Arial" w:eastAsia="Arial" w:hAnsi="Arial"/>
          <w:sz w:val="17"/>
          <w:szCs w:val="17"/>
          <w:color w:val="0000FF"/>
        </w:rPr>
        <w:t>Vice Chairman</w:t>
      </w:r>
    </w:p>
    <w:p>
      <w:pPr>
        <w:spacing w:after="0" w:line="416" w:lineRule="exact"/>
        <w:rPr>
          <w:sz w:val="24"/>
          <w:szCs w:val="24"/>
          <w:color w:val="auto"/>
        </w:rPr>
      </w:pPr>
    </w:p>
    <w:p>
      <w:pPr>
        <w:sectPr>
          <w:pgSz w:w="11900" w:h="16838" w:orient="portrait"/>
          <w:cols w:equalWidth="0" w:num="3">
            <w:col w:w="3340" w:space="720"/>
            <w:col w:w="3257" w:space="720"/>
            <w:col w:w="3483"/>
          </w:cols>
          <w:pgMar w:left="240" w:top="223" w:right="139" w:bottom="1440"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5"/>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DETROIT</w:t>
            </w:r>
          </w:p>
        </w:tc>
        <w:tc>
          <w:tcPr>
            <w:tcW w:w="1100" w:type="dxa"/>
            <w:vAlign w:val="bottom"/>
          </w:tcPr>
          <w:p>
            <w:pPr>
              <w:ind w:left="280"/>
              <w:spacing w:after="0"/>
              <w:rPr>
                <w:sz w:val="20"/>
                <w:szCs w:val="20"/>
                <w:color w:val="auto"/>
              </w:rPr>
            </w:pPr>
            <w:r>
              <w:rPr>
                <w:rFonts w:ascii="Arial" w:cs="Arial" w:eastAsia="Arial" w:hAnsi="Arial"/>
                <w:sz w:val="17"/>
                <w:szCs w:val="17"/>
                <w:color w:val="0000FF"/>
              </w:rPr>
              <w:t>MI</w:t>
            </w:r>
          </w:p>
        </w:tc>
        <w:tc>
          <w:tcPr>
            <w:tcW w:w="1680" w:type="dxa"/>
            <w:vAlign w:val="bottom"/>
          </w:tcPr>
          <w:p>
            <w:pPr>
              <w:ind w:left="440"/>
              <w:spacing w:after="0"/>
              <w:rPr>
                <w:sz w:val="20"/>
                <w:szCs w:val="20"/>
                <w:color w:val="auto"/>
              </w:rPr>
            </w:pPr>
            <w:r>
              <w:rPr>
                <w:rFonts w:ascii="Arial" w:cs="Arial" w:eastAsia="Arial" w:hAnsi="Arial"/>
                <w:sz w:val="17"/>
                <w:szCs w:val="17"/>
                <w:color w:val="0000FF"/>
              </w:rPr>
              <w:t>48265-3000</w:t>
            </w:r>
          </w:p>
        </w:tc>
      </w:tr>
      <w:tr>
        <w:trPr>
          <w:trHeight w:val="153"/>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2"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2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9"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900" w:space="16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20"/>
              <w:spacing w:after="0" w:line="129"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40" w:type="dxa"/>
            <w:vAlign w:val="bottom"/>
            <w:gridSpan w:val="4"/>
          </w:tcPr>
          <w:p>
            <w:pPr>
              <w:jc w:val="right"/>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80" w:type="dxa"/>
            <w:vAlign w:val="bottom"/>
            <w:gridSpan w:val="2"/>
          </w:tcPr>
          <w:p>
            <w:pPr>
              <w:jc w:val="center"/>
              <w:ind w:left="65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1"/>
                <w:szCs w:val="11"/>
                <w:color w:val="auto"/>
              </w:rPr>
            </w:pPr>
          </w:p>
        </w:tc>
        <w:tc>
          <w:tcPr>
            <w:tcW w:w="34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(A) or</w:t>
            </w:r>
          </w:p>
        </w:tc>
        <w:tc>
          <w:tcPr>
            <w:tcW w:w="70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70"/>
              <w:spacing w:after="0"/>
              <w:rPr>
                <w:sz w:val="20"/>
                <w:szCs w:val="20"/>
                <w:color w:val="auto"/>
              </w:rPr>
            </w:pPr>
            <w:r>
              <w:rPr>
                <w:rFonts w:ascii="Arial" w:cs="Arial" w:eastAsia="Arial" w:hAnsi="Arial"/>
                <w:sz w:val="17"/>
                <w:szCs w:val="17"/>
                <w:color w:val="0000FF"/>
                <w:w w:val="91"/>
              </w:rPr>
              <w:t>09/30/2011</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rPr>
              <w:t>M</w:t>
            </w:r>
          </w:p>
        </w:tc>
        <w:tc>
          <w:tcPr>
            <w:tcW w:w="10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3"/>
              </w:rPr>
              <w:t>13,896</w:t>
            </w:r>
            <w:r>
              <w:rPr>
                <w:rFonts w:ascii="Arial" w:cs="Arial" w:eastAsia="Arial" w:hAnsi="Arial"/>
                <w:sz w:val="21"/>
                <w:szCs w:val="21"/>
                <w:color w:val="008000"/>
                <w:w w:val="83"/>
                <w:vertAlign w:val="superscript"/>
              </w:rPr>
              <w:t>(2)</w:t>
            </w: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115"/>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13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60,137</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70"/>
              <w:spacing w:after="0"/>
              <w:rPr>
                <w:sz w:val="20"/>
                <w:szCs w:val="20"/>
                <w:color w:val="auto"/>
              </w:rPr>
            </w:pPr>
            <w:r>
              <w:rPr>
                <w:rFonts w:ascii="Arial" w:cs="Arial" w:eastAsia="Arial" w:hAnsi="Arial"/>
                <w:sz w:val="17"/>
                <w:szCs w:val="17"/>
                <w:color w:val="0000FF"/>
                <w:w w:val="91"/>
              </w:rPr>
              <w:t>09/30/2011</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73"/>
              <w:spacing w:after="0"/>
              <w:rPr>
                <w:sz w:val="20"/>
                <w:szCs w:val="20"/>
                <w:color w:val="auto"/>
              </w:rPr>
            </w:pPr>
            <w:r>
              <w:rPr>
                <w:rFonts w:ascii="Arial" w:cs="Arial" w:eastAsia="Arial" w:hAnsi="Arial"/>
                <w:sz w:val="17"/>
                <w:szCs w:val="17"/>
                <w:color w:val="0000FF"/>
                <w:w w:val="89"/>
              </w:rPr>
              <w:t>7,156</w:t>
            </w: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jc w:val="center"/>
              <w:ind w:left="115"/>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20.3</w:t>
            </w:r>
            <w:r>
              <w:rPr>
                <w:rFonts w:ascii="Arial" w:cs="Arial" w:eastAsia="Arial" w:hAnsi="Arial"/>
                <w:sz w:val="21"/>
                <w:szCs w:val="21"/>
                <w:color w:val="008000"/>
                <w:w w:val="87"/>
                <w:vertAlign w:val="superscript"/>
              </w:rPr>
              <w:t>(3)</w:t>
            </w:r>
          </w:p>
        </w:tc>
        <w:tc>
          <w:tcPr>
            <w:tcW w:w="13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52,981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(4)</w:t>
            </w:r>
          </w:p>
        </w:tc>
        <w:tc>
          <w:tcPr>
            <w:tcW w:w="110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670"/>
              <w:spacing w:after="0"/>
              <w:rPr>
                <w:sz w:val="20"/>
                <w:szCs w:val="20"/>
                <w:color w:val="auto"/>
              </w:rPr>
            </w:pPr>
            <w:r>
              <w:rPr>
                <w:rFonts w:ascii="Arial" w:cs="Arial" w:eastAsia="Arial" w:hAnsi="Arial"/>
                <w:sz w:val="17"/>
                <w:szCs w:val="17"/>
                <w:color w:val="0000FF"/>
                <w:w w:val="91"/>
              </w:rPr>
              <w:t>09/30/2011</w:t>
            </w:r>
          </w:p>
        </w:tc>
        <w:tc>
          <w:tcPr>
            <w:tcW w:w="10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73"/>
              <w:spacing w:after="0"/>
              <w:rPr>
                <w:sz w:val="20"/>
                <w:szCs w:val="20"/>
                <w:color w:val="auto"/>
              </w:rPr>
            </w:pPr>
            <w:r>
              <w:rPr>
                <w:rFonts w:ascii="Arial" w:cs="Arial" w:eastAsia="Arial" w:hAnsi="Arial"/>
                <w:sz w:val="17"/>
                <w:szCs w:val="17"/>
                <w:color w:val="0000FF"/>
                <w:w w:val="88"/>
              </w:rPr>
              <w:t>39,409</w:t>
            </w: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center"/>
              <w:ind w:left="115"/>
              <w:spacing w:after="0" w:line="315"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(3)</w:t>
            </w:r>
          </w:p>
        </w:tc>
        <w:tc>
          <w:tcPr>
            <w:tcW w:w="13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92,390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40" w:type="dxa"/>
            <w:vAlign w:val="bottom"/>
            <w:gridSpan w:val="9"/>
          </w:tcPr>
          <w:p>
            <w:pPr>
              <w:jc w:val="right"/>
              <w:ind w:right="17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Underlying Derivative</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Security (Instr. 3 and</w:t>
            </w:r>
          </w:p>
        </w:tc>
        <w:tc>
          <w:tcPr>
            <w:tcW w:w="7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line="132" w:lineRule="exact"/>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jc w:val="right"/>
              <w:spacing w:after="0" w:line="132" w:lineRule="exact"/>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tcPr>
          <w:p>
            <w:pPr>
              <w:jc w:val="right"/>
              <w:ind w:right="15"/>
              <w:spacing w:after="0" w:line="132" w:lineRule="exact"/>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260" w:type="dxa"/>
            <w:vAlign w:val="bottom"/>
          </w:tcPr>
          <w:p>
            <w:pPr>
              <w:spacing w:after="0"/>
              <w:rPr>
                <w:sz w:val="20"/>
                <w:szCs w:val="20"/>
                <w:color w:val="auto"/>
              </w:rPr>
            </w:pPr>
            <w:r>
              <w:rPr>
                <w:rFonts w:ascii="Arial" w:cs="Arial" w:eastAsia="Arial" w:hAnsi="Arial"/>
                <w:sz w:val="12"/>
                <w:szCs w:val="12"/>
                <w:b w:val="1"/>
                <w:bCs w:val="1"/>
                <w:color w:val="auto"/>
                <w:w w:val="97"/>
              </w:rPr>
              <w:t>Title</w:t>
            </w:r>
          </w:p>
        </w:tc>
        <w:tc>
          <w:tcPr>
            <w:tcW w:w="340" w:type="dxa"/>
            <w:vAlign w:val="bottom"/>
          </w:tcPr>
          <w:p>
            <w:pPr>
              <w:spacing w:after="0"/>
              <w:rPr>
                <w:sz w:val="13"/>
                <w:szCs w:val="13"/>
                <w:color w:val="auto"/>
              </w:rPr>
            </w:pPr>
          </w:p>
        </w:tc>
        <w:tc>
          <w:tcPr>
            <w:tcW w:w="700" w:type="dxa"/>
            <w:vAlign w:val="bottom"/>
          </w:tcPr>
          <w:p>
            <w:pPr>
              <w:jc w:val="right"/>
              <w:ind w:right="215"/>
              <w:spacing w:after="0"/>
              <w:rPr>
                <w:sz w:val="20"/>
                <w:szCs w:val="20"/>
                <w:color w:val="auto"/>
              </w:rPr>
            </w:pPr>
            <w:r>
              <w:rPr>
                <w:rFonts w:ascii="Arial" w:cs="Arial" w:eastAsia="Arial" w:hAnsi="Arial"/>
                <w:sz w:val="12"/>
                <w:szCs w:val="12"/>
                <w:b w:val="1"/>
                <w:bCs w:val="1"/>
                <w:color w:val="auto"/>
                <w:w w:val="99"/>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Salary</w:t>
            </w:r>
          </w:p>
        </w:tc>
        <w:tc>
          <w:tcPr>
            <w:tcW w:w="800" w:type="dxa"/>
            <w:vAlign w:val="bottom"/>
            <w:vMerge w:val="restart"/>
          </w:tcPr>
          <w:p>
            <w:pPr>
              <w:ind w:left="280"/>
              <w:spacing w:after="0"/>
              <w:rPr>
                <w:sz w:val="20"/>
                <w:szCs w:val="20"/>
                <w:color w:val="auto"/>
              </w:rPr>
            </w:pPr>
            <w:r>
              <w:rPr>
                <w:rFonts w:ascii="Arial" w:cs="Arial" w:eastAsia="Arial" w:hAnsi="Arial"/>
                <w:sz w:val="23"/>
                <w:szCs w:val="23"/>
                <w:color w:val="000000"/>
                <w:vertAlign w:val="subscript"/>
              </w:rPr>
              <w:t>$</w:t>
            </w:r>
            <w:r>
              <w:rPr>
                <w:rFonts w:ascii="Arial" w:cs="Arial" w:eastAsia="Arial" w:hAnsi="Arial"/>
                <w:sz w:val="26"/>
                <w:szCs w:val="26"/>
                <w:color w:val="0000FF"/>
                <w:vertAlign w:val="subscript"/>
              </w:rPr>
              <w:t>0</w:t>
            </w:r>
            <w:r>
              <w:rPr>
                <w:rFonts w:ascii="Arial" w:cs="Arial" w:eastAsia="Arial" w:hAnsi="Arial"/>
                <w:sz w:val="11"/>
                <w:szCs w:val="11"/>
                <w:color w:val="008000"/>
              </w:rPr>
              <w:t>(3)</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20" w:type="dxa"/>
            <w:vAlign w:val="bottom"/>
            <w:vMerge w:val="restart"/>
          </w:tcPr>
          <w:p>
            <w:pPr>
              <w:ind w:left="420"/>
              <w:spacing w:after="0"/>
              <w:rPr>
                <w:sz w:val="20"/>
                <w:szCs w:val="20"/>
                <w:color w:val="auto"/>
              </w:rPr>
            </w:pPr>
            <w:r>
              <w:rPr>
                <w:rFonts w:ascii="Arial" w:cs="Arial" w:eastAsia="Arial" w:hAnsi="Arial"/>
                <w:sz w:val="13"/>
                <w:szCs w:val="13"/>
                <w:color w:val="0000FF"/>
              </w:rPr>
              <w:t>13,896</w:t>
            </w:r>
            <w:r>
              <w:rPr>
                <w:rFonts w:ascii="Arial" w:cs="Arial" w:eastAsia="Arial" w:hAnsi="Arial"/>
                <w:sz w:val="21"/>
                <w:szCs w:val="21"/>
                <w:color w:val="008000"/>
                <w:vertAlign w:val="superscript"/>
              </w:rPr>
              <w:t>(2)</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w w:val="89"/>
              </w:rPr>
              <w:t>13,896</w:t>
            </w:r>
            <w:r>
              <w:rPr>
                <w:rFonts w:ascii="Arial" w:cs="Arial" w:eastAsia="Arial" w:hAnsi="Arial"/>
                <w:sz w:val="21"/>
                <w:szCs w:val="21"/>
                <w:color w:val="008000"/>
                <w:w w:val="89"/>
                <w:vertAlign w:val="superscript"/>
              </w:rPr>
              <w:t>(2)</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3"/>
                <w:szCs w:val="13"/>
                <w:color w:val="0000FF"/>
              </w:rPr>
              <w:t>27,789</w:t>
            </w:r>
            <w:r>
              <w:rPr>
                <w:rFonts w:ascii="Arial" w:cs="Arial" w:eastAsia="Arial" w:hAnsi="Arial"/>
                <w:sz w:val="21"/>
                <w:szCs w:val="21"/>
                <w:color w:val="008000"/>
                <w:vertAlign w:val="superscript"/>
              </w:rPr>
              <w:t>(2)</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3"/>
                <w:szCs w:val="13"/>
                <w:color w:val="auto"/>
              </w:rPr>
            </w:pPr>
          </w:p>
        </w:tc>
        <w:tc>
          <w:tcPr>
            <w:tcW w:w="1100" w:type="dxa"/>
            <w:vAlign w:val="bottom"/>
          </w:tcPr>
          <w:p>
            <w:pPr>
              <w:jc w:val="right"/>
              <w:ind w:right="199"/>
              <w:spacing w:after="0"/>
              <w:rPr>
                <w:sz w:val="20"/>
                <w:szCs w:val="20"/>
                <w:color w:val="auto"/>
              </w:rPr>
            </w:pPr>
            <w:r>
              <w:rPr>
                <w:rFonts w:ascii="Arial" w:cs="Arial" w:eastAsia="Arial" w:hAnsi="Arial"/>
                <w:sz w:val="13"/>
                <w:szCs w:val="13"/>
                <w:color w:val="0000FF"/>
              </w:rPr>
              <w:t>09/30/2011</w:t>
            </w:r>
          </w:p>
        </w:tc>
        <w:tc>
          <w:tcPr>
            <w:tcW w:w="1100" w:type="dxa"/>
            <w:vAlign w:val="bottom"/>
          </w:tcPr>
          <w:p>
            <w:pPr>
              <w:spacing w:after="0"/>
              <w:rPr>
                <w:sz w:val="13"/>
                <w:szCs w:val="1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3"/>
                <w:szCs w:val="13"/>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260"/>
              <w:spacing w:after="0"/>
              <w:rPr>
                <w:sz w:val="20"/>
                <w:szCs w:val="20"/>
                <w:color w:val="auto"/>
              </w:rPr>
            </w:pPr>
            <w:r>
              <w:rPr>
                <w:rFonts w:ascii="Arial" w:cs="Arial" w:eastAsia="Arial" w:hAnsi="Arial"/>
                <w:sz w:val="11"/>
                <w:szCs w:val="11"/>
                <w:color w:val="008000"/>
              </w:rPr>
              <w:t>(1)</w:t>
            </w:r>
          </w:p>
        </w:tc>
        <w:tc>
          <w:tcPr>
            <w:tcW w:w="60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740" w:type="dxa"/>
            <w:vAlign w:val="bottom"/>
            <w:gridSpan w:val="2"/>
          </w:tcPr>
          <w:p>
            <w:pPr>
              <w:ind w:left="300"/>
              <w:spacing w:after="0"/>
              <w:rPr>
                <w:sz w:val="20"/>
                <w:szCs w:val="20"/>
                <w:color w:val="auto"/>
              </w:rPr>
            </w:pPr>
            <w:r>
              <w:rPr>
                <w:rFonts w:ascii="Arial" w:cs="Arial" w:eastAsia="Arial" w:hAnsi="Arial"/>
                <w:sz w:val="11"/>
                <w:szCs w:val="11"/>
                <w:color w:val="008000"/>
              </w:rPr>
              <w:t>(3)</w:t>
            </w:r>
          </w:p>
        </w:tc>
        <w:tc>
          <w:tcPr>
            <w:tcW w:w="90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gridSpan w:val="2"/>
          </w:tcPr>
          <w:p>
            <w:pPr>
              <w:ind w:left="100"/>
              <w:spacing w:after="0" w:line="144" w:lineRule="exact"/>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80" w:firstLine="4"/>
        <w:spacing w:after="0" w:line="296"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Common Stock reported in this item was issued upon the settlement of a portion of a grant of Salary Stock Units ("SSUs) issued on September 30, 2010 pursuant to the Company's Salary Stock Plan (the "GMSSP") and vested upon grant. The portion of this award currently payable was settled on September 30, 2011 in shares of the Company's Common Stock, less a portion withheld for taxes.</w:t>
      </w: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September 30, 2010 the employee received a grant of 13,896 SSUs, of which 4,632 SSUs were scheduled to be payable on September 30, 2011.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41,685 SSUs granted on September 30, 2010, of which 13,896 SSUs became payable on September 30, 2011.</w:t>
      </w:r>
    </w:p>
    <w:p>
      <w:pPr>
        <w:ind w:left="40" w:right="200" w:firstLine="4"/>
        <w:spacing w:after="0" w:line="24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 Each SSU is the economic equivalent of one share of Common Stock. Under the GMSSP, the Fair Market Value of the Common Stock is the average of the high and low trading prices for the Common Stock as reported on the New York Stock Exchange, on which the Common Stock is listed, on the date of the transaction, which was $20.30.</w:t>
      </w:r>
    </w:p>
    <w:p>
      <w:pPr>
        <w:spacing w:after="0" w:line="29" w:lineRule="exact"/>
        <w:rPr>
          <w:rFonts w:ascii="Arial" w:cs="Arial" w:eastAsia="Arial" w:hAnsi="Arial"/>
          <w:sz w:val="13"/>
          <w:szCs w:val="13"/>
          <w:color w:val="008000"/>
        </w:rPr>
      </w:pPr>
    </w:p>
    <w:p>
      <w:pPr>
        <w:ind w:left="40" w:right="32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September 30, 2011 pursuant to the GMSSP and were fully vested upon grant. The SSUs will be delivered in the form of shares of Common Stock in three equal, annual installments beginning on September 30, 2012.</w:t>
      </w:r>
    </w:p>
    <w:p>
      <w:pPr>
        <w:spacing w:after="0" w:line="33"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10/04/2011</w:t>
            </w:r>
          </w:p>
        </w:tc>
        <w:tc>
          <w:tcPr>
            <w:tcW w:w="0" w:type="dxa"/>
            <w:vAlign w:val="bottom"/>
          </w:tcPr>
          <w:p>
            <w:pPr>
              <w:spacing w:after="0"/>
              <w:rPr>
                <w:sz w:val="1"/>
                <w:szCs w:val="1"/>
                <w:color w:val="auto"/>
              </w:rPr>
            </w:pPr>
          </w:p>
        </w:tc>
      </w:tr>
      <w:tr>
        <w:trPr>
          <w:trHeight w:val="90"/>
        </w:trPr>
        <w:tc>
          <w:tcPr>
            <w:tcW w:w="1300" w:type="dxa"/>
            <w:vAlign w:val="bottom"/>
            <w:tcBorders>
              <w:top w:val="single" w:sz="8" w:color="auto"/>
              <w:bottom w:val="single" w:sz="8" w:color="auto"/>
            </w:tcBorders>
            <w:vMerge w:val="restart"/>
          </w:tcPr>
          <w:p>
            <w:pPr>
              <w:spacing w:after="0" w:line="190" w:lineRule="exact"/>
              <w:rPr>
                <w:sz w:val="20"/>
                <w:szCs w:val="20"/>
                <w:color w:val="auto"/>
              </w:rPr>
            </w:pPr>
            <w:r>
              <w:rPr>
                <w:rFonts w:ascii="Arial" w:cs="Arial" w:eastAsia="Arial" w:hAnsi="Arial"/>
                <w:sz w:val="17"/>
                <w:szCs w:val="17"/>
                <w:color w:val="0000FF"/>
                <w:w w:val="95"/>
              </w:rPr>
              <w:t>fact for Mr. Girsky</w:t>
            </w:r>
          </w:p>
        </w:tc>
        <w:tc>
          <w:tcPr>
            <w:tcW w:w="76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300" w:type="dxa"/>
            <w:vAlign w:val="bottom"/>
            <w:tcBorders>
              <w:bottom w:val="single" w:sz="8" w:color="auto"/>
            </w:tcBorders>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00" w:firstLine="4"/>
        <w:spacing w:after="0" w:line="314" w:lineRule="auto"/>
        <w:tabs>
          <w:tab w:leader="none" w:pos="17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620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2019-12-17T01:04:53Z</dcterms:created>
  <dcterms:modified xsi:type="dcterms:W3CDTF">2019-12-17T01:04:53Z</dcterms:modified>
</cp:coreProperties>
</file>