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October 25, 2022</w:t>
      </w:r>
    </w:p>
    <w:p>
      <w:pPr>
        <w:spacing w:after="0" w:line="29" w:lineRule="exact"/>
        <w:rPr>
          <w:sz w:val="24"/>
          <w:szCs w:val="24"/>
          <w:color w:val="auto"/>
        </w:rPr>
      </w:pPr>
    </w:p>
    <w:p>
      <w:pPr>
        <w:ind w:left="9160"/>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S-3</w:t>
      </w:r>
    </w:p>
    <w:p>
      <w:pPr>
        <w:spacing w:after="0" w:line="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2" w:lineRule="exact"/>
        <w:rPr>
          <w:sz w:val="24"/>
          <w:szCs w:val="24"/>
          <w:color w:val="auto"/>
        </w:rPr>
      </w:pPr>
    </w:p>
    <w:tbl>
      <w:tblPr>
        <w:tblLayout w:type="fixed"/>
        <w:tblInd w:w="1960" w:type="dxa"/>
        <w:tblCellMar>
          <w:top w:w="0" w:type="dxa"/>
          <w:left w:w="0" w:type="dxa"/>
          <w:bottom w:w="0" w:type="dxa"/>
          <w:right w:w="0" w:type="dxa"/>
        </w:tblCellMar>
      </w:tblPr>
      <w:tr>
        <w:trPr>
          <w:trHeight w:val="204"/>
        </w:trPr>
        <w:tc>
          <w:tcPr>
            <w:tcW w:w="3840" w:type="dxa"/>
            <w:vAlign w:val="bottom"/>
          </w:tcPr>
          <w:p>
            <w:pPr>
              <w:jc w:val="center"/>
              <w:ind w:right="188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380" w:type="dxa"/>
            <w:vAlign w:val="bottom"/>
          </w:tcPr>
          <w:p>
            <w:pPr>
              <w:jc w:val="center"/>
              <w:ind w:left="1864"/>
              <w:spacing w:after="0"/>
              <w:rPr>
                <w:sz w:val="20"/>
                <w:szCs w:val="20"/>
                <w:color w:val="auto"/>
              </w:rPr>
            </w:pPr>
            <w:r>
              <w:rPr>
                <w:rFonts w:ascii="Times New Roman" w:cs="Times New Roman" w:eastAsia="Times New Roman" w:hAnsi="Times New Roman"/>
                <w:sz w:val="17"/>
                <w:szCs w:val="17"/>
                <w:b w:val="1"/>
                <w:bCs w:val="1"/>
                <w:color w:val="auto"/>
              </w:rPr>
              <w:t>27-0756180</w:t>
            </w:r>
          </w:p>
        </w:tc>
      </w:tr>
      <w:tr>
        <w:trPr>
          <w:trHeight w:val="148"/>
        </w:trPr>
        <w:tc>
          <w:tcPr>
            <w:tcW w:w="3840" w:type="dxa"/>
            <w:vAlign w:val="bottom"/>
          </w:tcPr>
          <w:p>
            <w:pPr>
              <w:jc w:val="center"/>
              <w:ind w:right="188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300 Renaissance Center</w:t>
      </w:r>
    </w:p>
    <w:p>
      <w:pPr>
        <w:spacing w:after="0" w:line="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Detroit, Michigan 48265-3000</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(313) 667-1500</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Christopher T. Hatto</w:t>
      </w:r>
    </w:p>
    <w:p>
      <w:pPr>
        <w:spacing w:after="0" w:line="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Vice President, Global Business Solutions and Chief Accounting Officer</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General Motors Company</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300 Renaissance Center</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Detroit, Michigan 48265-3000</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(313) 667-1500</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i w:val="1"/>
          <w:iCs w:val="1"/>
          <w:color w:val="auto"/>
        </w:rPr>
        <w:t>Copies of all communications, including communications sent to agent for service, should be sent to:</w:t>
      </w:r>
    </w:p>
    <w:p>
      <w:pPr>
        <w:spacing w:after="0" w:line="77" w:lineRule="exact"/>
        <w:rPr>
          <w:sz w:val="24"/>
          <w:szCs w:val="24"/>
          <w:color w:val="auto"/>
        </w:rPr>
      </w:pPr>
    </w:p>
    <w:tbl>
      <w:tblPr>
        <w:tblLayout w:type="fixed"/>
        <w:tblInd w:w="1820" w:type="dxa"/>
        <w:tblCellMar>
          <w:top w:w="0" w:type="dxa"/>
          <w:left w:w="0" w:type="dxa"/>
          <w:bottom w:w="0" w:type="dxa"/>
          <w:right w:w="0" w:type="dxa"/>
        </w:tblCellMar>
      </w:tblPr>
      <w:tr>
        <w:trPr>
          <w:trHeight w:val="203"/>
        </w:trPr>
        <w:tc>
          <w:tcPr>
            <w:tcW w:w="3720" w:type="dxa"/>
            <w:vAlign w:val="bottom"/>
          </w:tcPr>
          <w:p>
            <w:pPr>
              <w:jc w:val="center"/>
              <w:ind w:right="1475"/>
              <w:spacing w:after="0"/>
              <w:rPr>
                <w:sz w:val="20"/>
                <w:szCs w:val="20"/>
                <w:color w:val="auto"/>
              </w:rPr>
            </w:pPr>
            <w:r>
              <w:rPr>
                <w:rFonts w:ascii="Times New Roman" w:cs="Times New Roman" w:eastAsia="Times New Roman" w:hAnsi="Times New Roman"/>
                <w:sz w:val="17"/>
                <w:szCs w:val="17"/>
                <w:b w:val="1"/>
                <w:bCs w:val="1"/>
                <w:color w:val="auto"/>
              </w:rPr>
              <w:t>John S. Kim, Esq.</w:t>
            </w:r>
          </w:p>
        </w:tc>
        <w:tc>
          <w:tcPr>
            <w:tcW w:w="4280" w:type="dxa"/>
            <w:vAlign w:val="bottom"/>
          </w:tcPr>
          <w:p>
            <w:pPr>
              <w:jc w:val="center"/>
              <w:ind w:left="1475"/>
              <w:spacing w:after="0"/>
              <w:rPr>
                <w:sz w:val="20"/>
                <w:szCs w:val="20"/>
                <w:color w:val="auto"/>
              </w:rPr>
            </w:pPr>
            <w:r>
              <w:rPr>
                <w:rFonts w:ascii="Times New Roman" w:cs="Times New Roman" w:eastAsia="Times New Roman" w:hAnsi="Times New Roman"/>
                <w:sz w:val="17"/>
                <w:szCs w:val="17"/>
                <w:b w:val="1"/>
                <w:bCs w:val="1"/>
                <w:color w:val="auto"/>
                <w:w w:val="99"/>
              </w:rPr>
              <w:t>Keith M. Townsend, Esq.</w:t>
            </w:r>
          </w:p>
        </w:tc>
      </w:tr>
      <w:tr>
        <w:trPr>
          <w:trHeight w:val="203"/>
        </w:trPr>
        <w:tc>
          <w:tcPr>
            <w:tcW w:w="3720" w:type="dxa"/>
            <w:vAlign w:val="bottom"/>
          </w:tcPr>
          <w:p>
            <w:pPr>
              <w:jc w:val="center"/>
              <w:ind w:right="1475"/>
              <w:spacing w:after="0"/>
              <w:rPr>
                <w:sz w:val="20"/>
                <w:szCs w:val="20"/>
                <w:color w:val="auto"/>
              </w:rPr>
            </w:pPr>
            <w:r>
              <w:rPr>
                <w:rFonts w:ascii="Times New Roman" w:cs="Times New Roman" w:eastAsia="Times New Roman" w:hAnsi="Times New Roman"/>
                <w:sz w:val="17"/>
                <w:szCs w:val="17"/>
                <w:b w:val="1"/>
                <w:bCs w:val="1"/>
                <w:color w:val="auto"/>
              </w:rPr>
              <w:t>General Motors Company</w:t>
            </w:r>
          </w:p>
        </w:tc>
        <w:tc>
          <w:tcPr>
            <w:tcW w:w="4280" w:type="dxa"/>
            <w:vAlign w:val="bottom"/>
          </w:tcPr>
          <w:p>
            <w:pPr>
              <w:jc w:val="center"/>
              <w:ind w:left="1475"/>
              <w:spacing w:after="0"/>
              <w:rPr>
                <w:sz w:val="20"/>
                <w:szCs w:val="20"/>
                <w:color w:val="auto"/>
              </w:rPr>
            </w:pPr>
            <w:r>
              <w:rPr>
                <w:rFonts w:ascii="Times New Roman" w:cs="Times New Roman" w:eastAsia="Times New Roman" w:hAnsi="Times New Roman"/>
                <w:sz w:val="17"/>
                <w:szCs w:val="17"/>
                <w:b w:val="1"/>
                <w:bCs w:val="1"/>
                <w:color w:val="auto"/>
                <w:w w:val="99"/>
              </w:rPr>
              <w:t>Elizabeth A. Morgan, Esq.</w:t>
            </w:r>
          </w:p>
        </w:tc>
      </w:tr>
      <w:tr>
        <w:trPr>
          <w:trHeight w:val="203"/>
        </w:trPr>
        <w:tc>
          <w:tcPr>
            <w:tcW w:w="3720" w:type="dxa"/>
            <w:vAlign w:val="bottom"/>
          </w:tcPr>
          <w:p>
            <w:pPr>
              <w:jc w:val="center"/>
              <w:ind w:right="1495"/>
              <w:spacing w:after="0"/>
              <w:rPr>
                <w:sz w:val="20"/>
                <w:szCs w:val="20"/>
                <w:color w:val="auto"/>
              </w:rPr>
            </w:pPr>
            <w:r>
              <w:rPr>
                <w:rFonts w:ascii="Times New Roman" w:cs="Times New Roman" w:eastAsia="Times New Roman" w:hAnsi="Times New Roman"/>
                <w:sz w:val="17"/>
                <w:szCs w:val="17"/>
                <w:b w:val="1"/>
                <w:bCs w:val="1"/>
                <w:color w:val="auto"/>
              </w:rPr>
              <w:t>300 Renaissance Center</w:t>
            </w:r>
          </w:p>
        </w:tc>
        <w:tc>
          <w:tcPr>
            <w:tcW w:w="4280" w:type="dxa"/>
            <w:vAlign w:val="bottom"/>
          </w:tcPr>
          <w:p>
            <w:pPr>
              <w:jc w:val="center"/>
              <w:ind w:left="1475"/>
              <w:spacing w:after="0"/>
              <w:rPr>
                <w:sz w:val="20"/>
                <w:szCs w:val="20"/>
                <w:color w:val="auto"/>
              </w:rPr>
            </w:pPr>
            <w:r>
              <w:rPr>
                <w:rFonts w:ascii="Times New Roman" w:cs="Times New Roman" w:eastAsia="Times New Roman" w:hAnsi="Times New Roman"/>
                <w:sz w:val="17"/>
                <w:szCs w:val="17"/>
                <w:b w:val="1"/>
                <w:bCs w:val="1"/>
                <w:color w:val="auto"/>
                <w:w w:val="99"/>
              </w:rPr>
              <w:t>King &amp; Spalding LLP</w:t>
            </w:r>
          </w:p>
        </w:tc>
      </w:tr>
      <w:tr>
        <w:trPr>
          <w:trHeight w:val="203"/>
        </w:trPr>
        <w:tc>
          <w:tcPr>
            <w:tcW w:w="3720" w:type="dxa"/>
            <w:vAlign w:val="bottom"/>
          </w:tcPr>
          <w:p>
            <w:pPr>
              <w:jc w:val="center"/>
              <w:ind w:right="1475"/>
              <w:spacing w:after="0"/>
              <w:rPr>
                <w:sz w:val="20"/>
                <w:szCs w:val="20"/>
                <w:color w:val="auto"/>
              </w:rPr>
            </w:pPr>
            <w:r>
              <w:rPr>
                <w:rFonts w:ascii="Times New Roman" w:cs="Times New Roman" w:eastAsia="Times New Roman" w:hAnsi="Times New Roman"/>
                <w:sz w:val="17"/>
                <w:szCs w:val="17"/>
                <w:b w:val="1"/>
                <w:bCs w:val="1"/>
                <w:color w:val="auto"/>
              </w:rPr>
              <w:t>Detroit, Michigan 48265-3000</w:t>
            </w:r>
          </w:p>
        </w:tc>
        <w:tc>
          <w:tcPr>
            <w:tcW w:w="4280" w:type="dxa"/>
            <w:vAlign w:val="bottom"/>
          </w:tcPr>
          <w:p>
            <w:pPr>
              <w:jc w:val="center"/>
              <w:ind w:left="1475"/>
              <w:spacing w:after="0"/>
              <w:rPr>
                <w:sz w:val="20"/>
                <w:szCs w:val="20"/>
                <w:color w:val="auto"/>
              </w:rPr>
            </w:pPr>
            <w:r>
              <w:rPr>
                <w:rFonts w:ascii="Times New Roman" w:cs="Times New Roman" w:eastAsia="Times New Roman" w:hAnsi="Times New Roman"/>
                <w:sz w:val="17"/>
                <w:szCs w:val="17"/>
                <w:b w:val="1"/>
                <w:bCs w:val="1"/>
                <w:color w:val="auto"/>
                <w:w w:val="99"/>
              </w:rPr>
              <w:t>1180 Peachtree Street, NE, Suite 1600</w:t>
            </w:r>
          </w:p>
        </w:tc>
      </w:tr>
      <w:tr>
        <w:trPr>
          <w:trHeight w:val="203"/>
        </w:trPr>
        <w:tc>
          <w:tcPr>
            <w:tcW w:w="3720" w:type="dxa"/>
            <w:vAlign w:val="bottom"/>
          </w:tcPr>
          <w:p>
            <w:pPr>
              <w:jc w:val="center"/>
              <w:ind w:right="1475"/>
              <w:spacing w:after="0"/>
              <w:rPr>
                <w:sz w:val="20"/>
                <w:szCs w:val="20"/>
                <w:color w:val="auto"/>
              </w:rPr>
            </w:pPr>
            <w:r>
              <w:rPr>
                <w:rFonts w:ascii="Times New Roman" w:cs="Times New Roman" w:eastAsia="Times New Roman" w:hAnsi="Times New Roman"/>
                <w:sz w:val="17"/>
                <w:szCs w:val="17"/>
                <w:b w:val="1"/>
                <w:bCs w:val="1"/>
                <w:color w:val="auto"/>
              </w:rPr>
              <w:t>(313) 667-1500</w:t>
            </w:r>
          </w:p>
        </w:tc>
        <w:tc>
          <w:tcPr>
            <w:tcW w:w="4280" w:type="dxa"/>
            <w:vAlign w:val="bottom"/>
          </w:tcPr>
          <w:p>
            <w:pPr>
              <w:jc w:val="center"/>
              <w:ind w:left="1475"/>
              <w:spacing w:after="0"/>
              <w:rPr>
                <w:sz w:val="20"/>
                <w:szCs w:val="20"/>
                <w:color w:val="auto"/>
              </w:rPr>
            </w:pPr>
            <w:r>
              <w:rPr>
                <w:rFonts w:ascii="Times New Roman" w:cs="Times New Roman" w:eastAsia="Times New Roman" w:hAnsi="Times New Roman"/>
                <w:sz w:val="17"/>
                <w:szCs w:val="17"/>
                <w:b w:val="1"/>
                <w:bCs w:val="1"/>
                <w:color w:val="auto"/>
              </w:rPr>
              <w:t>Atlanta, GA 30309-3521</w:t>
            </w:r>
          </w:p>
        </w:tc>
      </w:tr>
      <w:tr>
        <w:trPr>
          <w:trHeight w:val="226"/>
        </w:trPr>
        <w:tc>
          <w:tcPr>
            <w:tcW w:w="3720" w:type="dxa"/>
            <w:vAlign w:val="bottom"/>
          </w:tcPr>
          <w:p>
            <w:pPr>
              <w:spacing w:after="0"/>
              <w:rPr>
                <w:sz w:val="19"/>
                <w:szCs w:val="19"/>
                <w:color w:val="auto"/>
              </w:rPr>
            </w:pPr>
          </w:p>
        </w:tc>
        <w:tc>
          <w:tcPr>
            <w:tcW w:w="4280" w:type="dxa"/>
            <w:vAlign w:val="bottom"/>
          </w:tcPr>
          <w:p>
            <w:pPr>
              <w:jc w:val="center"/>
              <w:ind w:left="1475"/>
              <w:spacing w:after="0"/>
              <w:rPr>
                <w:sz w:val="20"/>
                <w:szCs w:val="20"/>
                <w:color w:val="auto"/>
              </w:rPr>
            </w:pPr>
            <w:r>
              <w:rPr>
                <w:rFonts w:ascii="Times New Roman" w:cs="Times New Roman" w:eastAsia="Times New Roman" w:hAnsi="Times New Roman"/>
                <w:sz w:val="17"/>
                <w:szCs w:val="17"/>
                <w:b w:val="1"/>
                <w:bCs w:val="1"/>
                <w:color w:val="auto"/>
              </w:rPr>
              <w:t>(404) 572-4600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the effective date of this Registration Statement.</w:t>
      </w:r>
    </w:p>
    <w:p>
      <w:pPr>
        <w:spacing w:after="0" w:line="65" w:lineRule="exact"/>
        <w:rPr>
          <w:sz w:val="24"/>
          <w:szCs w:val="24"/>
          <w:color w:val="auto"/>
        </w:rPr>
      </w:pPr>
    </w:p>
    <w:p>
      <w:pPr>
        <w:ind w:left="120" w:right="420" w:firstLine="440"/>
        <w:spacing w:after="0" w:line="229"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6" w:lineRule="exact"/>
        <w:rPr>
          <w:sz w:val="24"/>
          <w:szCs w:val="24"/>
          <w:color w:val="auto"/>
        </w:rPr>
      </w:pPr>
    </w:p>
    <w:p>
      <w:pPr>
        <w:ind w:left="120" w:right="140" w:firstLine="440"/>
        <w:spacing w:after="0" w:line="229"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6" w:lineRule="exact"/>
        <w:rPr>
          <w:sz w:val="24"/>
          <w:szCs w:val="24"/>
          <w:color w:val="auto"/>
        </w:rPr>
      </w:pPr>
    </w:p>
    <w:p>
      <w:pPr>
        <w:ind w:left="120" w:right="140" w:firstLine="44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 w:lineRule="exact"/>
        <w:rPr>
          <w:sz w:val="24"/>
          <w:szCs w:val="24"/>
          <w:color w:val="auto"/>
        </w:rPr>
      </w:pPr>
    </w:p>
    <w:p>
      <w:pPr>
        <w:ind w:left="120" w:right="340" w:firstLine="44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 w:lineRule="exact"/>
        <w:rPr>
          <w:sz w:val="24"/>
          <w:szCs w:val="24"/>
          <w:color w:val="auto"/>
        </w:rPr>
      </w:pPr>
    </w:p>
    <w:p>
      <w:pPr>
        <w:ind w:left="120" w:right="100" w:firstLine="44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6" w:lineRule="exact"/>
        <w:rPr>
          <w:sz w:val="24"/>
          <w:szCs w:val="24"/>
          <w:color w:val="auto"/>
        </w:rPr>
      </w:pPr>
    </w:p>
    <w:p>
      <w:pPr>
        <w:ind w:left="120" w:right="260" w:firstLine="44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6" w:lineRule="exact"/>
        <w:rPr>
          <w:sz w:val="24"/>
          <w:szCs w:val="24"/>
          <w:color w:val="auto"/>
        </w:rPr>
      </w:pPr>
    </w:p>
    <w:p>
      <w:pPr>
        <w:ind w:left="120" w:firstLine="44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20" w:type="dxa"/>
        <w:tblCellMar>
          <w:top w:w="0" w:type="dxa"/>
          <w:left w:w="0" w:type="dxa"/>
          <w:bottom w:w="0" w:type="dxa"/>
          <w:right w:w="0" w:type="dxa"/>
        </w:tblCellMar>
      </w:tblPr>
      <w:tr>
        <w:trPr>
          <w:trHeight w:val="26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5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3220"/>
              <w:spacing w:after="0"/>
              <w:rPr>
                <w:sz w:val="20"/>
                <w:szCs w:val="20"/>
                <w:color w:val="auto"/>
              </w:rPr>
            </w:pPr>
            <w:r>
              <w:rPr>
                <w:rFonts w:ascii="Times New Roman" w:cs="Times New Roman" w:eastAsia="Times New Roman" w:hAnsi="Times New Roman"/>
                <w:sz w:val="17"/>
                <w:szCs w:val="17"/>
                <w:color w:val="auto"/>
              </w:rPr>
              <w:t>Accelerated filer</w:t>
            </w:r>
          </w:p>
        </w:tc>
        <w:tc>
          <w:tcPr>
            <w:tcW w:w="36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5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3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6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17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5320" w:type="dxa"/>
            <w:vAlign w:val="bottom"/>
          </w:tcPr>
          <w:p>
            <w:pPr>
              <w:ind w:left="3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36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6" w:lineRule="exact"/>
        <w:rPr>
          <w:sz w:val="24"/>
          <w:szCs w:val="24"/>
          <w:color w:val="auto"/>
        </w:rPr>
      </w:pPr>
    </w:p>
    <w:p>
      <w:pPr>
        <w:jc w:val="both"/>
        <w:ind w:left="120" w:firstLine="44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22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97155</wp:posOffset>
            </wp:positionV>
            <wp:extent cx="348043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04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contains summaries of the general terms of the securities that General Motors Company may offer from time to time:</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the accompanying prospectus supplement, together with the documents we incorporate by reference, before you invest in any of the securities.</w:t>
      </w:r>
    </w:p>
    <w:p>
      <w:pPr>
        <w:spacing w:after="0" w:line="148" w:lineRule="exact"/>
        <w:rPr>
          <w:sz w:val="20"/>
          <w:szCs w:val="20"/>
          <w:color w:val="auto"/>
        </w:rPr>
      </w:pPr>
    </w:p>
    <w:p>
      <w:pPr>
        <w:ind w:left="120" w:right="18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Investment in our securities involves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3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181"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25, 2022.</w:t>
      </w:r>
    </w:p>
    <w:p>
      <w:pPr>
        <w:sectPr>
          <w:pgSz w:w="11900" w:h="16838" w:orient="portrait"/>
          <w:cols w:equalWidth="0" w:num="1">
            <w:col w:w="11120"/>
          </w:cols>
          <w:pgMar w:left="320" w:top="455"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0" w:type="dxa"/>
            <w:vAlign w:val="bottom"/>
          </w:tcPr>
          <w:p>
            <w:pPr>
              <w:spacing w:after="0"/>
              <w:rPr>
                <w:sz w:val="24"/>
                <w:szCs w:val="24"/>
                <w:color w:val="auto"/>
              </w:rPr>
            </w:pP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ABOUT THIS PROSPECTUS</w:t>
            </w:r>
          </w:p>
        </w:tc>
        <w:tc>
          <w:tcPr>
            <w:tcW w:w="1920" w:type="dxa"/>
            <w:vAlign w:val="bottom"/>
            <w:tcBorders>
              <w:top w:val="single" w:sz="8" w:color="auto"/>
            </w:tcBorders>
            <w:gridSpan w:val="3"/>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INCORPORATION OF CERTAIN DOCUMENTS BY REFERENCE</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32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7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GENERAL MOTORS COMPANY</w:t>
            </w:r>
          </w:p>
        </w:tc>
        <w:tc>
          <w:tcPr>
            <w:tcW w:w="5920" w:type="dxa"/>
            <w:vAlign w:val="bottom"/>
            <w:gridSpan w:val="10"/>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OVERVIEW OF OUR CAPITAL STOCK</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8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GENERAL DESCRIPTION OF SECURITIES THAT MAY BE OFFERED</w:t>
            </w:r>
          </w:p>
        </w:tc>
        <w:tc>
          <w:tcPr>
            <w:tcW w:w="2820" w:type="dxa"/>
            <w:vAlign w:val="bottom"/>
            <w:gridSpan w:val="2"/>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536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PREFERRED STOCK</w:t>
            </w:r>
          </w:p>
        </w:tc>
        <w:tc>
          <w:tcPr>
            <w:tcW w:w="526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COMMON STOCK</w:t>
            </w:r>
          </w:p>
        </w:tc>
        <w:tc>
          <w:tcPr>
            <w:tcW w:w="54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WARRANTS</w:t>
            </w:r>
          </w:p>
        </w:tc>
        <w:tc>
          <w:tcPr>
            <w:tcW w:w="600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PLAN OF DISTRIBUTION</w:t>
            </w:r>
          </w:p>
        </w:tc>
        <w:tc>
          <w:tcPr>
            <w:tcW w:w="646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EXPERTS</w:t>
            </w:r>
          </w:p>
        </w:tc>
        <w:tc>
          <w:tcPr>
            <w:tcW w:w="720" w:type="dxa"/>
            <w:vAlign w:val="bottom"/>
            <w:tcBorders>
              <w:top w:val="single" w:sz="8" w:color="0000EE"/>
            </w:tcBorders>
            <w:gridSpan w:val="3"/>
          </w:tcPr>
          <w:p>
            <w:pPr>
              <w:spacing w:after="0"/>
              <w:rPr>
                <w:sz w:val="17"/>
                <w:szCs w:val="17"/>
                <w:color w:val="auto"/>
              </w:rPr>
            </w:pPr>
          </w:p>
        </w:tc>
        <w:tc>
          <w:tcPr>
            <w:tcW w:w="708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prospectus does not incorporate by reference any documents, reports or filings, or portions of any documents, reports or filings, that are deemed to be furnished and not filed under applicable SEC rules):</w:t>
      </w:r>
    </w:p>
    <w:p>
      <w:pPr>
        <w:spacing w:after="0" w:line="94" w:lineRule="exact"/>
        <w:rPr>
          <w:sz w:val="20"/>
          <w:szCs w:val="20"/>
          <w:color w:val="auto"/>
        </w:rPr>
      </w:pPr>
    </w:p>
    <w:p>
      <w:pPr>
        <w:ind w:left="1080" w:right="300" w:hanging="424"/>
        <w:spacing w:after="0" w:line="282" w:lineRule="auto"/>
        <w:tabs>
          <w:tab w:leader="none" w:pos="1080" w:val="left"/>
        </w:tabs>
        <w:numPr>
          <w:ilvl w:val="0"/>
          <w:numId w:val="2"/>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Annual Report on Form 10-K for the fiscal year ended December 31, 2021</w:t>
        </w:r>
        <w:r>
          <w:rPr>
            <w:rFonts w:ascii="Times New Roman" w:cs="Times New Roman" w:eastAsia="Times New Roman" w:hAnsi="Times New Roman"/>
            <w:sz w:val="18"/>
            <w:szCs w:val="18"/>
            <w:color w:val="auto"/>
          </w:rPr>
          <w:t xml:space="preserve"> (including portions of our </w:t>
        </w:r>
        <w:r>
          <w:rPr>
            <w:rFonts w:ascii="Times New Roman" w:cs="Times New Roman" w:eastAsia="Times New Roman" w:hAnsi="Times New Roman"/>
            <w:sz w:val="18"/>
            <w:szCs w:val="18"/>
            <w:u w:val="single" w:color="auto"/>
            <w:color w:val="0000EE"/>
          </w:rPr>
          <w:t>Proxy Statement on Schedule</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14A</w:t>
        </w:r>
        <w:r>
          <w:rPr>
            <w:rFonts w:ascii="Times New Roman" w:cs="Times New Roman" w:eastAsia="Times New Roman" w:hAnsi="Times New Roman"/>
            <w:sz w:val="18"/>
            <w:szCs w:val="18"/>
            <w:color w:val="000000"/>
          </w:rPr>
          <w:t>, filed with the SEC on April 29, 2022, incorporated by reference therein);</w:t>
        </w:r>
      </w:hyperlink>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25">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7">
        <w:r>
          <w:rPr>
            <w:rFonts w:ascii="Times New Roman" w:cs="Times New Roman" w:eastAsia="Times New Roman" w:hAnsi="Times New Roman"/>
            <w:sz w:val="18"/>
            <w:szCs w:val="18"/>
            <w:u w:val="single" w:color="auto"/>
            <w:color w:val="0000EE"/>
          </w:rPr>
          <w:t>September 30,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t>
      </w:r>
      <w:hyperlink r:id="rId28">
        <w:r>
          <w:rPr>
            <w:rFonts w:ascii="Times New Roman" w:cs="Times New Roman" w:eastAsia="Times New Roman" w:hAnsi="Times New Roman"/>
            <w:sz w:val="18"/>
            <w:szCs w:val="18"/>
            <w:u w:val="single" w:color="auto"/>
            <w:color w:val="0000EE"/>
          </w:rPr>
          <w:t>March 18, 2022</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April 5, 2022</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April 29, 2022</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June 15, 2022</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August 2, 2022</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August 16, 2022</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August 19, 2022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October 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220" w:hanging="424"/>
        <w:spacing w:after="0" w:line="282" w:lineRule="auto"/>
        <w:tabs>
          <w:tab w:leader="none" w:pos="1080" w:val="left"/>
        </w:tabs>
        <w:numPr>
          <w:ilvl w:val="0"/>
          <w:numId w:val="2"/>
        </w:numPr>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auto"/>
          </w:rPr>
          <w:t xml:space="preserve">the description of our common stock set forth in </w:t>
        </w:r>
        <w:r>
          <w:rPr>
            <w:rFonts w:ascii="Times New Roman" w:cs="Times New Roman" w:eastAsia="Times New Roman" w:hAnsi="Times New Roman"/>
            <w:sz w:val="18"/>
            <w:szCs w:val="18"/>
            <w:u w:val="single" w:color="auto"/>
            <w:color w:val="0000EE"/>
          </w:rPr>
          <w:t>Exhibit 4.1 to our Annual Report on Form 10-K for the fiscal year ended December 31,</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will provide to each person, including any beneficial owner, a copy of the documents incorporated by reference into this prospectus, except exhibits to such documents unless those exhibits are specifically incorporated by reference in such documents, at no cost, by writing or telephoning the office of Christopher T. Hatto, Vice President, Global Business Solutions and Chief Accounting Officer, at the following address and telephone number:</w:t>
      </w:r>
    </w:p>
    <w:p>
      <w:pPr>
        <w:spacing w:after="0" w:line="158"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(313) 667-1500</w:t>
      </w:r>
    </w:p>
    <w:p>
      <w:pPr>
        <w:spacing w:after="0" w:line="207" w:lineRule="exact"/>
        <w:rPr>
          <w:rFonts w:ascii="Times New Roman" w:cs="Times New Roman" w:eastAsia="Times New Roman" w:hAnsi="Times New Roman"/>
          <w:sz w:val="18"/>
          <w:szCs w:val="18"/>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https://www.gm.com. Our website and the information included in, or linked to on, our website are not part of this prospectus. We have included our website address in this prospectus solely as a textual reference.</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from our Annual Report on Form 10-K for the year ended December 31, 2021, as updated by our subsequent filings under the Exchange Act, including Forms 10-Q and 8-K, and the risk factors contained or incorporated by reference into the accompanying prospectus supplement before acquiring any of the securities.</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320" w:top="455" w:right="5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and provide software-enabled services and subscriptions worldwide. Cruise is our global segment responsible for the development and commercialization of autonomous vehicle technology. We also provide automotive financing services through General Motors Financial Company, Inc. (GM Financial).</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667-1500. Our website is www.gm.com. Our website and the information included in, or linked to, our website are not part of this prospectus. We have included our website address in this prospectus solely as a textual reference.</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320" w:top="455"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may include or incorporate by reference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preferences in the automotive industry; (2) our ability to timely fund and introduce new and improved vehicle models, including electric vehicles (EVs), that are able to attract a sufficient number of consumers; (3) our ability to profitably deliver a broad portfolio of EVs that will help drive consumer adoption; (4) the success of our current line of full-size SUVs and full-size pickup trucks; (5) 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 timing and commercialization of autonomous vehicles (AVs); (7) risks associated with climate change, including increased regulation of greenhouse gas emissions, our transition to EVs and the potential increased impacts of severe weather events; (8) global automobile market sales volume, which can be volatile; (9)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such as the COVID-19 pandemic; (13) any significant disruption, including any work stoppages, at any of our manufacturing facilities; (14) the ability of our suppliers to deliver parts, systems and components without disruption and at such times to allow us to meet production schedules; (15) the ongoing COVID-19 pandemic; (16) the success of any restructurings or other cost reduction actions; (17) the possibility that competitors may independently develop products and services similar to ours, or that our intellectual property rights are not sufficient to prevent competitors from developing or selling those products or services; (18) our ability to manage risks related to security breaches and other disruptions to our information technology systems and networked products, including connected vehicles and in-vehicle systems; (19) our ability to comply with increasingly complex, restrictive and punitive regulations relating to our enterprise data practices, including the collection, use, sharing and security of the Personal Identifiable Information of our customers, employees, or suppliers; (20) our ability to comply with extensive laws, regulations and policies applicable to our operations and products, including those relating to fuel economy, emissions and AVs; (21) costs and risks associated with litigation and government investigations; (22) the costs and effect on our reputation of product safety recalls and alleged defects in products and services; (23) any</w:t>
      </w:r>
    </w:p>
    <w:p>
      <w:pPr>
        <w:spacing w:after="0" w:line="200" w:lineRule="exact"/>
        <w:rPr>
          <w:sz w:val="20"/>
          <w:szCs w:val="20"/>
          <w:color w:val="auto"/>
        </w:rPr>
      </w:pP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additional tax expense or exposure; (24) our continued ability to develop captive financing capability through GM Financial; and (25) any significant increase in our pension funding requirements. For a further discussion of these and other risks and uncertainties, refer to our Annual Report on Form 10-K for the year ended December 31, 2021, as updated by our subsequent filings with the SEC.</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455"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OVERVIEW OF OUR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material provisions of our capital stock is based upon our restated certificate of incorporation (Certificate of Incorporation) and our amended and restated bylaws (Bylaws), in each case as currently in effect as of the date of this prospectus, and is qualified in its entirety by reference to the provisions of those documents.</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of October 12, 2022, 1,420,696,787 shares of our common stock were issued and outstanding. The general terms of our common stock are described below within the section of this prospectus entitled “Description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Certificate of Incorporation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85"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such class;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par value of the shares of such class;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the powers, preferences, or special rights of the shares of such class so as to affect them adversely.</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Vacancies in our Board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any vacancy occurring in our board of directors (Board of Directors) for any reason shall be filled exclusively pursuant to a resolution adopted by a majority of the remaining members of our Board of Directors then in office. Each director so elected shall hold office for a term expiring at the same time as the next annual meeting of stockholders. Each director shall hold office until his or her successor is elected and qualified, unless the director dies, resigns or otherwise leaves the Board of Directors before then.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Under our Bylaws, special meetings of stockholders may be called at any time by the chair of the Board of Directors, by a majority of the members of the Board of Directors or as otherwise provided by Delaware law or the Certificate of Incorporation. Our Bylaws further provide that the Board of Directors shall call a special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meeting upon the written request of the record holders of at least 25%, in the aggregate, of the voting power of the outstanding shares of all classes of shares entitled to vote at such a meeting, subject to requirements and limitations set forth in our Bylaws.</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Notice of Stockholder Director Nominations and Stockholder Business</w:t>
      </w:r>
    </w:p>
    <w:p>
      <w:pPr>
        <w:spacing w:after="0" w:line="121"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 without a Meeting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1" w:lineRule="exact"/>
        <w:rPr>
          <w:sz w:val="20"/>
          <w:szCs w:val="20"/>
          <w:color w:val="auto"/>
        </w:rPr>
      </w:pPr>
    </w:p>
    <w:p>
      <w:pPr>
        <w:ind w:left="1080" w:right="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455"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GENERAL DESCRIPTION OF SECURITIES THAT MAY BE OFFERED</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securities may be offered, at any time and from time to time, pursuant to this prospectus:</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offered by this prospectus will be issued under an indenture (the “indenture”) dated as of September 27, 2013, between us and The Bank of New York Mellon, as trustee, as amended and supplemented by the seventh supplemental indenture, dated as of August 2, 2022, copies of which have been filed as exhibits to the registration statement of which this prospectus is a part and which is incorporated by reference herein, subject to such further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83"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or any tranche thereof, is payable;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and the dates on which such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extend the interest payment periods and the duration of any such extension;</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9" w:lineRule="auto"/>
        <w:tabs>
          <w:tab w:leader="none" w:pos="10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any of our other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of that series will be issuable;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principal of or any premium or interest on the debt securities of that series will be payable;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8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apply to, and covenants for the benefit of the holders of, the debt securities of that series;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of that series may be converted into or exchanged for securities or other property of us or any other person;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collateral security, assurance or guaranty for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guaranteed by any of our subsidiaries;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of that series.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any restrictive covenants for any series of debt securities in the applicable prospectus supplement for such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Discharge and Covenant Defeasance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with respect to the debt securities of any series under the indenture (with the exception of specified provisions as provided in the indenture), when:</w:t>
      </w:r>
    </w:p>
    <w:p>
      <w:pPr>
        <w:spacing w:after="0" w:line="67"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or</w:t>
      </w:r>
    </w:p>
    <w:p>
      <w:pPr>
        <w:spacing w:after="0" w:line="130"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not previously delivered to the trustee for cancellation (i) have become due and payable (whether at stated maturity, early redemption or otherwise), (ii) will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40"/>
        <w:spacing w:after="0" w:line="254" w:lineRule="auto"/>
        <w:rPr>
          <w:sz w:val="20"/>
          <w:szCs w:val="20"/>
          <w:color w:val="auto"/>
        </w:rPr>
      </w:pPr>
      <w:r>
        <w:rPr>
          <w:rFonts w:ascii="Times New Roman" w:cs="Times New Roman" w:eastAsia="Times New Roman" w:hAnsi="Times New Roman"/>
          <w:sz w:val="18"/>
          <w:szCs w:val="18"/>
          <w:color w:val="auto"/>
        </w:rPr>
        <w:t>become due and 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w:t>
      </w:r>
    </w:p>
    <w:p>
      <w:pPr>
        <w:spacing w:after="0" w:line="94"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under the indenture by us with respect to such series; and</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85" w:lineRule="exact"/>
        <w:rPr>
          <w:sz w:val="20"/>
          <w:szCs w:val="20"/>
          <w:color w:val="auto"/>
        </w:rPr>
      </w:pPr>
    </w:p>
    <w:p>
      <w:pPr>
        <w:ind w:left="1080" w:right="60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of such series to receive, solely from the funds deposited with the trustee, payment of the principal of (and premium, if any) and interest when due;</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080" w:right="48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in dollars (or such other currency or composite currency in which such debt securities are denominated) in an amount sufficient;</w:t>
      </w:r>
    </w:p>
    <w:p>
      <w:pPr>
        <w:spacing w:after="0" w:line="142" w:lineRule="exact"/>
        <w:rPr>
          <w:rFonts w:ascii="Times New Roman" w:cs="Times New Roman" w:eastAsia="Times New Roman" w:hAnsi="Times New Roman"/>
          <w:sz w:val="17"/>
          <w:szCs w:val="17"/>
          <w:color w:val="auto"/>
        </w:rPr>
      </w:pPr>
    </w:p>
    <w:p>
      <w:pPr>
        <w:ind w:left="1540" w:right="580" w:hanging="331"/>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220" w:hanging="331"/>
        <w:spacing w:after="0" w:line="276" w:lineRule="auto"/>
        <w:tabs>
          <w:tab w:leader="none" w:pos="15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such cash and eligible obligations in an amount sufficient, in each case, in the opinion of a nationally recognized firm of independent certified public accountants, expressed in a written certification delivered to the trustee, to pay and discharge</w:t>
      </w:r>
    </w:p>
    <w:p>
      <w:pPr>
        <w:jc w:val="both"/>
        <w:ind w:left="1540"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91" w:lineRule="exact"/>
        <w:rPr>
          <w:rFonts w:ascii="Times New Roman" w:cs="Times New Roman" w:eastAsia="Times New Roman" w:hAnsi="Times New Roman"/>
          <w:sz w:val="17"/>
          <w:szCs w:val="17"/>
          <w:color w:val="auto"/>
        </w:rPr>
      </w:pPr>
    </w:p>
    <w:p>
      <w:pPr>
        <w:ind w:left="1080" w:right="20" w:hanging="532"/>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agreement whereby we irrevocably agree to forfeit our rights, if any, to extend the interest payment periods on such debt securities pursuant to the indenture;</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9" w:lineRule="auto"/>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63" w:lineRule="exact"/>
        <w:rPr>
          <w:rFonts w:ascii="Times New Roman" w:cs="Times New Roman" w:eastAsia="Times New Roman" w:hAnsi="Times New Roman"/>
          <w:sz w:val="17"/>
          <w:szCs w:val="17"/>
          <w:color w:val="auto"/>
        </w:rPr>
      </w:pPr>
    </w:p>
    <w:p>
      <w:pPr>
        <w:ind w:left="1080" w:right="24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6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67" w:lineRule="exact"/>
        <w:rPr>
          <w:sz w:val="20"/>
          <w:szCs w:val="20"/>
          <w:color w:val="auto"/>
        </w:rPr>
      </w:pPr>
    </w:p>
    <w:p>
      <w:pPr>
        <w:ind w:left="1080" w:right="6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assume by a supplemental indenture the due and punctual payment of the principal of (and premium, if any) and interest on all of the outstanding debt securities and the performance of our covenants under the indenture;</w:t>
      </w:r>
    </w:p>
    <w:p>
      <w:pPr>
        <w:spacing w:after="0" w:line="67"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without the consent of the holder of each outstanding debt security so affected, no such supplemental indenture may:</w:t>
      </w:r>
    </w:p>
    <w:p>
      <w:pPr>
        <w:spacing w:after="0" w:line="94" w:lineRule="exact"/>
        <w:rPr>
          <w:sz w:val="20"/>
          <w:szCs w:val="20"/>
          <w:color w:val="auto"/>
        </w:rPr>
      </w:pPr>
    </w:p>
    <w:p>
      <w:pPr>
        <w:ind w:left="1080" w:right="60" w:hanging="532"/>
        <w:spacing w:after="0" w:line="25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w:t>
      </w:r>
    </w:p>
    <w:p>
      <w:pPr>
        <w:spacing w:after="0" w:line="94"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80" w:right="440" w:hanging="532"/>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above provisions or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67" w:lineRule="exact"/>
        <w:rPr>
          <w:sz w:val="20"/>
          <w:szCs w:val="20"/>
          <w:color w:val="auto"/>
        </w:rPr>
      </w:pPr>
    </w:p>
    <w:p>
      <w:pPr>
        <w:ind w:left="1200" w:right="140" w:hanging="652"/>
        <w:spacing w:after="0" w:line="282"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and the assumption by any such successor of the covenants applicable to us under the indenture and in the debt securities;</w:t>
      </w:r>
    </w:p>
    <w:p>
      <w:pPr>
        <w:spacing w:after="0" w:line="67" w:lineRule="exact"/>
        <w:rPr>
          <w:rFonts w:ascii="Times New Roman" w:cs="Times New Roman" w:eastAsia="Times New Roman" w:hAnsi="Times New Roman"/>
          <w:sz w:val="18"/>
          <w:szCs w:val="18"/>
          <w:color w:val="auto"/>
        </w:rPr>
      </w:pPr>
    </w:p>
    <w:p>
      <w:pPr>
        <w:ind w:left="1200" w:right="320" w:hanging="652"/>
        <w:spacing w:after="0" w:line="282"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applicable to us for the benefit of the holders of all or any series of debt securities, or to surrender any right or power conferred upon us under the indenture;</w:t>
      </w:r>
    </w:p>
    <w:p>
      <w:pPr>
        <w:spacing w:after="0" w:line="67"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with respect to all or any series of debt securities;</w:t>
      </w:r>
    </w:p>
    <w:p>
      <w:pPr>
        <w:spacing w:after="0" w:line="130" w:lineRule="exact"/>
        <w:rPr>
          <w:rFonts w:ascii="Times New Roman" w:cs="Times New Roman" w:eastAsia="Times New Roman" w:hAnsi="Times New Roman"/>
          <w:sz w:val="18"/>
          <w:szCs w:val="18"/>
          <w:color w:val="auto"/>
        </w:rPr>
      </w:pPr>
    </w:p>
    <w:p>
      <w:pPr>
        <w:jc w:val="both"/>
        <w:ind w:left="1200" w:right="180" w:hanging="652"/>
        <w:spacing w:after="0" w:line="266"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w:t>
      </w:r>
    </w:p>
    <w:p>
      <w:pPr>
        <w:spacing w:after="0" w:line="81" w:lineRule="exact"/>
        <w:rPr>
          <w:rFonts w:ascii="Times New Roman" w:cs="Times New Roman" w:eastAsia="Times New Roman" w:hAnsi="Times New Roman"/>
          <w:sz w:val="18"/>
          <w:szCs w:val="18"/>
          <w:color w:val="auto"/>
        </w:rPr>
      </w:pPr>
    </w:p>
    <w:p>
      <w:pPr>
        <w:ind w:left="1200" w:right="300" w:hanging="652"/>
        <w:spacing w:after="0" w:line="272" w:lineRule="auto"/>
        <w:tabs>
          <w:tab w:leader="none" w:pos="12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change or eliminate any of the provisions of the indenture, or to add any new provision to the indenture, in respect of one or more series of debt securities;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any such change, elimination or addition either (A) shall neither (i) apply to any debt security of any series created prior to the execution of such supplemental indenture and entitled to the benefit of such provision nor</w:t>
      </w:r>
    </w:p>
    <w:p>
      <w:pPr>
        <w:spacing w:after="0" w:line="1" w:lineRule="exact"/>
        <w:rPr>
          <w:rFonts w:ascii="Times New Roman" w:cs="Times New Roman" w:eastAsia="Times New Roman" w:hAnsi="Times New Roman"/>
          <w:sz w:val="17"/>
          <w:szCs w:val="17"/>
          <w:color w:val="auto"/>
        </w:rPr>
      </w:pPr>
    </w:p>
    <w:p>
      <w:pPr>
        <w:ind w:left="1200"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(ii) modify the rights of the holder of any such debt security with respect to such provision or (B) shall become effective only when there is no such debt security outstanding;</w:t>
      </w:r>
    </w:p>
    <w:p>
      <w:pPr>
        <w:spacing w:after="0" w:line="86" w:lineRule="exact"/>
        <w:rPr>
          <w:rFonts w:ascii="Times New Roman" w:cs="Times New Roman" w:eastAsia="Times New Roman" w:hAnsi="Times New Roman"/>
          <w:sz w:val="17"/>
          <w:szCs w:val="17"/>
          <w:color w:val="auto"/>
        </w:rPr>
      </w:pPr>
    </w:p>
    <w:p>
      <w:pPr>
        <w:ind w:left="1200" w:right="660" w:hanging="652"/>
        <w:spacing w:after="0" w:line="282"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security with respect to the debt securities of any series and to provide for the terms and conditions of release or substitution thereof;</w:t>
      </w:r>
    </w:p>
    <w:p>
      <w:pPr>
        <w:spacing w:after="0" w:line="67" w:lineRule="exact"/>
        <w:rPr>
          <w:rFonts w:ascii="Times New Roman" w:cs="Times New Roman" w:eastAsia="Times New Roman" w:hAnsi="Times New Roman"/>
          <w:sz w:val="18"/>
          <w:szCs w:val="18"/>
          <w:color w:val="auto"/>
        </w:rPr>
      </w:pPr>
    </w:p>
    <w:p>
      <w:pPr>
        <w:ind w:left="1200" w:right="140" w:hanging="652"/>
        <w:spacing w:after="0" w:line="282"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issuance of and establish the form, terms and conditions of any additional debt securities of any series or tranche thereof as permitted by the indenture;</w:t>
      </w:r>
    </w:p>
    <w:p>
      <w:pPr>
        <w:spacing w:after="0" w:line="67"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all, or any series or tranche of, certificated debt securities;</w:t>
      </w:r>
    </w:p>
    <w:p>
      <w:pPr>
        <w:spacing w:after="0" w:line="27" w:lineRule="exact"/>
        <w:rPr>
          <w:rFonts w:ascii="Times New Roman" w:cs="Times New Roman" w:eastAsia="Times New Roman" w:hAnsi="Times New Roman"/>
          <w:sz w:val="18"/>
          <w:szCs w:val="18"/>
          <w:color w:val="auto"/>
        </w:rPr>
      </w:pPr>
    </w:p>
    <w:p>
      <w:pPr>
        <w:ind w:left="1200" w:right="20" w:hanging="652"/>
        <w:spacing w:after="0" w:line="255"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w:t>
      </w:r>
    </w:p>
    <w:p>
      <w:pPr>
        <w:spacing w:after="0" w:line="91"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separate trustee or co-trustee;</w:t>
      </w:r>
    </w:p>
    <w:p>
      <w:pPr>
        <w:spacing w:after="0" w:line="130" w:lineRule="exact"/>
        <w:rPr>
          <w:rFonts w:ascii="Times New Roman" w:cs="Times New Roman" w:eastAsia="Times New Roman" w:hAnsi="Times New Roman"/>
          <w:sz w:val="18"/>
          <w:szCs w:val="18"/>
          <w:color w:val="auto"/>
        </w:rPr>
      </w:pPr>
    </w:p>
    <w:p>
      <w:pPr>
        <w:ind w:left="1200" w:hanging="652"/>
        <w:spacing w:after="0" w:line="261"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w:t>
      </w:r>
    </w:p>
    <w:p>
      <w:pPr>
        <w:spacing w:after="0" w:line="85" w:lineRule="exact"/>
        <w:rPr>
          <w:rFonts w:ascii="Times New Roman" w:cs="Times New Roman" w:eastAsia="Times New Roman" w:hAnsi="Times New Roman"/>
          <w:sz w:val="18"/>
          <w:szCs w:val="18"/>
          <w:color w:val="auto"/>
        </w:rPr>
      </w:pPr>
    </w:p>
    <w:p>
      <w:pPr>
        <w:ind w:left="1200" w:right="280" w:hanging="652"/>
        <w:spacing w:after="0" w:line="261"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debt securities of such series or tranche or any other series of debt securities in any material respect;</w:t>
      </w:r>
    </w:p>
    <w:p>
      <w:pPr>
        <w:spacing w:after="0" w:line="85" w:lineRule="exact"/>
        <w:rPr>
          <w:rFonts w:ascii="Times New Roman" w:cs="Times New Roman" w:eastAsia="Times New Roman" w:hAnsi="Times New Roman"/>
          <w:sz w:val="18"/>
          <w:szCs w:val="18"/>
          <w:color w:val="auto"/>
        </w:rPr>
      </w:pPr>
    </w:p>
    <w:p>
      <w:pPr>
        <w:jc w:val="both"/>
        <w:ind w:left="1200" w:right="360" w:hanging="652"/>
        <w:spacing w:after="0" w:line="312" w:lineRule="auto"/>
        <w:tabs>
          <w:tab w:leader="none" w:pos="12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w:t>
      </w:r>
    </w:p>
    <w:p>
      <w:pPr>
        <w:spacing w:after="0" w:line="45" w:lineRule="exact"/>
        <w:rPr>
          <w:rFonts w:ascii="Times New Roman" w:cs="Times New Roman" w:eastAsia="Times New Roman" w:hAnsi="Times New Roman"/>
          <w:sz w:val="17"/>
          <w:szCs w:val="17"/>
          <w:color w:val="auto"/>
        </w:rPr>
      </w:pPr>
    </w:p>
    <w:p>
      <w:pPr>
        <w:ind w:left="1200" w:right="120" w:hanging="652"/>
        <w:spacing w:after="0" w:line="282" w:lineRule="auto"/>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0" w:right="60" w:hanging="652"/>
        <w:spacing w:after="0" w:line="267" w:lineRule="auto"/>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other provisions with respect to matters or questions arising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17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67" w:lineRule="exact"/>
        <w:rPr>
          <w:sz w:val="20"/>
          <w:szCs w:val="20"/>
          <w:color w:val="auto"/>
        </w:rPr>
      </w:pPr>
    </w:p>
    <w:p>
      <w:pPr>
        <w:ind w:left="1080" w:right="40" w:hanging="532"/>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in the payment of interest on any debt security of that series when it becomes due and payable, and continuance of such default for a period of 30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valid extension of the interest payment period by us as permitted under the terms of any debt security of that series shall not constitute a failure to pay interest for this purpose;</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debt security of that series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w:t>
      </w:r>
    </w:p>
    <w:p>
      <w:pPr>
        <w:spacing w:after="0" w:line="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have occurred; or</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9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written notice to the trustee of a continuing event of default with respect to the debt securities of that series;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debt securities of that series have made written request to the trustee to institute the action;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against the reasonable expenses and liabilities to be incurred in complying with the request;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receipt of the request and offer of indemnity;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 event of default has occurred and is continuing with respect to more than one series of debt securities of equal ranking,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a 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Securities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a global security may not be exchanged for debt securities in physical, certificated form except in the limited circumstances described below.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the Global Securities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 debt security represented by the global security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a physical, certificated debt security;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security must rely on the procedures of DTC to exercise any rights of a holder of the debt security under the indenture (and, if the investor is not a</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participant or an indirect participant in DTC, on the procedures of the DTC participant through which the investor owns its interest).</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may be exchanged for debt securities in physical, certificated form (which would be registered in such names as DTC shall direct) only if:</w:t>
      </w:r>
    </w:p>
    <w:p>
      <w:pPr>
        <w:spacing w:after="0" w:line="67" w:lineRule="exact"/>
        <w:rPr>
          <w:sz w:val="20"/>
          <w:szCs w:val="20"/>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security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that we elect to cause the issuance of certificated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with respect to the debt securities under the indenture should occur and be continuing.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Bank of New York Mellon is the trustee under the indenture.</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October 12, 2022, there were no shares of preferred stock outstanding. The terms of any shares of preferred stock offered pursuant to this prospectus will be set forth in an applicable prospectus supplement.</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only class of common stock is our common stock, par value $0.01 per share. Our Certificate of Incorporation currently authorizes our Board of Directors to issue 5,000,000,000 shares of common stock. As of October 12, 2022, 1,420,696,787 shares of our common stock were issued and outstanding. There are no redemption or sinking fund provisions applicable to our common stock. All outstanding shares of our common stock are fully paid and non-assessable.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October 12, 2022, there were no shares of preferred stock outstanding.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Computershare Trust Company, N.A. is the transfer agent and registrar for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accompanying prospectus supplement, the validity of the securities offered hereby will be passed upon for us by King &amp; Spalding LLP.</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General Motors Company and subsidiaries appearing in General Motors Company’s Annual Report (Form 10-K) for the year ended December 31, 2021, and the effectiveness of General Motors Company and subsidiaries’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Our SEC filings are available to the public through the Internet at the SEC’s website at https://www.sec.gov.</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also make available free of charge on our website at https://www.gm.com all of the documents that we file with the SEC. Information contained on, or that can be accessed through, our website is not incorporated by reference into this prospectus, and you should not consider such information as part of this prospectus.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of the information in the registration statement. The full registration statement, including exhibits to the registration statement, provides additional information about us and may be obtained from the SEC or us, as provided above.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we have incurred or expect to incur in connection with the sale of the securities registered pursuant to this registration statement.</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costs</w:t>
            </w:r>
          </w:p>
        </w:tc>
        <w:tc>
          <w:tcPr>
            <w:tcW w:w="3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30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Omitted because the registration fee is being deferred pursuant to Rule 456(b).</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These fees are calculated based on the securities offered and the number of issuances and accordingly cannot be estimated at this time.</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Under Section 145 of the Delaware General Corporation Law, General Motors Company (General Motors) is empowered to indemnify its directors and officers as provided therein.</w:t>
      </w:r>
    </w:p>
    <w:p>
      <w:pPr>
        <w:spacing w:after="0" w:line="162"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General Motors’ Restated Certificate of Incorporation, as amended (the Certificate),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 (iii) under Section 174, or any successor provision thereto, of the Delaware General Corporation Law, or (iv) for any transaction from which the director derived an improper personal benefit.</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Article V of its Amended and Restated Bylaws (the Bylaws), General Motors shall indemnify and advance expenses to every current or former director and officer in the manner and to the fullest extent permitted by applicable law as it presently exists or may hereafter be amended (but, in the case of any such amendment, only to the extent that such amendment permits the Company to provide broader indemnification rights than such law permitted the Company to provide prior to such amendment), against any and all amounts (including judgments, fines, payments in settlement, attorneys’ fees and other expenses) reasonably incurred or suffered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(hereinafter, an indemnitee), whether the basis of such proceeding is an alleged action in an official capacity as a director, officer, employee, fiduciary or member or in any other capacity while serving as a director, officer, employee, fiduciary or member. Except as provided below with respect to proceedings to enforce rights to indemnification, General Motors shall not be required to indemnify a person in connection with a proceeding (or part thereof) initiated by such person if the proceeding (or part thereof) was not authorized by the Board of Directors of General Motors. For purposes of these provisions, “officer” means a person elected or appointed to an officer position by resolution of the Board of Directors of General Motors or an authorized committee thereof.</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General Motors shall pay the expenses of an indemnitee incurred in defending any proceeding in advance of its final disposition (advancement of expenses);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payment of expenses incurred by an indemnitee in advance of the final disposition of the proceeding shall be made only upon receipt of an undertaking by the indemnitee to repay all amounts advanced if it should be ultimately determined that by final judicial decision from which there is no further right of appeal the indemnitee is not entitled to be indemnified under Article V of the Bylaws or applicable law. If a claim for indemnification or advancement of expenses by an indemnitee under Article V of the Bylaws is not paid in full within ninety days after a written claim therefor has been received by General Motors, the indemnitee may file suit to recover the unpaid amount of such claim and, if successful in whole or in part, shall be entitled to be paid the expense of prosecuting such claim. In any such action, General Motors shall have the burden of proving that the indemnitee was not entitled to the requested indemnification or advancement of expenses under applicable law.</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rights conferred on any person by Article V of the Bylaws shall not be exclusive of any other rights which such person may have or hereafter acquire under any statute, provision of the Certificate or Bylaws, agreement, vote of stockholders or disinterested directors or otherwise.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Article V of the Bylaws, whether or not General Motors would have the power to indemnify such persons against such liability under Article V of the Bylaws or under applicable law.</w:t>
      </w:r>
    </w:p>
    <w:p>
      <w:pPr>
        <w:spacing w:after="0" w:line="192"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General Motors maintains directors’ and officers’ liability insurance under which its directors and officers are insured against loss (as defined by the terms of insurance) as a result of claims brought against them alleging breach of duty, neglect, error or misstatement while acting in such capacities.</w:t>
      </w:r>
    </w:p>
    <w:p>
      <w:pPr>
        <w:spacing w:after="0" w:line="14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above described provisions in the Certificate and Bylaws, General Motors has entered into an indemnification agreement with each of its directors and executive officers, which provides, among other things, that General Motors will indemnify and defend each such person to the fullest extent permitted by law, subject to certain conditions, against all expenses and certain other amounts actually and reasonably incurred by such person in connection with proceedings in which such person is involved, or is threatened to become involved, by reason of any action or inaction by such person in his or her capacity as a director or officer of General Motors, or by reason of the fact that such person is or was serving at the request of General Motors as a director, officer, trustee, manager, member, fiduciary, employee or agent of any other organization or enterprise. The indemnification agreement also requires General Motors to advance expenses incurred by such person in connection with the investigation, defense, or appeal of any such proceedings. Additionally, in any proceeding for which indemnification is not otherwise available, the indemnification agreement requires General Motors to contribute to the indemnifiable losses based on the relative benefits received by, and/or the losses and relative faults of, the indemnitee and General Motors.</w:t>
      </w:r>
    </w:p>
    <w:p>
      <w:pPr>
        <w:spacing w:after="0" w:line="33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0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5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07"/>
        </w:trPr>
        <w:tc>
          <w:tcPr>
            <w:tcW w:w="8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3"/>
        </w:trPr>
        <w:tc>
          <w:tcPr>
            <w:tcW w:w="8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92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Restated Certificate of Incorporation of General Motors Company dated December 7, 2010, incorporated herein by reference to</w:t>
              </w:r>
            </w:hyperlink>
          </w:p>
        </w:tc>
      </w:tr>
      <w:tr>
        <w:trPr>
          <w:trHeight w:val="196"/>
        </w:trPr>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40" w:type="dxa"/>
            <w:vAlign w:val="bottom"/>
            <w:gridSpan w:val="2"/>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Exhibit 3.2 to the Current Report on Form 8-K of General Motors Company filed December 13, 2010</w:t>
              </w:r>
            </w:hyperlink>
          </w:p>
        </w:tc>
      </w:tr>
      <w:tr>
        <w:trPr>
          <w:trHeight w:val="385"/>
        </w:trPr>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20" w:type="dxa"/>
            <w:vAlign w:val="bottom"/>
            <w:tcBorders>
              <w:top w:val="single" w:sz="8" w:color="0000EE"/>
            </w:tcBorders>
          </w:tcPr>
          <w:p>
            <w:pPr>
              <w:ind w:left="3940"/>
              <w:spacing w:after="0"/>
              <w:rPr>
                <w:sz w:val="20"/>
                <w:szCs w:val="20"/>
                <w:color w:val="auto"/>
              </w:rPr>
            </w:pPr>
            <w:r>
              <w:rPr>
                <w:rFonts w:ascii="Times New Roman" w:cs="Times New Roman" w:eastAsia="Times New Roman" w:hAnsi="Times New Roman"/>
                <w:sz w:val="18"/>
                <w:szCs w:val="18"/>
                <w:color w:val="auto"/>
              </w:rPr>
              <w:t>II-2</w:t>
            </w:r>
          </w:p>
        </w:tc>
        <w:tc>
          <w:tcPr>
            <w:tcW w:w="192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00" w:right="280" w:hanging="710"/>
        <w:spacing w:after="0" w:line="282"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63">
        <w:r>
          <w:rPr>
            <w:rFonts w:ascii="Times New Roman" w:cs="Times New Roman" w:eastAsia="Times New Roman" w:hAnsi="Times New Roman"/>
            <w:sz w:val="18"/>
            <w:szCs w:val="18"/>
            <w:u w:val="single" w:color="auto"/>
            <w:color w:val="0000EE"/>
          </w:rPr>
          <w:t>General Motors Company Amended and Restated Bylaws, as amended August 17, 2021,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Current Report on Form 8-K of General Motors Company filed August 23, 2021</w:t>
        </w:r>
      </w:hyperlink>
    </w:p>
    <w:p>
      <w:pPr>
        <w:spacing w:after="0" w:line="54" w:lineRule="exact"/>
        <w:rPr>
          <w:sz w:val="20"/>
          <w:szCs w:val="20"/>
          <w:color w:val="auto"/>
        </w:rPr>
      </w:pPr>
    </w:p>
    <w:p>
      <w:pPr>
        <w:jc w:val="both"/>
        <w:ind w:left="1000" w:right="20" w:hanging="71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64">
        <w:r>
          <w:rPr>
            <w:rFonts w:ascii="Times New Roman" w:cs="Times New Roman" w:eastAsia="Times New Roman" w:hAnsi="Times New Roman"/>
            <w:sz w:val="18"/>
            <w:szCs w:val="18"/>
            <w:u w:val="single" w:color="auto"/>
            <w:color w:val="0000EE"/>
          </w:rPr>
          <w:t>Indenture, dated as of September 27, 2013, between General Motors Company and The Bank of New York Mellon, as trustee, incorporated</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herein by reference to Exhibit 4.2 to the Registration Statement on Form S-3 (No. 333-195601) of General Motors Company filed April 30,</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2014</w:t>
        </w:r>
      </w:hyperlink>
    </w:p>
    <w:p>
      <w:pPr>
        <w:spacing w:after="0" w:line="68" w:lineRule="exact"/>
        <w:rPr>
          <w:rFonts w:ascii="Times New Roman" w:cs="Times New Roman" w:eastAsia="Times New Roman" w:hAnsi="Times New Roman"/>
          <w:sz w:val="18"/>
          <w:szCs w:val="18"/>
          <w:u w:val="single" w:color="auto"/>
          <w:color w:val="0000EE"/>
        </w:rPr>
      </w:pPr>
    </w:p>
    <w:p>
      <w:pPr>
        <w:ind w:left="1000" w:hanging="710"/>
        <w:spacing w:after="0" w:line="26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65">
        <w:r>
          <w:rPr>
            <w:rFonts w:ascii="Times New Roman" w:cs="Times New Roman" w:eastAsia="Times New Roman" w:hAnsi="Times New Roman"/>
            <w:sz w:val="18"/>
            <w:szCs w:val="18"/>
            <w:u w:val="single" w:color="auto"/>
            <w:color w:val="0000EE"/>
          </w:rPr>
          <w:t>Seventh Supplemental Indenture, dated as of August 2, 2022, to the Indenture, dated as of September 27, 2013, between General Motors</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Company and The Bank of New York Mellon, as trustee, incorporated herein by reference to Exhibit 4.2 to the Current Report on Form 8-K</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of General Motors Company filed August 2, 2022</w:t>
        </w:r>
      </w:hyperlink>
    </w:p>
    <w:p>
      <w:pPr>
        <w:spacing w:after="0" w:line="68" w:lineRule="exact"/>
        <w:rPr>
          <w:rFonts w:ascii="Times New Roman" w:cs="Times New Roman" w:eastAsia="Times New Roman" w:hAnsi="Times New Roman"/>
          <w:sz w:val="18"/>
          <w:szCs w:val="18"/>
          <w:u w:val="single" w:color="auto"/>
          <w:color w:val="0000EE"/>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Form of Supplemental Indenture for Debt Securities†</w:t>
      </w:r>
    </w:p>
    <w:p>
      <w:pPr>
        <w:spacing w:after="0" w:line="117" w:lineRule="exact"/>
        <w:rPr>
          <w:rFonts w:ascii="Times New Roman" w:cs="Times New Roman" w:eastAsia="Times New Roman" w:hAnsi="Times New Roman"/>
          <w:sz w:val="18"/>
          <w:szCs w:val="18"/>
          <w:u w:val="single" w:color="auto"/>
          <w:color w:val="0000EE"/>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Form of Debt Security†</w:t>
      </w:r>
    </w:p>
    <w:p>
      <w:pPr>
        <w:spacing w:after="0" w:line="117" w:lineRule="exact"/>
        <w:rPr>
          <w:rFonts w:ascii="Times New Roman" w:cs="Times New Roman" w:eastAsia="Times New Roman" w:hAnsi="Times New Roman"/>
          <w:sz w:val="18"/>
          <w:szCs w:val="18"/>
          <w:u w:val="single" w:color="auto"/>
          <w:color w:val="0000EE"/>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Form of Certificate of Designations for Preferred Stock†</w:t>
      </w:r>
    </w:p>
    <w:p>
      <w:pPr>
        <w:spacing w:after="0" w:line="117" w:lineRule="exact"/>
        <w:rPr>
          <w:rFonts w:ascii="Times New Roman" w:cs="Times New Roman" w:eastAsia="Times New Roman" w:hAnsi="Times New Roman"/>
          <w:sz w:val="18"/>
          <w:szCs w:val="18"/>
          <w:u w:val="single" w:color="auto"/>
          <w:color w:val="0000EE"/>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Form of Warrant Agreement†</w:t>
      </w:r>
    </w:p>
    <w:p>
      <w:pPr>
        <w:spacing w:after="0" w:line="117" w:lineRule="exact"/>
        <w:rPr>
          <w:rFonts w:ascii="Times New Roman" w:cs="Times New Roman" w:eastAsia="Times New Roman" w:hAnsi="Times New Roman"/>
          <w:sz w:val="18"/>
          <w:szCs w:val="18"/>
          <w:u w:val="single" w:color="auto"/>
          <w:color w:val="0000EE"/>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0000EE"/>
        </w:rPr>
        <w:t>Opinion of King &amp; Spalding LLP*</w:t>
      </w:r>
    </w:p>
    <w:p>
      <w:pPr>
        <w:spacing w:after="0" w:line="117" w:lineRule="exact"/>
        <w:rPr>
          <w:rFonts w:ascii="Times New Roman" w:cs="Times New Roman" w:eastAsia="Times New Roman" w:hAnsi="Times New Roman"/>
          <w:sz w:val="18"/>
          <w:szCs w:val="18"/>
          <w:u w:val="single" w:color="auto"/>
          <w:color w:val="0000EE"/>
        </w:rPr>
      </w:pPr>
    </w:p>
    <w:p>
      <w:pPr>
        <w:ind w:left="200"/>
        <w:spacing w:after="0"/>
        <w:tabs>
          <w:tab w:leader="none" w:pos="9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EE"/>
        </w:rPr>
        <w:t>Consent of Independent Registered Public Accounting Firm*</w:t>
      </w:r>
    </w:p>
    <w:p>
      <w:pPr>
        <w:spacing w:after="0" w:line="117" w:lineRule="exact"/>
        <w:rPr>
          <w:rFonts w:ascii="Times New Roman" w:cs="Times New Roman" w:eastAsia="Times New Roman" w:hAnsi="Times New Roman"/>
          <w:sz w:val="18"/>
          <w:szCs w:val="18"/>
          <w:u w:val="single" w:color="auto"/>
          <w:color w:val="0000EE"/>
        </w:rPr>
      </w:pPr>
    </w:p>
    <w:p>
      <w:pPr>
        <w:ind w:left="200"/>
        <w:spacing w:after="0"/>
        <w:tabs>
          <w:tab w:leader="none" w:pos="9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King &amp; Spalding LLP (included in Exhibit 5.1)</w:t>
      </w:r>
    </w:p>
    <w:p>
      <w:pPr>
        <w:spacing w:after="0" w:line="117" w:lineRule="exact"/>
        <w:rPr>
          <w:rFonts w:ascii="Times New Roman" w:cs="Times New Roman" w:eastAsia="Times New Roman" w:hAnsi="Times New Roman"/>
          <w:sz w:val="18"/>
          <w:szCs w:val="18"/>
          <w:u w:val="single" w:color="auto"/>
          <w:color w:val="0000EE"/>
        </w:rPr>
      </w:pPr>
    </w:p>
    <w:p>
      <w:pPr>
        <w:ind w:left="200"/>
        <w:spacing w:after="0"/>
        <w:tabs>
          <w:tab w:leader="none" w:pos="9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Powers of Attorney for Directors of General Motors Company*</w:t>
      </w:r>
    </w:p>
    <w:p>
      <w:pPr>
        <w:spacing w:after="0" w:line="117" w:lineRule="exact"/>
        <w:rPr>
          <w:rFonts w:ascii="Times New Roman" w:cs="Times New Roman" w:eastAsia="Times New Roman" w:hAnsi="Times New Roman"/>
          <w:sz w:val="18"/>
          <w:szCs w:val="18"/>
          <w:u w:val="single" w:color="auto"/>
          <w:color w:val="0000EE"/>
        </w:rPr>
      </w:pPr>
    </w:p>
    <w:p>
      <w:pPr>
        <w:ind w:left="1000" w:right="440" w:hanging="800"/>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u w:val="single" w:color="auto"/>
          <w:color w:val="0000EE"/>
        </w:rPr>
        <w:t>Form T-1 Statement of Eligibility under the Trust Indenture Act of 1939, as amended, of The Bank of New York Mellon, as trustee, in respect of the Indenture dated as of September 27, 2013*</w:t>
      </w:r>
    </w:p>
    <w:p>
      <w:pPr>
        <w:spacing w:after="0" w:line="54" w:lineRule="exact"/>
        <w:rPr>
          <w:rFonts w:ascii="Times New Roman" w:cs="Times New Roman" w:eastAsia="Times New Roman" w:hAnsi="Times New Roman"/>
          <w:sz w:val="18"/>
          <w:szCs w:val="18"/>
          <w:u w:val="single" w:color="auto"/>
          <w:color w:val="0000EE"/>
        </w:rPr>
      </w:pPr>
    </w:p>
    <w:p>
      <w:pPr>
        <w:ind w:left="1000" w:hanging="884"/>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rFonts w:ascii="Times New Roman" w:cs="Times New Roman" w:eastAsia="Times New Roman" w:hAnsi="Times New Roman"/>
          <w:sz w:val="18"/>
          <w:szCs w:val="18"/>
          <w:u w:val="single" w:color="auto"/>
          <w:color w:val="0000EE"/>
        </w:rPr>
      </w:pPr>
    </w:p>
    <w:p>
      <w:pPr>
        <w:ind w:left="1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u w:val="single" w:color="auto"/>
          <w:color w:val="0000EE"/>
        </w:rPr>
      </w:pPr>
    </w:p>
    <w:p>
      <w:pPr>
        <w:ind w:left="120"/>
        <w:spacing w:after="0"/>
        <w:rPr>
          <w:sz w:val="20"/>
          <w:szCs w:val="20"/>
          <w:color w:val="auto"/>
        </w:rPr>
      </w:pPr>
      <w:r>
        <w:rPr>
          <w:rFonts w:ascii="Times New Roman" w:cs="Times New Roman" w:eastAsia="Times New Roman" w:hAnsi="Times New Roman"/>
          <w:sz w:val="18"/>
          <w:szCs w:val="18"/>
          <w:color w:val="auto"/>
        </w:rPr>
        <w:t>†  To be filed as an exhibit to a Current Report on Form 8-K and incorporated herein by reference or by post-effective amendment.</w:t>
      </w:r>
    </w:p>
    <w:p>
      <w:pPr>
        <w:spacing w:after="0" w:line="351" w:lineRule="exact"/>
        <w:rPr>
          <w:rFonts w:ascii="Times New Roman" w:cs="Times New Roman" w:eastAsia="Times New Roman" w:hAnsi="Times New Roman"/>
          <w:sz w:val="18"/>
          <w:szCs w:val="18"/>
          <w:u w:val="single" w:color="auto"/>
          <w:color w:val="0000EE"/>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rFonts w:ascii="Times New Roman" w:cs="Times New Roman" w:eastAsia="Times New Roman" w:hAnsi="Times New Roman"/>
          <w:sz w:val="18"/>
          <w:szCs w:val="18"/>
          <w:u w:val="single" w:color="auto"/>
          <w:color w:val="0000EE"/>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540" w:hanging="439"/>
        <w:spacing w:after="0" w:line="255" w:lineRule="auto"/>
        <w:tabs>
          <w:tab w:leader="none" w:pos="154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rFonts w:ascii="Times New Roman" w:cs="Times New Roman" w:eastAsia="Times New Roman" w:hAnsi="Times New Roman"/>
          <w:sz w:val="18"/>
          <w:szCs w:val="18"/>
          <w:u w:val="single" w:color="auto"/>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registration statement is on Form S-3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08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30" w:lineRule="exact"/>
        <w:rPr>
          <w:rFonts w:ascii="Times New Roman" w:cs="Times New Roman" w:eastAsia="Times New Roman" w:hAnsi="Times New Roman"/>
          <w:sz w:val="18"/>
          <w:szCs w:val="18"/>
          <w:color w:val="auto"/>
        </w:rPr>
      </w:pPr>
    </w:p>
    <w:p>
      <w:pPr>
        <w:ind w:left="2080" w:right="40" w:hanging="533"/>
        <w:spacing w:after="0" w:line="282" w:lineRule="auto"/>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2080" w:right="20" w:hanging="533"/>
        <w:spacing w:after="0" w:line="253" w:lineRule="auto"/>
        <w:tabs>
          <w:tab w:leader="none" w:pos="20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 (1)(i),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92"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60" w:hanging="439"/>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sz w:val="20"/>
          <w:szCs w:val="20"/>
          <w:color w:val="auto"/>
        </w:rPr>
      </w:pPr>
    </w:p>
    <w:p>
      <w:pPr>
        <w:ind w:left="1540" w:right="120" w:hanging="439"/>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480" w:hanging="439"/>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439"/>
        <w:spacing w:after="0"/>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2080" w:right="40" w:hanging="533"/>
        <w:spacing w:after="0" w:line="256" w:lineRule="auto"/>
        <w:tabs>
          <w:tab w:leader="none" w:pos="2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Times New Roman" w:cs="Times New Roman" w:eastAsia="Times New Roman" w:hAnsi="Times New Roman"/>
          <w:sz w:val="18"/>
          <w:szCs w:val="18"/>
          <w:color w:val="auto"/>
        </w:rPr>
      </w:pPr>
    </w:p>
    <w:p>
      <w:pPr>
        <w:ind w:left="2080" w:hanging="533"/>
        <w:spacing w:after="0" w:line="254" w:lineRule="auto"/>
        <w:tabs>
          <w:tab w:leader="none" w:pos="2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General Motors Company certifies that it has reasonable grounds to believe that it meets all of the requirements for filing on Form S-3 and has duly caused this registration statement on Form S-3 to be signed on its behalf by the undersigned, thereunto duly authorized, in the City of Detroit, State of Michigan, on October 25, 2022.</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Mary T. Barra</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Chair and Chief Executive Officer</w:t>
      </w:r>
    </w:p>
    <w:p>
      <w:pPr>
        <w:spacing w:after="0" w:line="13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720"/>
          </w:cols>
          <w:pgMar w:left="320" w:top="455" w:right="8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3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T. BARRA</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 and 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Mary T. Barra</w:t>
            </w:r>
          </w:p>
        </w:tc>
        <w:tc>
          <w:tcPr>
            <w:tcW w:w="120" w:type="dxa"/>
            <w:vAlign w:val="bottom"/>
          </w:tcPr>
          <w:p>
            <w:pPr>
              <w:spacing w:after="0"/>
              <w:rPr>
                <w:sz w:val="19"/>
                <w:szCs w:val="19"/>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A. JACOBSON</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Paul A. Jacobson</w:t>
            </w:r>
          </w:p>
        </w:tc>
        <w:tc>
          <w:tcPr>
            <w:tcW w:w="120" w:type="dxa"/>
            <w:vAlign w:val="bottom"/>
          </w:tcPr>
          <w:p>
            <w:pPr>
              <w:spacing w:after="0"/>
              <w:rPr>
                <w:sz w:val="19"/>
                <w:szCs w:val="19"/>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Global Business Solutions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178"/>
        </w:trPr>
        <w:tc>
          <w:tcPr>
            <w:tcW w:w="43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Christopher T. Hatto</w:t>
            </w:r>
          </w:p>
        </w:tc>
        <w:tc>
          <w:tcPr>
            <w:tcW w:w="120" w:type="dxa"/>
            <w:vAlign w:val="bottom"/>
          </w:tcPr>
          <w:p>
            <w:pPr>
              <w:spacing w:after="0"/>
              <w:rPr>
                <w:sz w:val="15"/>
                <w:szCs w:val="15"/>
                <w:color w:val="auto"/>
              </w:rPr>
            </w:pPr>
          </w:p>
        </w:tc>
        <w:tc>
          <w:tcPr>
            <w:tcW w:w="456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8"/>
                <w:szCs w:val="18"/>
                <w:color w:val="auto"/>
                <w:w w:val="99"/>
              </w:rPr>
              <w:t>and Chief Accounting Officer</w:t>
            </w:r>
          </w:p>
        </w:tc>
        <w:tc>
          <w:tcPr>
            <w:tcW w:w="2020" w:type="dxa"/>
            <w:vAlign w:val="bottom"/>
          </w:tcPr>
          <w:p>
            <w:pPr>
              <w:spacing w:after="0"/>
              <w:rPr>
                <w:sz w:val="15"/>
                <w:szCs w:val="15"/>
                <w:color w:val="auto"/>
              </w:rPr>
            </w:pPr>
          </w:p>
        </w:tc>
      </w:tr>
      <w:tr>
        <w:trPr>
          <w:trHeight w:val="234"/>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20" w:type="dxa"/>
            <w:vAlign w:val="bottom"/>
          </w:tcPr>
          <w:p>
            <w:pPr>
              <w:spacing w:after="0"/>
              <w:rPr>
                <w:sz w:val="20"/>
                <w:szCs w:val="20"/>
                <w:color w:val="auto"/>
              </w:rPr>
            </w:pPr>
          </w:p>
        </w:tc>
      </w:tr>
      <w:tr>
        <w:trPr>
          <w:trHeight w:val="44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Lead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Patricia F. Russo</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Aneel Bhusri</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Wesley G. Bush</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Joanne C. Crevoiserat</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Linda R. Gooden</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Joseph Jimenez</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Jonathan McNeill</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Judith A. Miscik</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Thomas M. Schoewe</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Carol M. Stephenson</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Mark Tatum</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0"/>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II-7</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3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Devin N. Wenig</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340" w:right="140" w:hanging="224"/>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or her name hereto, does execute this Registration Statement on behalf of the persons identified above pursuant to a power of attorney.</w:t>
      </w:r>
    </w:p>
    <w:p>
      <w:pPr>
        <w:spacing w:after="0" w:line="200" w:lineRule="exact"/>
        <w:rPr>
          <w:sz w:val="20"/>
          <w:szCs w:val="20"/>
          <w:color w:val="auto"/>
        </w:rPr>
      </w:pPr>
    </w:p>
    <w:p>
      <w:pPr>
        <w:spacing w:after="0" w:line="20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John S. Kim</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Attorney-in-Fact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140"/>
          </w:cols>
          <w:pgMar w:left="320" w:top="455"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184"/>
        <w:spacing w:after="0"/>
        <w:rPr>
          <w:sz w:val="20"/>
          <w:szCs w:val="20"/>
          <w:color w:val="auto"/>
        </w:rPr>
      </w:pPr>
      <w:r>
        <w:rPr>
          <w:rFonts w:ascii="Times New Roman" w:cs="Times New Roman" w:eastAsia="Times New Roman" w:hAnsi="Times New Roman"/>
          <w:sz w:val="18"/>
          <w:szCs w:val="18"/>
          <w:color w:val="auto"/>
        </w:rPr>
        <w:t>King &amp; Spalding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256286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2562860" cy="205740"/>
                    </a:xfrm>
                    <a:prstGeom prst="rect">
                      <a:avLst/>
                    </a:prstGeom>
                    <a:noFill/>
                  </pic:spPr>
                </pic:pic>
              </a:graphicData>
            </a:graphic>
          </wp:anchor>
        </w:drawing>
      </w:r>
    </w:p>
    <w:p>
      <w:pPr>
        <w:spacing w:after="0" w:line="7" w:lineRule="exact"/>
        <w:rPr>
          <w:sz w:val="20"/>
          <w:szCs w:val="20"/>
          <w:color w:val="auto"/>
        </w:rPr>
      </w:pPr>
    </w:p>
    <w:p>
      <w:pPr>
        <w:ind w:left="7184"/>
        <w:spacing w:after="0"/>
        <w:rPr>
          <w:sz w:val="20"/>
          <w:szCs w:val="20"/>
          <w:color w:val="auto"/>
        </w:rPr>
      </w:pPr>
      <w:r>
        <w:rPr>
          <w:rFonts w:ascii="Times New Roman" w:cs="Times New Roman" w:eastAsia="Times New Roman" w:hAnsi="Times New Roman"/>
          <w:sz w:val="18"/>
          <w:szCs w:val="18"/>
          <w:color w:val="auto"/>
        </w:rPr>
        <w:t>1180 Peachtree Street N.E. Ste. 1600</w:t>
      </w:r>
    </w:p>
    <w:p>
      <w:pPr>
        <w:spacing w:after="0" w:line="9" w:lineRule="exact"/>
        <w:rPr>
          <w:sz w:val="20"/>
          <w:szCs w:val="20"/>
          <w:color w:val="auto"/>
        </w:rPr>
      </w:pPr>
    </w:p>
    <w:p>
      <w:pPr>
        <w:ind w:left="7184"/>
        <w:spacing w:after="0"/>
        <w:rPr>
          <w:sz w:val="20"/>
          <w:szCs w:val="20"/>
          <w:color w:val="auto"/>
        </w:rPr>
      </w:pPr>
      <w:r>
        <w:rPr>
          <w:rFonts w:ascii="Times New Roman" w:cs="Times New Roman" w:eastAsia="Times New Roman" w:hAnsi="Times New Roman"/>
          <w:sz w:val="18"/>
          <w:szCs w:val="18"/>
          <w:color w:val="auto"/>
        </w:rPr>
        <w:t>Atlanta, GA 30309-3521</w:t>
      </w:r>
    </w:p>
    <w:p>
      <w:pPr>
        <w:spacing w:after="0" w:line="9" w:lineRule="exact"/>
        <w:rPr>
          <w:sz w:val="20"/>
          <w:szCs w:val="20"/>
          <w:color w:val="auto"/>
        </w:rPr>
      </w:pPr>
    </w:p>
    <w:p>
      <w:pPr>
        <w:ind w:left="7184"/>
        <w:spacing w:after="0"/>
        <w:rPr>
          <w:sz w:val="20"/>
          <w:szCs w:val="20"/>
          <w:color w:val="auto"/>
        </w:rPr>
      </w:pPr>
      <w:r>
        <w:rPr>
          <w:rFonts w:ascii="Times New Roman" w:cs="Times New Roman" w:eastAsia="Times New Roman" w:hAnsi="Times New Roman"/>
          <w:sz w:val="18"/>
          <w:szCs w:val="18"/>
          <w:color w:val="auto"/>
        </w:rPr>
        <w:t>Tel: +1 404 572 4600</w:t>
      </w:r>
    </w:p>
    <w:p>
      <w:pPr>
        <w:spacing w:after="0" w:line="9" w:lineRule="exact"/>
        <w:rPr>
          <w:sz w:val="20"/>
          <w:szCs w:val="20"/>
          <w:color w:val="auto"/>
        </w:rPr>
      </w:pPr>
    </w:p>
    <w:p>
      <w:pPr>
        <w:ind w:left="7184"/>
        <w:spacing w:after="0"/>
        <w:rPr>
          <w:sz w:val="20"/>
          <w:szCs w:val="20"/>
          <w:color w:val="auto"/>
        </w:rPr>
      </w:pPr>
      <w:r>
        <w:rPr>
          <w:rFonts w:ascii="Times New Roman" w:cs="Times New Roman" w:eastAsia="Times New Roman" w:hAnsi="Times New Roman"/>
          <w:sz w:val="18"/>
          <w:szCs w:val="18"/>
          <w:color w:val="auto"/>
        </w:rPr>
        <w:t>Fax: +1 404 572 5100</w:t>
      </w:r>
    </w:p>
    <w:p>
      <w:pPr>
        <w:spacing w:after="0" w:line="9" w:lineRule="exact"/>
        <w:rPr>
          <w:sz w:val="20"/>
          <w:szCs w:val="20"/>
          <w:color w:val="auto"/>
        </w:rPr>
      </w:pPr>
    </w:p>
    <w:p>
      <w:pPr>
        <w:ind w:left="7184"/>
        <w:spacing w:after="0"/>
        <w:rPr>
          <w:sz w:val="20"/>
          <w:szCs w:val="20"/>
          <w:color w:val="auto"/>
        </w:rPr>
      </w:pPr>
      <w:r>
        <w:rPr>
          <w:rFonts w:ascii="Times New Roman" w:cs="Times New Roman" w:eastAsia="Times New Roman" w:hAnsi="Times New Roman"/>
          <w:sz w:val="18"/>
          <w:szCs w:val="18"/>
          <w:color w:val="auto"/>
        </w:rPr>
        <w:t>www.kslaw.com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25, 2022</w:t>
      </w:r>
    </w:p>
    <w:p>
      <w:pPr>
        <w:spacing w:after="0" w:line="2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We have acted as counsel to General Motors Company, a Delaware corporation (the “Corporation”), in connection with the preparation and filing of a Registration Statement on Form S-3 (the “Registration Statement”) with the Securities and Exchange Commission under the Securities Act of 1933, as amended (the “Securities Act”). The Registration Statement relates to the registration under the Securities Act of the offer and sale, from time to time pursuant to Rule 415 under the Securities Act, of an indeterminate aggregate offering price of the following (collectively, the “Securities”): (i) shares of the Corporation’s common stock, par value $0.01 per share (“Common Stock”); (ii) shares of the Corporation’s preferred stock, par value $0.01 per share (“Preferred Stock”); (iii) warrants to purchase Common Stock, Preferred Stock or Debt Securities (as defined below) or any combination thereof (“Warrants”); and (iv) debt securities of the Corporation to be issued under the indenture, dated September 27, 2013 (the “Indenture”), between the Corporation and The Bank of New York Mellon, and any applicable amendment or supplement thereto (the “Debt Securities”).</w:t>
      </w:r>
    </w:p>
    <w:p>
      <w:pPr>
        <w:spacing w:after="0" w:line="172"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We have examined and relied upon the accuracy of original, certified, conformed or photographic copies of such records, agreements, certificates and other documents as we have deemed necessary or appropriate to enable us to render the opinions set forth below. In all such examinations, we have assumed the genuineness of signatures on original documents and the conformity to such original documents of all documents submitted to us as certified, conformed or photographic copies and, as to certificates of public officials, we have assumed the same to have been properly given and to be accurate. As to matters of fact material to this opinion, we have relied, without independent verification, upon certificates, statements and representations of public officials and representatives of the Corporation.</w:t>
      </w:r>
    </w:p>
    <w:p>
      <w:pPr>
        <w:spacing w:after="0" w:line="187" w:lineRule="exact"/>
        <w:rPr>
          <w:sz w:val="20"/>
          <w:szCs w:val="20"/>
          <w:color w:val="auto"/>
        </w:rPr>
      </w:pPr>
    </w:p>
    <w:p>
      <w:pPr>
        <w:ind w:left="4" w:right="140" w:firstLine="440"/>
        <w:spacing w:after="0" w:line="272" w:lineRule="auto"/>
        <w:rPr>
          <w:sz w:val="20"/>
          <w:szCs w:val="20"/>
          <w:color w:val="auto"/>
        </w:rPr>
      </w:pPr>
      <w:r>
        <w:rPr>
          <w:rFonts w:ascii="Times New Roman" w:cs="Times New Roman" w:eastAsia="Times New Roman" w:hAnsi="Times New Roman"/>
          <w:sz w:val="17"/>
          <w:szCs w:val="17"/>
          <w:color w:val="auto"/>
        </w:rPr>
        <w:t>We have also assumed that (i) any supplemental indenture setting forth the terms of the Debt Securities and Guarantees to be issued, any contract governing or establishing the terms of the Depositary Shares, Warrants, Purchase Contracts or Units will be the valid and binding obligations of each party thereto (other than the Corporation) enforceable against each party thereto (other than the Corporation) in accordance with their respective terms,</w:t>
      </w:r>
    </w:p>
    <w:p>
      <w:pPr>
        <w:spacing w:after="0" w:line="2" w:lineRule="exact"/>
        <w:rPr>
          <w:sz w:val="20"/>
          <w:szCs w:val="20"/>
          <w:color w:val="auto"/>
        </w:rPr>
      </w:pPr>
    </w:p>
    <w:p>
      <w:pPr>
        <w:ind w:left="4" w:right="120" w:hanging="4"/>
        <w:spacing w:after="0" w:line="260"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and performance by the Corporation pursuant to, any Security (A) require no action by or in respect of, or filing with, any governmental body, agency or official and (B) do</w:t>
      </w:r>
    </w:p>
    <w:p>
      <w:pPr>
        <w:sectPr>
          <w:pgSz w:w="11900" w:h="16838" w:orient="portrait"/>
          <w:cols w:equalWidth="0" w:num="1">
            <w:col w:w="11024"/>
          </w:cols>
          <w:pgMar w:left="436" w:top="117"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 contravene, or constitute a default under, any provision of applicable law or regulation or any judgment, injunction, order or decree or any agreement or other instrument binding upon the Corporation, (iii) any contract governing or establishing the terms of the Warrants will be governed by the laws of the State of New York, and (iv) any Securities issuable upon conversion, exchange or exercise of any Security being offered or issued will be duly authorized, created and, if appropriate, reserved for issuance upon such conversion, exchange or exercise.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foregoing, and subject to the additional assumptions, qualifications and limitations set forth below, we are of the opinion that:</w:t>
      </w:r>
    </w:p>
    <w:p>
      <w:pPr>
        <w:spacing w:after="0" w:line="117" w:lineRule="exact"/>
        <w:rPr>
          <w:sz w:val="20"/>
          <w:szCs w:val="20"/>
          <w:color w:val="auto"/>
        </w:rPr>
      </w:pPr>
    </w:p>
    <w:p>
      <w:pPr>
        <w:ind w:left="440" w:firstLine="419"/>
        <w:spacing w:after="0" w:line="258"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when (i) the terms of their issuance and sale, and all related matters, have been duly authorized and established by all necessary corporate action and (ii) such shares of Common Stock have been duly delivered to the purchasers thereof upon the payment of the consideration therefor (which consideration is not less than the par value of the Common Stock), will be duly authorized, validly issued, fully paid and non-assessable. The shares of Common Stock covered by the opinion in this paragraph include any shares of Common Stock that may be issued as part of any Units or upon the conversion, exchange, exercise or otherwise pursuant to the terms of any other Securities.</w:t>
      </w:r>
    </w:p>
    <w:p>
      <w:pPr>
        <w:spacing w:after="0" w:line="75" w:lineRule="exact"/>
        <w:rPr>
          <w:rFonts w:ascii="Times New Roman" w:cs="Times New Roman" w:eastAsia="Times New Roman" w:hAnsi="Times New Roman"/>
          <w:sz w:val="18"/>
          <w:szCs w:val="18"/>
          <w:color w:val="auto"/>
        </w:rPr>
      </w:pPr>
    </w:p>
    <w:p>
      <w:pPr>
        <w:ind w:left="440" w:right="200" w:firstLine="419"/>
        <w:spacing w:after="0" w:line="273" w:lineRule="auto"/>
        <w:tabs>
          <w:tab w:leader="none" w:pos="111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shares of Preferred Stock, when (i) the terms of the series of such shares of Preferred Stock and of their issuance and sale, and all related matters, have been duly authorized and established by all necessary corporate action, (ii) a Certificate of Designations setting forth the powers, designations, preferences, rights, qualifications, limitations and restrictions of the series of such shares of Preferred Stock has been duly filed with the Secretary of State of the State of Delaware, and (iii) such shares of Preferred Stock have been duly delivered to the purchasers thereof upon the payment of the consideration therefor (which consideration is not less than the par value of the Preferred Stock), will be duly authorized, validly issued, fully paid and non-assessable. The shares of Preferred Stock covered by the opinion in this paragraph include any shares of Preferred Stock that may be issued upon the conversion, exchange, exercise or otherwise pursuant to the terms of any other Securities.</w:t>
      </w:r>
    </w:p>
    <w:p>
      <w:pPr>
        <w:spacing w:after="0" w:line="63" w:lineRule="exact"/>
        <w:rPr>
          <w:rFonts w:ascii="Times New Roman" w:cs="Times New Roman" w:eastAsia="Times New Roman" w:hAnsi="Times New Roman"/>
          <w:sz w:val="17"/>
          <w:szCs w:val="17"/>
          <w:color w:val="auto"/>
        </w:rPr>
      </w:pPr>
    </w:p>
    <w:p>
      <w:pPr>
        <w:ind w:left="440" w:right="40" w:firstLine="419"/>
        <w:spacing w:after="0" w:line="254"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Warrants, when (i) the terms of such Warrants, of any contract governing or establishing the terms of such Warrants and of the issuance and sale of such Warrants, and all related matters including the issuance and sale of the Common Stock, Preferred Stock or Debt Securities issuable upon exercise of such Warrants, have been duly authorized and established by all necessary corporate action, (ii) any contract governing or establishing the terms of the Warrants has been duly authorized, executed and delivered by the Corporation, (iii) if such Warrants are exercisable for Common Stock, the actions described in paragraph (1) above have been taken, (iv) if such Warrants are exercisable for Preferred Stock, the actions described in paragraph (2) above have been taken, (v) if such Warrants are exercisable for Debt Securities, the actions described in paragraph (4) below have been taken, and (vi) such Warrants have been duly executed by the Corporation and countersigned in accordance with the terms of any contract governing or establishing the terms of such Warrants and duly delivered to the purchasers thereof upon the payment of the consideration</w:t>
      </w:r>
    </w:p>
    <w:p>
      <w:pPr>
        <w:sectPr>
          <w:pgSz w:w="11900" w:h="16838" w:orient="portrait"/>
          <w:cols w:equalWidth="0" w:num="1">
            <w:col w:w="11020"/>
          </w:cols>
          <w:pgMar w:left="440" w:top="270"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therefor, will constitute valid and binding obligations of the Corporation enforceable against the Corporation in accordance with their terms, subject, as to the enforcement of remedies, to bankruptcy, insolvency, reorganization, moratorium and similar laws affecting the rights and remedies of creditors generally and to the effect of general principles of equity. The Warrants covered by the opinion in this paragraph include any Warrants that may be issued pursuant to the terms of any other Securities.</w:t>
      </w:r>
    </w:p>
    <w:p>
      <w:pPr>
        <w:spacing w:after="0" w:line="72" w:lineRule="exact"/>
        <w:rPr>
          <w:sz w:val="20"/>
          <w:szCs w:val="20"/>
          <w:color w:val="auto"/>
        </w:rPr>
      </w:pPr>
    </w:p>
    <w:p>
      <w:pPr>
        <w:ind w:left="1120" w:hanging="261"/>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Securities, when (i) any supplemental indenture setting forth the terms of such series of Debt Securities has been duly</w:t>
      </w:r>
    </w:p>
    <w:p>
      <w:pPr>
        <w:spacing w:after="0" w:line="27"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executed and delivered by the Corporation, (ii) the terms of such series of Debt Securities and of their issuance and sale, and all related matters, have been duly authorized and established by all necessary corporate action in accordance with the Indenture, and (iii) such Debt Securities have been duly executed by the Corporation and authenticated in accordance with the terms of the Indenture (and any applicable supplemental indenture) and duly delivered to the purchasers thereof upon the payment of the consideration therefor, will constitute valid and binding obligations of the Corporation enforceable against the Corporation in accordance with their terms, subject, as to the enforcement of remedies, to bankruptcy, insolvency, reorganization, moratorium and similar laws affecting the rights and remedies of creditors generally and to the effect of general principles of equity. The Debt Securities covered by the opinion in this paragraph include any Debt Securities that may be issued pursuant to the terms of any other Securities.</w:t>
      </w:r>
    </w:p>
    <w:p>
      <w:pPr>
        <w:spacing w:after="0" w:line="19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limited in all respects to the federal laws of the United States of America, the laws of the State of New York and the General Corporation Law of the State of Delaware, and no opinion is expressed with respect to the laws of any other jurisdiction or any effect that such laws may have on the opinions expressed herein. This opinion is limited to the matters stated herein, and no opinion is implied or may be inferred beyond the matters expressly stated herein.</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for the benefit of the Corporation in connection with the matters addressed herein.</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to the reference to us under the caption “Legal Matters” in the Prospectus that forms a part thereof. In giving such consent, we do not admit that we are in the category of persons whose consent is required under Section 7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King &amp; Spalding LLP</w:t>
      </w:r>
    </w:p>
    <w:p>
      <w:pPr>
        <w:sectPr>
          <w:pgSz w:w="11900" w:h="16838" w:orient="portrait"/>
          <w:cols w:equalWidth="0" w:num="1">
            <w:col w:w="11000"/>
          </w:cols>
          <w:pgMar w:left="440" w:top="270" w:right="4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General Motors Company for the registration of debt securities, preferred stock, common stock and warrants and to the incorporation by reference therein of our reports dated February 2, 2022, with respect to the consolidated financial statements of General Motors Company and subsidiaries, and the effectiveness of internal control over financial reporting of General Motors Company and subsidiaries, included in its Annual Report (Form 10-K) for the year ended December 31, 2021,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2022</w:t>
      </w:r>
    </w:p>
    <w:p>
      <w:pPr>
        <w:sectPr>
          <w:pgSz w:w="11900" w:h="16838" w:orient="portrait"/>
          <w:cols w:equalWidth="0" w:num="1">
            <w:col w:w="11020"/>
          </w:cols>
          <w:pgMar w:left="440" w:top="117" w:right="439" w:bottom="1440" w:gutter="0" w:footer="0" w:header="0"/>
        </w:sectPr>
      </w:pPr>
    </w:p>
    <w:bookmarkStart w:id="38" w:name="page39"/>
    <w:bookmarkEnd w:id="38"/>
    <w:p>
      <w:pPr>
        <w:ind w:left="1008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117" w:right="4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Craig B. Glidden, Christopher T. Hatto, John S. Kim, and Vince Greene, and each of them, my true and lawful attorneys-in-fact and agents, with full power of substitution and resubstitution, for me and in my name, place and stead, in any and all capacities (including my capacity as a director of GM), to sign: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3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28"/>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Registration</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S-3</w:t>
            </w:r>
          </w:p>
        </w:tc>
        <w:tc>
          <w:tcPr>
            <w:tcW w:w="158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9"/>
              </w:rPr>
              <w:t>Universal</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Shelf Registration Statement</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 on Form S-3,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power of attorney has been executed by the undersigned.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20"/>
          </w:cols>
          <w:pgMar w:left="440" w:top="266" w:right="4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line="246" w:lineRule="auto"/>
        <w:rPr>
          <w:sz w:val="20"/>
          <w:szCs w:val="20"/>
          <w:color w:val="auto"/>
        </w:rPr>
      </w:pPr>
      <w:r>
        <w:rPr>
          <w:rFonts w:ascii="Times New Roman" w:cs="Times New Roman" w:eastAsia="Times New Roman" w:hAnsi="Times New Roman"/>
          <w:sz w:val="22"/>
          <w:szCs w:val="22"/>
          <w:b w:val="1"/>
          <w:bCs w:val="1"/>
          <w:color w:val="auto"/>
        </w:rPr>
        <w:t>STATEMENT OF ELIGIBILITY UNDER THE TRUST INDENTURE ACT OF 1939 OF A CORPORATION DESIGNATED TO ACT AS TRUSTEE</w:t>
      </w:r>
    </w:p>
    <w:p>
      <w:pPr>
        <w:spacing w:after="0" w:line="194" w:lineRule="exact"/>
        <w:rPr>
          <w:sz w:val="20"/>
          <w:szCs w:val="20"/>
          <w:color w:val="auto"/>
        </w:rPr>
      </w:pPr>
    </w:p>
    <w:p>
      <w:pPr>
        <w:ind w:left="424" w:right="180" w:hanging="424"/>
        <w:spacing w:after="0" w:line="262" w:lineRule="auto"/>
        <w:tabs>
          <w:tab w:leader="none" w:pos="424" w:val="left"/>
        </w:tabs>
        <w:numPr>
          <w:ilvl w:val="0"/>
          <w:numId w:val="3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BANK OF NEW YORK MELLON</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8"/>
                <w:szCs w:val="18"/>
                <w:b w:val="1"/>
                <w:bCs w:val="1"/>
                <w:color w:val="auto"/>
              </w:rPr>
              <w:t>13-5160382</w:t>
            </w:r>
          </w:p>
        </w:tc>
      </w:tr>
      <w:tr>
        <w:trPr>
          <w:trHeight w:val="148"/>
        </w:trPr>
        <w:tc>
          <w:tcPr>
            <w:tcW w:w="7400" w:type="dxa"/>
            <w:vAlign w:val="bottom"/>
            <w:gridSpan w:val="3"/>
          </w:tcPr>
          <w:p>
            <w:pPr>
              <w:jc w:val="center"/>
              <w:ind w:right="186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3620" w:type="dxa"/>
            <w:vAlign w:val="bottom"/>
          </w:tcPr>
          <w:p>
            <w:pPr>
              <w:jc w:val="center"/>
              <w:ind w:right="16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400" w:type="dxa"/>
            <w:vAlign w:val="bottom"/>
            <w:gridSpan w:val="3"/>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if not a U.S. national bank)</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240 Greenwich Street, New York, N.Y.</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8"/>
                <w:szCs w:val="18"/>
                <w:b w:val="1"/>
                <w:bCs w:val="1"/>
                <w:color w:val="auto"/>
                <w:w w:val="97"/>
              </w:rPr>
              <w:t>10286</w:t>
            </w:r>
          </w:p>
        </w:tc>
      </w:tr>
      <w:tr>
        <w:trPr>
          <w:trHeight w:val="190"/>
        </w:trPr>
        <w:tc>
          <w:tcPr>
            <w:tcW w:w="7400" w:type="dxa"/>
            <w:vAlign w:val="bottom"/>
            <w:gridSpan w:val="3"/>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06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General Motors Company</w:t>
            </w:r>
          </w:p>
        </w:tc>
        <w:tc>
          <w:tcPr>
            <w:tcW w:w="3620" w:type="dxa"/>
            <w:vAlign w:val="bottom"/>
          </w:tcPr>
          <w:p>
            <w:pPr>
              <w:spacing w:after="0"/>
              <w:rPr>
                <w:sz w:val="24"/>
                <w:szCs w:val="24"/>
                <w:color w:val="auto"/>
              </w:rPr>
            </w:pPr>
          </w:p>
        </w:tc>
      </w:tr>
      <w:tr>
        <w:trPr>
          <w:trHeight w:val="190"/>
        </w:trPr>
        <w:tc>
          <w:tcPr>
            <w:tcW w:w="7400" w:type="dxa"/>
            <w:vAlign w:val="bottom"/>
            <w:gridSpan w:val="3"/>
          </w:tcPr>
          <w:p>
            <w:pPr>
              <w:jc w:val="center"/>
              <w:ind w:left="3541"/>
              <w:spacing w:after="0"/>
              <w:rPr>
                <w:sz w:val="20"/>
                <w:szCs w:val="20"/>
                <w:color w:val="auto"/>
              </w:rPr>
            </w:pPr>
            <w:r>
              <w:rPr>
                <w:rFonts w:ascii="Times New Roman" w:cs="Times New Roman" w:eastAsia="Times New Roman" w:hAnsi="Times New Roman"/>
                <w:sz w:val="14"/>
                <w:szCs w:val="14"/>
                <w:b w:val="1"/>
                <w:bCs w:val="1"/>
                <w:color w:val="auto"/>
              </w:rPr>
              <w:t>(Exact name of obligor as specified in its charter)</w:t>
            </w:r>
          </w:p>
        </w:tc>
        <w:tc>
          <w:tcPr>
            <w:tcW w:w="3620" w:type="dxa"/>
            <w:vAlign w:val="bottom"/>
          </w:tcPr>
          <w:p>
            <w:pPr>
              <w:spacing w:after="0"/>
              <w:rPr>
                <w:sz w:val="16"/>
                <w:szCs w:val="16"/>
                <w:color w:val="auto"/>
              </w:rPr>
            </w:pP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68"/>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8"/>
                <w:szCs w:val="18"/>
                <w:b w:val="1"/>
                <w:bCs w:val="1"/>
                <w:color w:val="auto"/>
              </w:rPr>
              <w:t>27-0756180</w:t>
            </w:r>
          </w:p>
        </w:tc>
      </w:tr>
      <w:tr>
        <w:trPr>
          <w:trHeight w:val="148"/>
        </w:trPr>
        <w:tc>
          <w:tcPr>
            <w:tcW w:w="7400" w:type="dxa"/>
            <w:vAlign w:val="bottom"/>
            <w:gridSpan w:val="3"/>
          </w:tcPr>
          <w:p>
            <w:pPr>
              <w:jc w:val="center"/>
              <w:ind w:right="18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20" w:type="dxa"/>
            <w:vAlign w:val="bottom"/>
          </w:tcPr>
          <w:p>
            <w:pPr>
              <w:jc w:val="center"/>
              <w:ind w:right="16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300 Renaissance Center</w:t>
            </w:r>
          </w:p>
        </w:tc>
        <w:tc>
          <w:tcPr>
            <w:tcW w:w="3620" w:type="dxa"/>
            <w:vAlign w:val="bottom"/>
          </w:tcPr>
          <w:p>
            <w:pPr>
              <w:spacing w:after="0"/>
              <w:rPr>
                <w:sz w:val="24"/>
                <w:szCs w:val="24"/>
                <w:color w:val="auto"/>
              </w:rPr>
            </w:pPr>
          </w:p>
        </w:tc>
      </w:tr>
      <w:tr>
        <w:trPr>
          <w:trHeight w:val="227"/>
        </w:trPr>
        <w:tc>
          <w:tcPr>
            <w:tcW w:w="740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Detroit, Michigan</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8"/>
                <w:szCs w:val="18"/>
                <w:b w:val="1"/>
                <w:bCs w:val="1"/>
                <w:color w:val="auto"/>
              </w:rPr>
              <w:t>48265-3000</w:t>
            </w:r>
          </w:p>
        </w:tc>
      </w:tr>
      <w:tr>
        <w:trPr>
          <w:trHeight w:val="190"/>
        </w:trPr>
        <w:tc>
          <w:tcPr>
            <w:tcW w:w="7400" w:type="dxa"/>
            <w:vAlign w:val="bottom"/>
            <w:gridSpan w:val="3"/>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20" w:type="dxa"/>
            <w:vAlign w:val="bottom"/>
          </w:tcPr>
          <w:p>
            <w:pPr>
              <w:jc w:val="center"/>
              <w:ind w:right="16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306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c>
          <w:tcPr>
            <w:tcW w:w="3620" w:type="dxa"/>
            <w:vAlign w:val="bottom"/>
          </w:tcPr>
          <w:p>
            <w:pPr>
              <w:spacing w:after="0"/>
              <w:rPr>
                <w:sz w:val="24"/>
                <w:szCs w:val="24"/>
                <w:color w:val="auto"/>
              </w:rPr>
            </w:pPr>
          </w:p>
        </w:tc>
      </w:tr>
      <w:tr>
        <w:trPr>
          <w:trHeight w:val="190"/>
        </w:trPr>
        <w:tc>
          <w:tcPr>
            <w:tcW w:w="4340" w:type="dxa"/>
            <w:vAlign w:val="bottom"/>
          </w:tcPr>
          <w:p>
            <w:pPr>
              <w:spacing w:after="0"/>
              <w:rPr>
                <w:sz w:val="16"/>
                <w:szCs w:val="16"/>
                <w:color w:val="auto"/>
              </w:rPr>
            </w:pPr>
          </w:p>
        </w:tc>
        <w:tc>
          <w:tcPr>
            <w:tcW w:w="30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c>
          <w:tcPr>
            <w:tcW w:w="3620" w:type="dxa"/>
            <w:vAlign w:val="bottom"/>
          </w:tcPr>
          <w:p>
            <w:pPr>
              <w:spacing w:after="0"/>
              <w:rPr>
                <w:sz w:val="16"/>
                <w:szCs w:val="16"/>
                <w:color w:val="auto"/>
              </w:rPr>
            </w:pPr>
          </w:p>
        </w:tc>
      </w:tr>
      <w:tr>
        <w:trPr>
          <w:trHeight w:val="226"/>
        </w:trPr>
        <w:tc>
          <w:tcPr>
            <w:tcW w:w="4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17" w:right="439" w:bottom="1440" w:gutter="0" w:footer="0" w:header="0"/>
        </w:sectPr>
      </w:pPr>
    </w:p>
    <w:bookmarkStart w:id="51" w:name="page52"/>
    <w:bookmarkEnd w:id="51"/>
    <w:p>
      <w:pPr>
        <w:ind w:left="424" w:hanging="424"/>
        <w:spacing w:after="0"/>
        <w:tabs>
          <w:tab w:leader="none" w:pos="4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information. Furnish the following information as to the Trustee:</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Name and address of each examining or supervising authority to which it is subject.</w:t>
      </w:r>
    </w:p>
    <w:p>
      <w:pPr>
        <w:sectPr>
          <w:pgSz w:w="11900" w:h="16838" w:orient="portrait"/>
          <w:cols w:equalWidth="0" w:num="1">
            <w:col w:w="10964"/>
          </w:cols>
          <w:pgMar w:left="436" w:top="266" w:right="499" w:bottom="1440" w:gutter="0" w:footer="0" w:header="0"/>
        </w:sectPr>
      </w:pP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u w:val="single" w:color="auto"/>
          <w:color w:val="auto"/>
        </w:rPr>
        <w:t>Name</w:t>
      </w:r>
    </w:p>
    <w:p>
      <w:pPr>
        <w:spacing w:after="0" w:line="25"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Superintendent of the Department of Financial Services of the State of New York</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43287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 Street, New York, 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10004-1417, and Albany,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12223</w:t>
      </w:r>
    </w:p>
    <w:p>
      <w:pPr>
        <w:spacing w:after="0" w:line="112" w:lineRule="exact"/>
        <w:rPr>
          <w:sz w:val="20"/>
          <w:szCs w:val="20"/>
          <w:color w:val="auto"/>
        </w:rPr>
      </w:pPr>
    </w:p>
    <w:p>
      <w:pPr>
        <w:sectPr>
          <w:pgSz w:w="11900" w:h="16838" w:orient="portrait"/>
          <w:cols w:equalWidth="0" w:num="2">
            <w:col w:w="4004" w:space="200"/>
            <w:col w:w="6760"/>
          </w:cols>
          <w:pgMar w:left="436" w:top="266" w:right="499" w:bottom="1440" w:gutter="0" w:footer="0" w:header="0"/>
          <w:type w:val="continuous"/>
        </w:sectPr>
      </w:pPr>
    </w:p>
    <w:p>
      <w:pPr>
        <w:ind w:left="4"/>
        <w:spacing w:after="0"/>
        <w:tabs>
          <w:tab w:leader="none" w:pos="4184" w:val="left"/>
        </w:tabs>
        <w:rPr>
          <w:sz w:val="20"/>
          <w:szCs w:val="20"/>
          <w:color w:val="auto"/>
        </w:rPr>
      </w:pPr>
      <w:r>
        <w:rPr>
          <w:rFonts w:ascii="Times New Roman" w:cs="Times New Roman" w:eastAsia="Times New Roman" w:hAnsi="Times New Roman"/>
          <w:sz w:val="18"/>
          <w:szCs w:val="18"/>
          <w:color w:val="auto"/>
        </w:rPr>
        <w:t>Federal Reserve Bank of New York</w:t>
      </w:r>
      <w:r>
        <w:rPr>
          <w:sz w:val="20"/>
          <w:szCs w:val="20"/>
          <w:color w:val="auto"/>
        </w:rPr>
        <w:tab/>
      </w:r>
      <w:r>
        <w:rPr>
          <w:rFonts w:ascii="Times New Roman" w:cs="Times New Roman" w:eastAsia="Times New Roman" w:hAnsi="Times New Roman"/>
          <w:sz w:val="17"/>
          <w:szCs w:val="17"/>
          <w:color w:val="auto"/>
        </w:rPr>
        <w:t>33 Liberty Street, New York, N.Y.</w:t>
      </w:r>
    </w:p>
    <w:p>
      <w:pPr>
        <w:spacing w:after="0" w:line="27" w:lineRule="exact"/>
        <w:rPr>
          <w:sz w:val="20"/>
          <w:szCs w:val="20"/>
          <w:color w:val="auto"/>
        </w:rPr>
      </w:pPr>
    </w:p>
    <w:p>
      <w:pPr>
        <w:ind w:left="4204"/>
        <w:spacing w:after="0"/>
        <w:rPr>
          <w:sz w:val="20"/>
          <w:szCs w:val="20"/>
          <w:color w:val="auto"/>
        </w:rPr>
      </w:pPr>
      <w:r>
        <w:rPr>
          <w:rFonts w:ascii="Times New Roman" w:cs="Times New Roman" w:eastAsia="Times New Roman" w:hAnsi="Times New Roman"/>
          <w:sz w:val="18"/>
          <w:szCs w:val="18"/>
          <w:color w:val="auto"/>
        </w:rPr>
        <w:t>10045</w:t>
      </w:r>
    </w:p>
    <w:p>
      <w:pPr>
        <w:spacing w:after="0" w:line="61" w:lineRule="exact"/>
        <w:rPr>
          <w:sz w:val="20"/>
          <w:szCs w:val="20"/>
          <w:color w:val="auto"/>
        </w:rPr>
      </w:pPr>
    </w:p>
    <w:p>
      <w:pPr>
        <w:ind w:left="4"/>
        <w:spacing w:after="0"/>
        <w:tabs>
          <w:tab w:leader="none" w:pos="4184" w:val="left"/>
        </w:tabs>
        <w:rPr>
          <w:sz w:val="20"/>
          <w:szCs w:val="20"/>
          <w:color w:val="auto"/>
        </w:rPr>
      </w:pPr>
      <w:r>
        <w:rPr>
          <w:rFonts w:ascii="Times New Roman" w:cs="Times New Roman" w:eastAsia="Times New Roman" w:hAnsi="Times New Roman"/>
          <w:sz w:val="18"/>
          <w:szCs w:val="18"/>
          <w:color w:val="auto"/>
        </w:rPr>
        <w:t>Federal Deposit Insurance Corporation</w:t>
      </w:r>
      <w:r>
        <w:rPr>
          <w:sz w:val="20"/>
          <w:szCs w:val="20"/>
          <w:color w:val="auto"/>
        </w:rPr>
        <w:tab/>
      </w:r>
      <w:r>
        <w:rPr>
          <w:rFonts w:ascii="Times New Roman" w:cs="Times New Roman" w:eastAsia="Times New Roman" w:hAnsi="Times New Roman"/>
          <w:sz w:val="17"/>
          <w:szCs w:val="17"/>
          <w:color w:val="auto"/>
        </w:rPr>
        <w:t>550 17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Street, NW</w:t>
      </w:r>
    </w:p>
    <w:p>
      <w:pPr>
        <w:ind w:left="4204"/>
        <w:spacing w:after="0"/>
        <w:rPr>
          <w:sz w:val="20"/>
          <w:szCs w:val="20"/>
          <w:color w:val="auto"/>
        </w:rPr>
      </w:pPr>
      <w:r>
        <w:rPr>
          <w:rFonts w:ascii="Times New Roman" w:cs="Times New Roman" w:eastAsia="Times New Roman" w:hAnsi="Times New Roman"/>
          <w:sz w:val="18"/>
          <w:szCs w:val="18"/>
          <w:color w:val="auto"/>
        </w:rPr>
        <w:t>Washington, D.C. 20429</w:t>
      </w:r>
    </w:p>
    <w:p>
      <w:pPr>
        <w:spacing w:after="0" w:line="111" w:lineRule="exact"/>
        <w:rPr>
          <w:sz w:val="20"/>
          <w:szCs w:val="20"/>
          <w:color w:val="auto"/>
        </w:rPr>
      </w:pPr>
    </w:p>
    <w:p>
      <w:pPr>
        <w:ind w:left="4"/>
        <w:spacing w:after="0"/>
        <w:tabs>
          <w:tab w:leader="none" w:pos="4184" w:val="left"/>
        </w:tabs>
        <w:rPr>
          <w:sz w:val="20"/>
          <w:szCs w:val="20"/>
          <w:color w:val="auto"/>
        </w:rPr>
      </w:pPr>
      <w:r>
        <w:rPr>
          <w:rFonts w:ascii="Times New Roman" w:cs="Times New Roman" w:eastAsia="Times New Roman" w:hAnsi="Times New Roman"/>
          <w:sz w:val="18"/>
          <w:szCs w:val="18"/>
          <w:color w:val="auto"/>
        </w:rPr>
        <w:t>The Clearing House Association L.L.C.</w:t>
      </w:r>
      <w:r>
        <w:rPr>
          <w:sz w:val="20"/>
          <w:szCs w:val="20"/>
          <w:color w:val="auto"/>
        </w:rPr>
        <w:tab/>
      </w:r>
      <w:r>
        <w:rPr>
          <w:rFonts w:ascii="Times New Roman" w:cs="Times New Roman" w:eastAsia="Times New Roman" w:hAnsi="Times New Roman"/>
          <w:sz w:val="17"/>
          <w:szCs w:val="17"/>
          <w:color w:val="auto"/>
        </w:rPr>
        <w:t>100 Broad Street</w:t>
      </w:r>
    </w:p>
    <w:p>
      <w:pPr>
        <w:spacing w:after="0" w:line="27" w:lineRule="exact"/>
        <w:rPr>
          <w:sz w:val="20"/>
          <w:szCs w:val="20"/>
          <w:color w:val="auto"/>
        </w:rPr>
      </w:pPr>
    </w:p>
    <w:p>
      <w:pPr>
        <w:ind w:left="4204"/>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122" w:lineRule="exact"/>
        <w:rPr>
          <w:sz w:val="20"/>
          <w:szCs w:val="20"/>
          <w:color w:val="auto"/>
        </w:rPr>
      </w:pPr>
    </w:p>
    <w:p>
      <w:pPr>
        <w:ind w:left="964" w:hanging="532"/>
        <w:spacing w:after="0"/>
        <w:tabs>
          <w:tab w:leader="none" w:pos="96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it is authorized to exercise corporate trust powers.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Yes.</w:t>
      </w:r>
    </w:p>
    <w:p>
      <w:pPr>
        <w:spacing w:after="0" w:line="127" w:lineRule="exact"/>
        <w:rPr>
          <w:sz w:val="20"/>
          <w:szCs w:val="20"/>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Affiliations with Obligor.</w:t>
      </w:r>
    </w:p>
    <w:p>
      <w:pPr>
        <w:spacing w:after="0" w:line="33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If the obligor is an affiliate of the trustee, describe each such affiliation.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 of Exhibits.</w:t>
      </w:r>
    </w:p>
    <w:p>
      <w:pPr>
        <w:spacing w:after="0" w:line="117" w:lineRule="exact"/>
        <w:rPr>
          <w:rFonts w:ascii="Times New Roman" w:cs="Times New Roman" w:eastAsia="Times New Roman" w:hAnsi="Times New Roman"/>
          <w:sz w:val="18"/>
          <w:szCs w:val="18"/>
          <w:b w:val="1"/>
          <w:bCs w:val="1"/>
          <w:color w:val="auto"/>
        </w:rPr>
      </w:pPr>
    </w:p>
    <w:p>
      <w:pPr>
        <w:ind w:left="44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identified in parentheses below, on file with the Commission, are incorporated herein by reference as an exhibit hereto, pursuant to Rule 7a-29 under the Trust Indenture Act of 1939 (the “Act”).</w:t>
      </w:r>
    </w:p>
    <w:p>
      <w:pPr>
        <w:spacing w:after="0" w:line="64" w:lineRule="exact"/>
        <w:rPr>
          <w:rFonts w:ascii="Times New Roman" w:cs="Times New Roman" w:eastAsia="Times New Roman" w:hAnsi="Times New Roman"/>
          <w:sz w:val="18"/>
          <w:szCs w:val="18"/>
          <w:b w:val="1"/>
          <w:bCs w:val="1"/>
          <w:color w:val="auto"/>
        </w:rPr>
      </w:pPr>
    </w:p>
    <w:p>
      <w:pPr>
        <w:ind w:left="964" w:right="60" w:hanging="532"/>
        <w:spacing w:after="0" w:line="277" w:lineRule="auto"/>
        <w:tabs>
          <w:tab w:leader="none" w:pos="96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100" w:lineRule="exact"/>
        <w:rPr>
          <w:rFonts w:ascii="Times New Roman" w:cs="Times New Roman" w:eastAsia="Times New Roman" w:hAnsi="Times New Roman"/>
          <w:sz w:val="17"/>
          <w:szCs w:val="17"/>
          <w:color w:val="auto"/>
        </w:rPr>
      </w:pPr>
    </w:p>
    <w:p>
      <w:pPr>
        <w:ind w:left="5464" w:hanging="106"/>
        <w:spacing w:after="0"/>
        <w:tabs>
          <w:tab w:leader="none" w:pos="546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64"/>
          </w:cols>
          <w:pgMar w:left="436" w:top="266" w:right="499" w:bottom="1440" w:gutter="0" w:footer="0" w:header="0"/>
          <w:type w:val="continuous"/>
        </w:sectPr>
      </w:pPr>
    </w:p>
    <w:bookmarkStart w:id="52" w:name="page53"/>
    <w:bookmarkEnd w:id="52"/>
    <w:p>
      <w:pPr>
        <w:ind w:left="532" w:hanging="532"/>
        <w:spacing w:after="0"/>
        <w:tabs>
          <w:tab w:leader="none" w:pos="5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the existing By-laws of the Trustee (Exhibit 4 to Form T-1 filed with Registration Statement No. 333-261533).</w:t>
      </w:r>
    </w:p>
    <w:p>
      <w:pPr>
        <w:spacing w:after="0" w:line="131" w:lineRule="exact"/>
        <w:rPr>
          <w:sz w:val="20"/>
          <w:szCs w:val="20"/>
          <w:color w:val="auto"/>
        </w:rPr>
      </w:pPr>
    </w:p>
    <w:p>
      <w:pPr>
        <w:ind w:left="532" w:right="900" w:hanging="532"/>
        <w:spacing w:after="0" w:line="282" w:lineRule="auto"/>
        <w:tabs>
          <w:tab w:leader="none" w:pos="5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Act (Exhibit 6 to Form T-1 filed with Registration Statement No. 333-229519).</w:t>
      </w:r>
    </w:p>
    <w:p>
      <w:pPr>
        <w:spacing w:after="0" w:line="67" w:lineRule="exact"/>
        <w:rPr>
          <w:rFonts w:ascii="Times New Roman" w:cs="Times New Roman" w:eastAsia="Times New Roman" w:hAnsi="Times New Roman"/>
          <w:sz w:val="18"/>
          <w:szCs w:val="18"/>
          <w:color w:val="auto"/>
        </w:rPr>
      </w:pPr>
    </w:p>
    <w:p>
      <w:pPr>
        <w:ind w:left="532" w:hanging="532"/>
        <w:spacing w:after="0" w:line="282" w:lineRule="auto"/>
        <w:tabs>
          <w:tab w:leader="none" w:pos="5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pacing w:after="0" w:line="94" w:lineRule="exact"/>
        <w:rPr>
          <w:rFonts w:ascii="Times New Roman" w:cs="Times New Roman" w:eastAsia="Times New Roman" w:hAnsi="Times New Roman"/>
          <w:sz w:val="18"/>
          <w:szCs w:val="18"/>
          <w:color w:val="auto"/>
        </w:rPr>
      </w:pPr>
    </w:p>
    <w:p>
      <w:pPr>
        <w:ind w:left="5032" w:hanging="106"/>
        <w:spacing w:after="0"/>
        <w:tabs>
          <w:tab w:leader="none" w:pos="503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192"/>
          </w:cols>
          <w:pgMar w:left="868" w:top="270" w:right="8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Woodland Park, and State of New Jersey, on the 18th day of October, 2022.</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Latoya S. Elvin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Latoya S. Elvin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20"/>
          </w:cols>
          <w:pgMar w:left="440" w:top="270" w:right="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240 Greenwich Street, New York, N.Y. 10286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Foreign and Domestic Subsidiaries,</w:t>
      </w:r>
    </w:p>
    <w:p>
      <w:pPr>
        <w:spacing w:after="0" w:line="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 member of the Federal Reserve System, at the close of business June 30, 2022, published in accordance with a call made by the Federal Reserve Bank of this District pursuant to the provisions of the Federal Reserve Act.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0" w:type="dxa"/>
            <w:vAlign w:val="bottom"/>
          </w:tcPr>
          <w:p>
            <w:pPr>
              <w:spacing w:after="0"/>
              <w:rPr>
                <w:sz w:val="13"/>
                <w:szCs w:val="13"/>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Dollar</w:t>
            </w:r>
          </w:p>
        </w:tc>
      </w:tr>
      <w:tr>
        <w:trPr>
          <w:trHeight w:val="148"/>
        </w:trPr>
        <w:tc>
          <w:tcPr>
            <w:tcW w:w="1000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amounts in</w:t>
            </w:r>
          </w:p>
        </w:tc>
      </w:tr>
      <w:tr>
        <w:trPr>
          <w:trHeight w:val="185"/>
        </w:trPr>
        <w:tc>
          <w:tcPr>
            <w:tcW w:w="1000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thousands</w:t>
            </w: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4,443,000</w:t>
            </w:r>
          </w:p>
        </w:tc>
        <w:tc>
          <w:tcPr>
            <w:tcW w:w="40" w:type="dxa"/>
            <w:vAlign w:val="bottom"/>
            <w:shd w:val="clear" w:color="auto" w:fill="CCEEFF"/>
          </w:tcPr>
          <w:p>
            <w:pPr>
              <w:spacing w:after="0"/>
              <w:rPr>
                <w:sz w:val="18"/>
                <w:szCs w:val="18"/>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balances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135,521,000</w:t>
            </w:r>
          </w:p>
        </w:tc>
        <w:tc>
          <w:tcPr>
            <w:tcW w:w="4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59,564,000</w:t>
            </w: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90,719,000</w:t>
            </w: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 with readily determinable fair values not held for trading</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 sold in domestic offices</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5,183,000</w:t>
            </w:r>
          </w:p>
        </w:tc>
        <w:tc>
          <w:tcPr>
            <w:tcW w:w="4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32,371,000</w:t>
            </w: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Allowance for loan and lease losses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165,000</w:t>
            </w:r>
          </w:p>
        </w:tc>
        <w:tc>
          <w:tcPr>
            <w:tcW w:w="40" w:type="dxa"/>
            <w:vAlign w:val="bottom"/>
            <w:shd w:val="clear" w:color="auto" w:fill="CCEEFF"/>
          </w:tcPr>
          <w:p>
            <w:pPr>
              <w:spacing w:after="0"/>
              <w:rPr>
                <w:sz w:val="18"/>
                <w:szCs w:val="18"/>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 net of allowance</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32,206,000</w:t>
            </w: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7,719,000</w:t>
            </w:r>
          </w:p>
        </w:tc>
        <w:tc>
          <w:tcPr>
            <w:tcW w:w="4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2,872,000</w:t>
            </w:r>
          </w:p>
        </w:tc>
        <w:tc>
          <w:tcPr>
            <w:tcW w:w="4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1,360,000</w:t>
            </w:r>
          </w:p>
        </w:tc>
        <w:tc>
          <w:tcPr>
            <w:tcW w:w="4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6,956,000</w:t>
            </w:r>
          </w:p>
        </w:tc>
        <w:tc>
          <w:tcPr>
            <w:tcW w:w="4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18,554,000</w:t>
            </w: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365,102,000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domestic offices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213,698,000</w:t>
            </w: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Noninterest-bearing</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104,281,000</w:t>
            </w: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109,417,000</w:t>
            </w: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 foreign offices, Edge and Agreement subsidiaries, and IBFs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110,165,000</w:t>
            </w: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Noninterest-bearing</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5,684,000</w:t>
            </w: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104,481,000</w:t>
            </w: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 purchased in domestic offices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3,796,000</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2,435,000</w:t>
            </w:r>
          </w:p>
        </w:tc>
      </w:tr>
      <w:tr>
        <w:trPr>
          <w:trHeight w:val="198"/>
        </w:trPr>
        <w:tc>
          <w:tcPr>
            <w:tcW w:w="10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borrowed money:</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(includes mortgage indebtedness and obligations under capitalized leases)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520,000</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8,229,000</w:t>
            </w: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338,843,000</w:t>
            </w:r>
          </w:p>
        </w:tc>
        <w:tc>
          <w:tcPr>
            <w:tcW w:w="60" w:type="dxa"/>
            <w:vAlign w:val="bottom"/>
          </w:tcPr>
          <w:p>
            <w:pPr>
              <w:spacing w:after="0"/>
              <w:rPr>
                <w:sz w:val="19"/>
                <w:szCs w:val="19"/>
                <w:color w:val="auto"/>
              </w:rPr>
            </w:pPr>
          </w:p>
        </w:tc>
      </w:tr>
      <w:tr>
        <w:trPr>
          <w:trHeight w:val="20"/>
        </w:trPr>
        <w:tc>
          <w:tcPr>
            <w:tcW w:w="10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CAPITAL</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1,135,000</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11,872,000</w:t>
            </w: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16,885,000</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-3,633,000</w:t>
            </w: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Total bank equity capital</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26,259,000</w:t>
            </w: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26,259,000</w:t>
            </w:r>
          </w:p>
        </w:tc>
        <w:tc>
          <w:tcPr>
            <w:tcW w:w="60" w:type="dxa"/>
            <w:vAlign w:val="bottom"/>
          </w:tcPr>
          <w:p>
            <w:pPr>
              <w:spacing w:after="0"/>
              <w:rPr>
                <w:sz w:val="19"/>
                <w:szCs w:val="19"/>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365,102,000</w:t>
            </w:r>
          </w:p>
        </w:tc>
      </w:tr>
      <w:tr>
        <w:trPr>
          <w:trHeight w:val="20"/>
        </w:trPr>
        <w:tc>
          <w:tcPr>
            <w:tcW w:w="10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56" w:name="page57"/>
    <w:bookmarkEnd w:id="56"/>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Emily Portney, Chief Financial Officer of the above-named bank do hereby declare that this Report of Condition is true and correct to the best of my knowledge and belief.</w:t>
      </w:r>
    </w:p>
    <w:p>
      <w:pPr>
        <w:spacing w:after="0" w:line="162"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Emily Portney</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P. Gibbons</w:t>
            </w:r>
          </w:p>
        </w:tc>
        <w:tc>
          <w:tcPr>
            <w:tcW w:w="360" w:type="dxa"/>
            <w:vAlign w:val="bottom"/>
            <w:tcBorders>
              <w:top w:val="single" w:sz="8" w:color="auto"/>
              <w:right w:val="single" w:sz="8" w:color="auto"/>
            </w:tcBorders>
          </w:tcPr>
          <w:p>
            <w:pPr>
              <w:spacing w:after="0"/>
              <w:rPr>
                <w:sz w:val="17"/>
                <w:szCs w:val="17"/>
                <w:color w:val="auto"/>
              </w:rPr>
            </w:pPr>
          </w:p>
        </w:tc>
        <w:tc>
          <w:tcPr>
            <w:tcW w:w="8460" w:type="dxa"/>
            <w:vAlign w:val="bottom"/>
          </w:tcPr>
          <w:p>
            <w:pPr>
              <w:ind w:left="2300"/>
              <w:spacing w:after="0" w:line="198" w:lineRule="exact"/>
              <w:rPr>
                <w:sz w:val="20"/>
                <w:szCs w:val="20"/>
                <w:color w:val="auto"/>
              </w:rPr>
            </w:pPr>
            <w:r>
              <w:rPr>
                <w:rFonts w:ascii="Times New Roman" w:cs="Times New Roman" w:eastAsia="Times New Roman" w:hAnsi="Times New Roman"/>
                <w:sz w:val="18"/>
                <w:szCs w:val="18"/>
                <w:color w:val="auto"/>
              </w:rPr>
              <w:t>Directors</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Frederick O. Terrell</w:t>
            </w:r>
          </w:p>
        </w:tc>
        <w:tc>
          <w:tcPr>
            <w:tcW w:w="360" w:type="dxa"/>
            <w:vAlign w:val="bottom"/>
            <w:tcBorders>
              <w:right w:val="single" w:sz="8" w:color="auto"/>
            </w:tcBorders>
          </w:tcPr>
          <w:p>
            <w:pPr>
              <w:spacing w:after="0"/>
              <w:rPr>
                <w:sz w:val="18"/>
                <w:szCs w:val="18"/>
                <w:color w:val="auto"/>
              </w:rPr>
            </w:pPr>
          </w:p>
        </w:tc>
        <w:tc>
          <w:tcPr>
            <w:tcW w:w="8460" w:type="dxa"/>
            <w:vAlign w:val="bottom"/>
          </w:tcPr>
          <w:p>
            <w:pPr>
              <w:spacing w:after="0"/>
              <w:rPr>
                <w:sz w:val="18"/>
                <w:szCs w:val="18"/>
                <w:color w:val="auto"/>
              </w:rPr>
            </w:pPr>
          </w:p>
        </w:tc>
      </w:tr>
      <w:tr>
        <w:trPr>
          <w:trHeight w:val="24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Joseph J. Echevarria</w:t>
            </w:r>
          </w:p>
        </w:tc>
        <w:tc>
          <w:tcPr>
            <w:tcW w:w="360" w:type="dxa"/>
            <w:vAlign w:val="bottom"/>
            <w:tcBorders>
              <w:bottom w:val="single" w:sz="8" w:color="auto"/>
              <w:right w:val="single" w:sz="8" w:color="auto"/>
            </w:tcBorders>
          </w:tcPr>
          <w:p>
            <w:pPr>
              <w:spacing w:after="0"/>
              <w:rPr>
                <w:sz w:val="20"/>
                <w:szCs w:val="20"/>
                <w:color w:val="auto"/>
              </w:rPr>
            </w:pPr>
          </w:p>
        </w:tc>
        <w:tc>
          <w:tcPr>
            <w:tcW w:w="8460" w:type="dxa"/>
            <w:vAlign w:val="bottom"/>
          </w:tcPr>
          <w:p>
            <w:pPr>
              <w:spacing w:after="0"/>
              <w:rPr>
                <w:sz w:val="20"/>
                <w:szCs w:val="20"/>
                <w:color w:val="auto"/>
              </w:rPr>
            </w:pPr>
          </w:p>
        </w:tc>
      </w:tr>
      <w:tr>
        <w:trPr>
          <w:trHeight w:val="257"/>
        </w:trPr>
        <w:tc>
          <w:tcPr>
            <w:tcW w:w="2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270" w:right="4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u w:val="single" w:color="auto"/>
          <w:color w:val="auto"/>
        </w:rPr>
        <w:t>General Motors Company</w:t>
      </w:r>
    </w:p>
    <w:p>
      <w:pPr>
        <w:spacing w:after="0" w:line="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254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Filing Fee</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Paid in</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26"/>
        </w:trPr>
        <w:tc>
          <w:tcPr>
            <w:tcW w:w="2540" w:type="dxa"/>
            <w:vAlign w:val="bottom"/>
            <w:tcBorders>
              <w:left w:val="single" w:sz="8" w:color="auto"/>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Proposed</w:t>
            </w:r>
          </w:p>
        </w:tc>
        <w:tc>
          <w:tcPr>
            <w:tcW w:w="64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4"/>
              </w:rPr>
              <w:t>Carry</w:t>
            </w: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rPr>
              <w:t>Unsold</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4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or Carry</w:t>
            </w:r>
          </w:p>
        </w:tc>
        <w:tc>
          <w:tcPr>
            <w:tcW w:w="7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4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66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File</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4"/>
        </w:trPr>
        <w:tc>
          <w:tcPr>
            <w:tcW w:w="254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Registered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Forward</w:t>
            </w:r>
          </w:p>
        </w:tc>
        <w:tc>
          <w:tcPr>
            <w:tcW w:w="0" w:type="dxa"/>
            <w:vAlign w:val="bottom"/>
          </w:tcPr>
          <w:p>
            <w:pPr>
              <w:spacing w:after="0"/>
              <w:rPr>
                <w:sz w:val="1"/>
                <w:szCs w:val="1"/>
                <w:color w:val="auto"/>
              </w:rPr>
            </w:pPr>
          </w:p>
        </w:tc>
      </w:tr>
      <w:tr>
        <w:trPr>
          <w:trHeight w:val="233"/>
        </w:trPr>
        <w:tc>
          <w:tcPr>
            <w:tcW w:w="254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center"/>
              <w:ind w:left="216"/>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w:t>
            </w:r>
          </w:p>
        </w:tc>
        <w:tc>
          <w:tcPr>
            <w:tcW w:w="6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456(b)</w:t>
            </w: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vMerge w:val="continue"/>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Debt</w:t>
            </w:r>
          </w:p>
        </w:tc>
        <w:tc>
          <w:tcPr>
            <w:tcW w:w="11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 Rule</w:t>
            </w:r>
          </w:p>
        </w:tc>
        <w:tc>
          <w:tcPr>
            <w:tcW w:w="7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5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5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456(b)</w:t>
            </w: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Preferred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456(b)</w:t>
            </w: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456(b)</w:t>
            </w: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7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5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Previously 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center"/>
              <w:ind w:left="236"/>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6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6"/>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4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4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0" w:hanging="424"/>
        <w:spacing w:after="0" w:line="261"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as may from time to time be issued at indeterminate prices.</w:t>
      </w:r>
    </w:p>
    <w:p>
      <w:pPr>
        <w:ind w:left="424" w:right="600" w:hanging="424"/>
        <w:spacing w:after="0" w:line="255"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reliance on Rule 456(b) and Rule 457(r) under the Securities Act, the registrant hereby defers payment of the registration fee required in connection with this registration statement. Separate consideration may or may not be received for securities that are issuable on exercise, conversion or exchange of other securities.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lowerRoman"/>
      <w:start w:val="1"/>
    </w:lvl>
    <w:lvl w:ilvl="1">
      <w:lvlJc w:val="left"/>
      <w:lvlText w:val="•"/>
      <w:numFmt w:val="bullet"/>
      <w:start w:val="1"/>
    </w:lvl>
  </w:abstractNum>
  <w:abstractNum w:abstractNumId="9">
    <w:nsid w:val="4353D0CD"/>
    <w:multiLevelType w:val="hybridMultilevel"/>
    <w:lvl w:ilvl="0">
      <w:lvlJc w:val="left"/>
      <w:lvlText w:val="(%1)"/>
      <w:numFmt w:val="lowerRoman"/>
      <w:start w:val="2"/>
    </w:lvl>
  </w:abstractNum>
  <w:abstractNum w:abstractNumId="10">
    <w:nsid w:val="B03E0C6"/>
    <w:multiLevelType w:val="hybridMultilevel"/>
    <w:lvl w:ilvl="0">
      <w:lvlJc w:val="left"/>
      <w:lvlText w:val="(%1)"/>
      <w:numFmt w:val="lowerRoman"/>
      <w:start w:val="1"/>
    </w:lvl>
  </w:abstractNum>
  <w:abstractNum w:abstractNumId="11">
    <w:nsid w:val="189A769B"/>
    <w:multiLevelType w:val="hybridMultilevel"/>
    <w:lvl w:ilvl="0">
      <w:lvlJc w:val="left"/>
      <w:lvlText w:val="(%1)"/>
      <w:numFmt w:val="lowerRoman"/>
      <w:start w:val="1"/>
    </w:lvl>
    <w:lvl w:ilvl="1">
      <w:lvlJc w:val="left"/>
      <w:lvlText w:val="•"/>
      <w:numFmt w:val="bullet"/>
      <w:start w:val="1"/>
    </w:lvl>
  </w:abstractNum>
  <w:abstractNum w:abstractNumId="12">
    <w:nsid w:val="54E49EB4"/>
    <w:multiLevelType w:val="hybridMultilevel"/>
    <w:lvl w:ilvl="0">
      <w:lvlJc w:val="left"/>
      <w:lvlText w:val="(%1)"/>
      <w:numFmt w:val="lowerRoman"/>
      <w:start w:val="1"/>
    </w:lvl>
    <w:lvl w:ilvl="1">
      <w:lvlJc w:val="left"/>
      <w:lvlText w:val="•"/>
      <w:numFmt w:val="bullet"/>
      <w:start w:val="1"/>
    </w:lvl>
  </w:abstractNum>
  <w:abstractNum w:abstractNumId="13">
    <w:nsid w:val="71F32454"/>
    <w:multiLevelType w:val="hybridMultilevel"/>
    <w:lvl w:ilvl="0">
      <w:lvlJc w:val="left"/>
      <w:lvlText w:val="(%1)"/>
      <w:numFmt w:val="lowerRoman"/>
      <w:start w:val="1"/>
    </w:lvl>
  </w:abstractNum>
  <w:abstractNum w:abstractNumId="14">
    <w:nsid w:val="2CA88611"/>
    <w:multiLevelType w:val="hybridMultilevel"/>
    <w:lvl w:ilvl="0">
      <w:lvlJc w:val="left"/>
      <w:lvlText w:val="(%1)"/>
      <w:numFmt w:val="lowerRoman"/>
      <w:start w:val="2"/>
    </w:lvl>
  </w:abstractNum>
  <w:abstractNum w:abstractNumId="15">
    <w:nsid w:val="836C40E"/>
    <w:multiLevelType w:val="hybridMultilevel"/>
    <w:lvl w:ilvl="0">
      <w:lvlJc w:val="left"/>
      <w:lvlText w:val="(%1)"/>
      <w:numFmt w:val="lowerRoman"/>
      <w:start w:val="1"/>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1)"/>
      <w:numFmt w:val="lowerRoman"/>
      <w:start w:val="15"/>
    </w:lvl>
  </w:abstractNum>
  <w:abstractNum w:abstractNumId="18">
    <w:nsid w:val="8138641"/>
    <w:multiLevelType w:val="hybridMultilevel"/>
    <w:lvl w:ilvl="0">
      <w:lvlJc w:val="left"/>
      <w:lvlText w:val="(%1)"/>
      <w:numFmt w:val="lowerRoman"/>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07"/>
    </w:lvl>
  </w:abstractNum>
  <w:abstractNum w:abstractNumId="25">
    <w:nsid w:val="3006C83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614FD4A1"/>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1"/>
    </w:lvl>
  </w:abstractNum>
  <w:abstractNum w:abstractNumId="27">
    <w:nsid w:val="419AC241"/>
    <w:multiLevelType w:val="hybridMultilevel"/>
    <w:lvl w:ilvl="0">
      <w:lvlJc w:val="left"/>
      <w:lvlText w:val="(%1)"/>
      <w:numFmt w:val="lowerRoman"/>
      <w:start w:val="2"/>
    </w:lvl>
  </w:abstractNum>
  <w:abstractNum w:abstractNumId="28">
    <w:nsid w:val="5577F8E1"/>
    <w:multiLevelType w:val="hybridMultilevel"/>
    <w:lvl w:ilvl="0">
      <w:lvlJc w:val="left"/>
      <w:lvlText w:val="(%1)"/>
      <w:numFmt w:val="lowerRoman"/>
      <w:start w:val="4"/>
    </w:lvl>
    <w:lvl w:ilvl="1">
      <w:lvlJc w:val="left"/>
      <w:lvlText w:val="(%2)"/>
      <w:numFmt w:val="lowerLetter"/>
      <w:start w:val="2"/>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lowerRoman"/>
      <w:start w:val="2"/>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4"/>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lvl w:ilvl="1">
      <w:lvlJc w:val="left"/>
      <w:lvlText w:val="(%2)"/>
      <w:numFmt w:val="lowerLetter"/>
      <w:start w:val="1"/>
    </w:lvl>
  </w:abstractNum>
  <w:abstractNum w:abstractNumId="35">
    <w:nsid w:val="2463B9EA"/>
    <w:multiLevelType w:val="hybridMultilevel"/>
    <w:lvl w:ilvl="0">
      <w:lvlJc w:val="left"/>
      <w:lvlText w:val="(%1)"/>
      <w:numFmt w:val="lowerLetter"/>
      <w:start w:val="2"/>
    </w:lvl>
  </w:abstractNum>
  <w:abstractNum w:abstractNumId="36">
    <w:nsid w:val="5E884ADC"/>
    <w:multiLevelType w:val="hybridMultilevel"/>
    <w:lvl w:ilvl="0">
      <w:lvlJc w:val="left"/>
      <w:lvlText w:val="%1."/>
      <w:numFmt w:val="decimal"/>
      <w:start w:val="2"/>
    </w:lvl>
  </w:abstractNum>
  <w:abstractNum w:abstractNumId="37">
    <w:nsid w:val="51EAD36B"/>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38">
    <w:nsid w:val="2D517796"/>
    <w:multiLevelType w:val="hybridMultilevel"/>
    <w:lvl w:ilvl="0">
      <w:lvlJc w:val="left"/>
      <w:lvlText w:val="%1."/>
      <w:numFmt w:val="decimal"/>
      <w:start w:val="4"/>
    </w:lvl>
  </w:abstractNum>
  <w:abstractNum w:abstractNumId="39">
    <w:nsid w:val="580BD78F"/>
    <w:multiLevelType w:val="hybridMultilevel"/>
    <w:lvl w:ilvl="0">
      <w:lvlJc w:val="left"/>
      <w:lvlText w:val="%1."/>
      <w:numFmt w:val="decimal"/>
      <w:start w:val="6"/>
    </w:lvl>
    <w:lvl w:ilvl="1">
      <w:lvlJc w:val="left"/>
      <w:lvlText w:val="-"/>
      <w:numFmt w:val="bullet"/>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2"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jpe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24" Type="http://schemas.openxmlformats.org/officeDocument/2006/relationships/hyperlink" Target="http://www.sec.gov/Archives/edgar/data/1467858/000119312522131642/d215687ddef14a.htm" TargetMode="External"/><Relationship Id="rId25" Type="http://schemas.openxmlformats.org/officeDocument/2006/relationships/hyperlink" Target="http://www.sec.gov/ix?doc=/Archives/edgar/data/0001467858/000146785822000078/gm-20220331.htm" TargetMode="External"/><Relationship Id="rId26" Type="http://schemas.openxmlformats.org/officeDocument/2006/relationships/hyperlink" Target="http://www.sec.gov/ix?doc=/Archives/edgar/data/0001467858/000146785822000094/gm-20220630.htm" TargetMode="External"/><Relationship Id="rId27" Type="http://schemas.openxmlformats.org/officeDocument/2006/relationships/hyperlink" Target="http://www.sec.gov/ix?doc=/Archives/edgar/data/0001467858/000146785822000114/gm-20220930.htm" TargetMode="External"/><Relationship Id="rId28" Type="http://schemas.openxmlformats.org/officeDocument/2006/relationships/hyperlink" Target="http://www.sec.gov/ix?doc=/Archives/edgar/data/0001467858/000119312522079473/d333615d8k.htm" TargetMode="External"/><Relationship Id="rId29" Type="http://schemas.openxmlformats.org/officeDocument/2006/relationships/hyperlink" Target="http://www.sec.gov/ix?doc=/Archives/edgar/data/0001467858/000119312522096284/d345200d8k.htm" TargetMode="External"/><Relationship Id="rId30" Type="http://schemas.openxmlformats.org/officeDocument/2006/relationships/hyperlink" Target="http://www.sec.gov/ix?doc=/Archives/edgar/data/0001467858/000119312522133649/d357538d8k.htm" TargetMode="External"/><Relationship Id="rId31" Type="http://schemas.openxmlformats.org/officeDocument/2006/relationships/hyperlink" Target="http://www.sec.gov/ix?doc=/Archives/edgar/data/0001467858/000119312522174774/d333832d8k.htm" TargetMode="External"/><Relationship Id="rId32" Type="http://schemas.openxmlformats.org/officeDocument/2006/relationships/hyperlink" Target="http://www.sec.gov/ix?doc=/Archives/edgar/data/0001467858/000119312522210038/d380927d8k.htm" TargetMode="External"/><Relationship Id="rId33" Type="http://schemas.openxmlformats.org/officeDocument/2006/relationships/hyperlink" Target="http://www.sec.gov/ix?doc=/Archives/edgar/data/0001467858/000119312522221821/d306767d8k.htm" TargetMode="External"/><Relationship Id="rId34" Type="http://schemas.openxmlformats.org/officeDocument/2006/relationships/hyperlink" Target="http://www.sec.gov/ix?doc=/Archives/edgar/data/0001467858/000119312522224666/d372983d8k.htm" TargetMode="External"/><Relationship Id="rId35" Type="http://schemas.openxmlformats.org/officeDocument/2006/relationships/hyperlink" Target="http://www.sec.gov/ix?doc=/Archives/edgar/data/0001467858/000119312522257215/d309439d8k.htm" TargetMode="External"/><Relationship Id="rId36" Type="http://schemas.openxmlformats.org/officeDocument/2006/relationships/hyperlink" Target="http://www.sec.gov/Archives/edgar/data/1467858/000146785820000028/ex-41xdescriptionofsec.htm" TargetMode="External"/><Relationship Id="rId61" Type="http://schemas.openxmlformats.org/officeDocument/2006/relationships/hyperlink" Target="http://www.sec.gov/Archives/edgar/data/1467858/000119312510279214/dex32.htm" TargetMode="External"/><Relationship Id="rId63" Type="http://schemas.openxmlformats.org/officeDocument/2006/relationships/hyperlink" Target="http://www.sec.gov/Archives/edgar/data/1467858/000119312521254010/d132589dex31.htm" TargetMode="External"/><Relationship Id="rId64" Type="http://schemas.openxmlformats.org/officeDocument/2006/relationships/hyperlink" Target="http://www.sec.gov/Archives/edgar/data/1467858/000146785814000133/ex42043014indenture.htm" TargetMode="External"/><Relationship Id="rId65" Type="http://schemas.openxmlformats.org/officeDocument/2006/relationships/hyperlink" Target="http://www.sec.gov/Archives/edgar/data/1467858/000119312522210038/d38092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2022-10-25T14:56:30Z</dcterms:created>
  <dcterms:modified xsi:type="dcterms:W3CDTF">2022-10-25T14:56:30Z</dcterms:modified>
</cp:coreProperties>
</file>