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August 1,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August 1, 2012, General Motors Company (GM) issued a news release announcing July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August 1,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780"/>
          </w:cols>
          <w:pgMar w:left="240" w:top="1013" w:right="8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color w:val="auto"/>
              </w:rPr>
              <w:t>Date: August 6, 2012</w:t>
            </w:r>
          </w:p>
        </w:tc>
        <w:tc>
          <w:tcPr>
            <w:tcW w:w="2220" w:type="dxa"/>
            <w:vAlign w:val="bottom"/>
            <w:vMerge w:val="restart"/>
          </w:tcPr>
          <w:p>
            <w:pPr>
              <w:ind w:left="162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80" w:type="dxa"/>
            <w:vAlign w:val="bottom"/>
            <w:vMerge w:val="continue"/>
          </w:tcPr>
          <w:p>
            <w:pPr>
              <w:spacing w:after="0"/>
              <w:rPr>
                <w:sz w:val="19"/>
                <w:szCs w:val="19"/>
                <w:color w:val="auto"/>
              </w:rPr>
            </w:pPr>
          </w:p>
        </w:tc>
        <w:tc>
          <w:tcPr>
            <w:tcW w:w="22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22860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August 1, 2012,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U.S. Sales Down on Lower Rental Volume</w:t>
      </w:r>
    </w:p>
    <w:p>
      <w:pPr>
        <w:spacing w:after="0" w:line="246"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July U.S. sales of 201,237 vehicles, down 6 percent compared with a</w:t>
      </w:r>
      <w:r>
        <w:rPr>
          <w:rFonts w:ascii="Arial" w:cs="Arial" w:eastAsia="Arial" w:hAnsi="Arial"/>
          <w:sz w:val="20"/>
          <w:szCs w:val="20"/>
          <w:b w:val="1"/>
          <w:bCs w:val="1"/>
          <w:color w:val="auto"/>
        </w:rPr>
        <w:t xml:space="preserve"> </w:t>
      </w:r>
      <w:r>
        <w:rPr>
          <w:rFonts w:ascii="Arial" w:cs="Arial" w:eastAsia="Arial" w:hAnsi="Arial"/>
          <w:sz w:val="20"/>
          <w:szCs w:val="20"/>
          <w:color w:val="auto"/>
        </w:rPr>
        <w:t>year ago. Sales to retail customers declined 3 percent. Sales to rental fleet customers declined 41 percent, in line with the company's previous guidance.</w:t>
      </w:r>
    </w:p>
    <w:p>
      <w:pPr>
        <w:spacing w:after="0" w:line="196"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In July, Cadillac sales were up 21 percent thanks to strong across-the-board results for the CTS, Escalade, SRX and the all-new XTS.</w:t>
      </w:r>
    </w:p>
    <w:p>
      <w:pPr>
        <w:spacing w:after="0" w:line="20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“Cadillac hit a home run and our newest Chevrolets and Buicks are performing very well,” said Kurt McNeil, vice president, U.S. Sales Operations. “Signs of a housing recovery and good news on consumer confidence and household income should help keep the light vehicle selling rate in the 14-million range and drive seasonally higher truck sales as we move toward fall.”</w:t>
      </w:r>
    </w:p>
    <w:p>
      <w:pPr>
        <w:spacing w:after="0" w:line="220"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All of GM newest vehicles performed well in July. Buick Verano sales were 4,235 units and have increased each month since the car launched in December 2011. Chevrolet Sonic sales were 6,278 units and it has been the retail sales leader in its segment since April 2012. In addition, Chevrolet Spark deliveries were 1,460 in its first month on sale.</w:t>
      </w:r>
    </w:p>
    <w:p>
      <w:pPr>
        <w:spacing w:after="0" w:line="206"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GM's combined retail sales of mini- , small, and compact cars were up 41 percent year over year. Retail passenger car sales in total were up 3 percent, crossover sales were up 2 percent and truck sales were down 12 percent.</w:t>
      </w:r>
    </w:p>
    <w:p>
      <w:pPr>
        <w:spacing w:after="0" w:line="202"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Two all-new vehicles - the 2013 Chevrolet Malibu four-cylinder and Cadillac ATS - are now in production. Vehicles launching later this year include the Buick Verano Turbo, Buick Enclave, Chevrolet Malibu Turbo, Chevrolet Traverse and GMC Acadia.</w:t>
      </w:r>
    </w:p>
    <w:p>
      <w:pPr>
        <w:spacing w:after="0" w:line="202" w:lineRule="exact"/>
        <w:rPr>
          <w:sz w:val="20"/>
          <w:szCs w:val="20"/>
          <w:color w:val="auto"/>
        </w:rPr>
      </w:pPr>
    </w:p>
    <w:p>
      <w:pPr>
        <w:ind w:right="280"/>
        <w:spacing w:after="0" w:line="227" w:lineRule="auto"/>
        <w:rPr>
          <w:sz w:val="20"/>
          <w:szCs w:val="20"/>
          <w:color w:val="auto"/>
        </w:rPr>
      </w:pPr>
      <w:r>
        <w:rPr>
          <w:rFonts w:ascii="Arial" w:cs="Arial" w:eastAsia="Arial" w:hAnsi="Arial"/>
          <w:sz w:val="20"/>
          <w:szCs w:val="20"/>
          <w:color w:val="auto"/>
        </w:rPr>
        <w:t>GM said last month that sales to rental customers would be down sharply in July because planned deliveries occurred earlier in the year compared with 2011. GM's commercial fleet sales were up 41 percent, the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consecutive monthly increase. Strong police vehicle deliveries to state and local agencies helped drive a 115 percent increase in government sales. Total fleet sales were down 15 percent.</w:t>
      </w:r>
    </w:p>
    <w:p>
      <w:pPr>
        <w:sectPr>
          <w:pgSz w:w="11900" w:h="16838" w:orient="portrait"/>
          <w:cols w:equalWidth="0" w:num="1">
            <w:col w:w="11420"/>
          </w:cols>
          <w:pgMar w:left="240" w:top="1026" w:right="239" w:bottom="1440" w:gutter="0" w:footer="0" w:header="0"/>
        </w:sectPr>
      </w:pPr>
    </w:p>
    <w:bookmarkStart w:id="5" w:name="page6"/>
    <w:bookmarkEnd w:id="5"/>
    <w:tbl>
      <w:tblPr>
        <w:tblLayout w:type="fixed"/>
        <w:tblInd w:w="350" w:type="dxa"/>
        <w:tblCellMar>
          <w:top w:w="0" w:type="dxa"/>
          <w:left w:w="0" w:type="dxa"/>
          <w:bottom w:w="0" w:type="dxa"/>
          <w:right w:w="0" w:type="dxa"/>
        </w:tblCellMar>
      </w:tblPr>
      <w:tr>
        <w:trPr>
          <w:trHeight w:val="189"/>
        </w:trPr>
        <w:tc>
          <w:tcPr>
            <w:tcW w:w="1520" w:type="dxa"/>
            <w:vAlign w:val="bottom"/>
            <w:tcBorders>
              <w:top w:val="single" w:sz="8" w:color="auto"/>
              <w:lef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2"/>
              </w:rPr>
              <w:t>2012 Highlights</w:t>
            </w:r>
          </w:p>
        </w:tc>
        <w:tc>
          <w:tcPr>
            <w:tcW w:w="12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4"/>
              </w:rPr>
              <w:t>July Total Sales</w:t>
            </w:r>
          </w:p>
        </w:tc>
        <w:tc>
          <w:tcPr>
            <w:tcW w:w="1180" w:type="dxa"/>
            <w:vAlign w:val="bottom"/>
            <w:tcBorders>
              <w:top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1"/>
              </w:rPr>
              <w:t>Total Change vs.</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July Retail</w:t>
            </w:r>
          </w:p>
        </w:tc>
        <w:tc>
          <w:tcPr>
            <w:tcW w:w="118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0"/>
              </w:rPr>
              <w:t>Retail Change vs.</w:t>
            </w:r>
          </w:p>
        </w:tc>
        <w:tc>
          <w:tcPr>
            <w:tcW w:w="108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CYTD Change</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CYTD Retail</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CYTD</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gridSpan w:val="3"/>
            <w:vMerge w:val="continue"/>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gridSpan w:val="2"/>
            <w:vMerge w:val="continue"/>
          </w:tcPr>
          <w:p>
            <w:pPr>
              <w:spacing w:after="0"/>
              <w:rPr>
                <w:sz w:val="12"/>
                <w:szCs w:val="12"/>
                <w:color w:val="auto"/>
              </w:rPr>
            </w:pPr>
          </w:p>
        </w:tc>
        <w:tc>
          <w:tcPr>
            <w:tcW w:w="108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b w:val="1"/>
                <w:bCs w:val="1"/>
                <w:color w:val="auto"/>
              </w:rPr>
              <w:t>CYTD</w:t>
            </w:r>
          </w:p>
        </w:tc>
        <w:tc>
          <w:tcPr>
            <w:tcW w:w="1080" w:type="dxa"/>
            <w:vAlign w:val="bottom"/>
            <w:tcBorders>
              <w:right w:val="single" w:sz="8" w:color="auto"/>
            </w:tcBorders>
            <w:gridSpan w:val="2"/>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Retail Change vs.</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88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1"/>
              </w:rPr>
              <w:t>July 2011</w:t>
            </w:r>
          </w:p>
        </w:tc>
        <w:tc>
          <w:tcPr>
            <w:tcW w:w="3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220" w:type="dxa"/>
            <w:vAlign w:val="bottom"/>
          </w:tcPr>
          <w:p>
            <w:pPr>
              <w:spacing w:after="0"/>
              <w:rPr>
                <w:sz w:val="14"/>
                <w:szCs w:val="14"/>
                <w:color w:val="auto"/>
              </w:rPr>
            </w:pPr>
          </w:p>
        </w:tc>
        <w:tc>
          <w:tcPr>
            <w:tcW w:w="960" w:type="dxa"/>
            <w:vAlign w:val="bottom"/>
            <w:tcBorders>
              <w:right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July 2011</w:t>
            </w:r>
          </w:p>
        </w:tc>
        <w:tc>
          <w:tcPr>
            <w:tcW w:w="10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Sales</w:t>
            </w:r>
          </w:p>
        </w:tc>
        <w:tc>
          <w:tcPr>
            <w:tcW w:w="10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8"/>
              </w:rPr>
              <w:t>vs. 2011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48"/>
        </w:trPr>
        <w:tc>
          <w:tcPr>
            <w:tcW w:w="152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3"/>
              </w:rPr>
              <w:t>Chevrolet</w:t>
            </w:r>
          </w:p>
        </w:tc>
        <w:tc>
          <w:tcPr>
            <w:tcW w:w="1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138,942</w:t>
            </w:r>
          </w:p>
        </w:tc>
        <w:tc>
          <w:tcPr>
            <w:tcW w:w="88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6"/>
              </w:rPr>
              <w:t>(6.8)%</w:t>
            </w:r>
          </w:p>
        </w:tc>
        <w:tc>
          <w:tcPr>
            <w:tcW w:w="3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99,690</w:t>
            </w: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2"/>
              </w:rPr>
              <w:t>(5.4)%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1,100,604</w:t>
            </w:r>
          </w:p>
        </w:tc>
        <w:tc>
          <w:tcPr>
            <w:tcW w:w="10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3"/>
              </w:rPr>
              <w:t>4.5%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738,505</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7"/>
              </w:rPr>
              <w:t>GMC</w:t>
            </w:r>
          </w:p>
        </w:tc>
        <w:tc>
          <w:tcPr>
            <w:tcW w:w="1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34,487</w:t>
            </w:r>
          </w:p>
        </w:tc>
        <w:tc>
          <w:tcPr>
            <w:tcW w:w="88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27,560</w:t>
            </w: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2"/>
              </w:rPr>
              <w:t>(5.6)%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235,528</w:t>
            </w:r>
          </w:p>
        </w:tc>
        <w:tc>
          <w:tcPr>
            <w:tcW w:w="10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3"/>
              </w:rPr>
              <w:t>4.5%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194,331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1.6%</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tcBorders>
          </w:tcPr>
          <w:p>
            <w:pPr>
              <w:jc w:val="center"/>
              <w:ind w:left="28"/>
              <w:spacing w:after="0"/>
              <w:rPr>
                <w:sz w:val="20"/>
                <w:szCs w:val="20"/>
                <w:color w:val="auto"/>
              </w:rPr>
            </w:pPr>
            <w:r>
              <w:rPr>
                <w:rFonts w:ascii="Arial" w:cs="Arial" w:eastAsia="Arial" w:hAnsi="Arial"/>
                <w:sz w:val="14"/>
                <w:szCs w:val="14"/>
                <w:color w:val="auto"/>
                <w:w w:val="99"/>
              </w:rPr>
              <w:t>Buick</w:t>
            </w:r>
          </w:p>
        </w:tc>
        <w:tc>
          <w:tcPr>
            <w:tcW w:w="1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14,391</w:t>
            </w:r>
          </w:p>
        </w:tc>
        <w:tc>
          <w:tcPr>
            <w:tcW w:w="88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3"/>
              </w:rPr>
              <w:t>(14.7)%</w:t>
            </w:r>
          </w:p>
        </w:tc>
        <w:tc>
          <w:tcPr>
            <w:tcW w:w="3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14,274</w:t>
            </w: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88"/>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104,589</w:t>
            </w:r>
          </w:p>
        </w:tc>
        <w:tc>
          <w:tcPr>
            <w:tcW w:w="10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96"/>
              </w:rPr>
              <w:t>(5.3)%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92,743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1.5%</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6"/>
              </w:rPr>
              <w:t>Cadillac</w:t>
            </w:r>
          </w:p>
        </w:tc>
        <w:tc>
          <w:tcPr>
            <w:tcW w:w="1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13,417</w:t>
            </w:r>
          </w:p>
        </w:tc>
        <w:tc>
          <w:tcPr>
            <w:tcW w:w="88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5"/>
              </w:rPr>
              <w:t>20.7%</w:t>
            </w:r>
          </w:p>
        </w:tc>
        <w:tc>
          <w:tcPr>
            <w:tcW w:w="3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11,995</w:t>
            </w: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5"/>
              </w:rPr>
              <w:t>20.3%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76,229</w:t>
            </w:r>
          </w:p>
        </w:tc>
        <w:tc>
          <w:tcPr>
            <w:tcW w:w="10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97"/>
              </w:rPr>
              <w:t>(12.6)%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72,077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(4.7)%</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7"/>
              </w:rPr>
              <w:t>Total GM</w:t>
            </w:r>
          </w:p>
        </w:tc>
        <w:tc>
          <w:tcPr>
            <w:tcW w:w="1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201,237</w:t>
            </w:r>
          </w:p>
        </w:tc>
        <w:tc>
          <w:tcPr>
            <w:tcW w:w="88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6"/>
              </w:rPr>
              <w:t>(6.4)%</w:t>
            </w:r>
          </w:p>
        </w:tc>
        <w:tc>
          <w:tcPr>
            <w:tcW w:w="3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153,519</w:t>
            </w: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2"/>
              </w:rPr>
              <w:t>(3.2)%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1,516,950</w:t>
            </w:r>
          </w:p>
        </w:tc>
        <w:tc>
          <w:tcPr>
            <w:tcW w:w="10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3"/>
              </w:rPr>
              <w:t>2.7%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1,097,656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2.1%</w:t>
            </w:r>
          </w:p>
        </w:tc>
        <w:tc>
          <w:tcPr>
            <w:tcW w:w="0" w:type="dxa"/>
            <w:vAlign w:val="bottom"/>
          </w:tcPr>
          <w:p>
            <w:pPr>
              <w:spacing w:after="0"/>
              <w:rPr>
                <w:sz w:val="1"/>
                <w:szCs w:val="1"/>
                <w:color w:val="auto"/>
              </w:rPr>
            </w:pPr>
          </w:p>
        </w:tc>
      </w:tr>
      <w:tr>
        <w:trPr>
          <w:trHeight w:val="21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Industry Sales</w:t>
            </w:r>
          </w:p>
        </w:tc>
        <w:tc>
          <w:tcPr>
            <w:tcW w:w="12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5"/>
              </w:rPr>
              <w:t>July SAAR (est.)</w:t>
            </w:r>
          </w:p>
        </w:tc>
        <w:tc>
          <w:tcPr>
            <w:tcW w:w="2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CYTD SAAR (est.)</w:t>
            </w:r>
          </w:p>
        </w:tc>
        <w:tc>
          <w:tcPr>
            <w:tcW w:w="220" w:type="dxa"/>
            <w:vAlign w:val="bottom"/>
            <w:tcBorders>
              <w:right w:val="single" w:sz="8" w:color="auto"/>
            </w:tcBorders>
          </w:tcPr>
          <w:p>
            <w:pPr>
              <w:spacing w:after="0"/>
              <w:rPr>
                <w:sz w:val="18"/>
                <w:szCs w:val="18"/>
                <w:color w:val="auto"/>
              </w:rPr>
            </w:pPr>
          </w:p>
        </w:tc>
        <w:tc>
          <w:tcPr>
            <w:tcW w:w="204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2"/>
              </w:rPr>
              <w:t>Full Year 2012 (est.)</w:t>
            </w:r>
          </w:p>
        </w:tc>
        <w:tc>
          <w:tcPr>
            <w:tcW w:w="4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Light Vehicles</w:t>
            </w:r>
          </w:p>
        </w:tc>
        <w:tc>
          <w:tcPr>
            <w:tcW w:w="184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7"/>
              </w:rPr>
              <w:t>13.8 million -14 million range</w:t>
            </w:r>
          </w:p>
        </w:tc>
        <w:tc>
          <w:tcPr>
            <w:tcW w:w="2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5"/>
              </w:rPr>
              <w:t>14.3 million range</w:t>
            </w:r>
          </w:p>
        </w:tc>
        <w:tc>
          <w:tcPr>
            <w:tcW w:w="220" w:type="dxa"/>
            <w:vAlign w:val="bottom"/>
            <w:tcBorders>
              <w:right w:val="single" w:sz="8" w:color="auto"/>
            </w:tcBorders>
          </w:tcPr>
          <w:p>
            <w:pPr>
              <w:spacing w:after="0"/>
              <w:rPr>
                <w:sz w:val="18"/>
                <w:szCs w:val="18"/>
                <w:color w:val="auto"/>
              </w:rPr>
            </w:pPr>
          </w:p>
        </w:tc>
        <w:tc>
          <w:tcPr>
            <w:tcW w:w="2040" w:type="dxa"/>
            <w:vAlign w:val="bottom"/>
            <w:gridSpan w:val="2"/>
          </w:tcPr>
          <w:p>
            <w:pPr>
              <w:jc w:val="center"/>
              <w:ind w:left="308"/>
              <w:spacing w:after="0"/>
              <w:rPr>
                <w:sz w:val="20"/>
                <w:szCs w:val="20"/>
                <w:color w:val="auto"/>
              </w:rPr>
            </w:pPr>
            <w:r>
              <w:rPr>
                <w:rFonts w:ascii="Arial" w:cs="Arial" w:eastAsia="Arial" w:hAnsi="Arial"/>
                <w:sz w:val="14"/>
                <w:szCs w:val="14"/>
                <w:color w:val="auto"/>
                <w:w w:val="99"/>
              </w:rPr>
              <w:t>14.0 million - 14.5 million</w:t>
            </w:r>
          </w:p>
        </w:tc>
        <w:tc>
          <w:tcPr>
            <w:tcW w:w="4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930" w:type="dxa"/>
        <w:tblCellMar>
          <w:top w:w="0" w:type="dxa"/>
          <w:left w:w="0" w:type="dxa"/>
          <w:bottom w:w="0" w:type="dxa"/>
          <w:right w:w="0" w:type="dxa"/>
        </w:tblCellMar>
      </w:tblPr>
      <w:tr>
        <w:trPr>
          <w:trHeight w:val="180"/>
        </w:trPr>
        <w:tc>
          <w:tcPr>
            <w:tcW w:w="1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Inventory</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Units @</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Days Supply (selling</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Units @</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Days Supply (selling</w:t>
            </w:r>
          </w:p>
        </w:tc>
        <w:tc>
          <w:tcPr>
            <w:tcW w:w="0" w:type="dxa"/>
            <w:vAlign w:val="bottom"/>
          </w:tcPr>
          <w:p>
            <w:pPr>
              <w:spacing w:after="0"/>
              <w:rPr>
                <w:sz w:val="1"/>
                <w:szCs w:val="1"/>
                <w:color w:val="auto"/>
              </w:rPr>
            </w:pPr>
          </w:p>
        </w:tc>
      </w:tr>
      <w:tr>
        <w:trPr>
          <w:trHeight w:val="105"/>
        </w:trPr>
        <w:tc>
          <w:tcPr>
            <w:tcW w:w="1480" w:type="dxa"/>
            <w:vAlign w:val="bottom"/>
            <w:tcBorders>
              <w:left w:val="single" w:sz="8" w:color="auto"/>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July 31, 2012</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days adjusted)</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June 30, 2012</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days adjusted)</w:t>
            </w:r>
          </w:p>
        </w:tc>
        <w:tc>
          <w:tcPr>
            <w:tcW w:w="0" w:type="dxa"/>
            <w:vAlign w:val="bottom"/>
          </w:tcPr>
          <w:p>
            <w:pPr>
              <w:spacing w:after="0"/>
              <w:rPr>
                <w:sz w:val="1"/>
                <w:szCs w:val="1"/>
                <w:color w:val="auto"/>
              </w:rPr>
            </w:pPr>
          </w:p>
        </w:tc>
      </w:tr>
      <w:tr>
        <w:trPr>
          <w:trHeight w:val="101"/>
        </w:trPr>
        <w:tc>
          <w:tcPr>
            <w:tcW w:w="1480" w:type="dxa"/>
            <w:vAlign w:val="bottom"/>
            <w:tcBorders>
              <w:left w:val="single" w:sz="8" w:color="auto"/>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All Vehicles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663,439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79</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700,927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76</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Cars and Crossovers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324,504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62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361,416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58</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Full-size Pickups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238,165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136</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238,194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714"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5"/>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color w:val="auto"/>
              </w:rPr>
              <w:t>July</w:t>
            </w:r>
          </w:p>
        </w:tc>
        <w:tc>
          <w:tcPr>
            <w:tcW w:w="1080" w:type="dxa"/>
            <w:vAlign w:val="bottom"/>
            <w:tcBorders>
              <w:top w:val="single" w:sz="8" w:color="auto"/>
              <w:right w:val="single" w:sz="8" w:color="auto"/>
            </w:tcBorders>
          </w:tcPr>
          <w:p>
            <w:pPr>
              <w:spacing w:after="0"/>
              <w:rPr>
                <w:sz w:val="24"/>
                <w:szCs w:val="24"/>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r>
      <w:tr>
        <w:trPr>
          <w:trHeight w:val="289"/>
        </w:trPr>
        <w:tc>
          <w:tcPr>
            <w:tcW w:w="2480" w:type="dxa"/>
            <w:vAlign w:val="bottom"/>
            <w:tcBorders>
              <w:left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January - July</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4,360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6,145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(29.0)</w:t>
            </w:r>
          </w:p>
        </w:tc>
        <w:tc>
          <w:tcPr>
            <w:tcW w:w="1080" w:type="dxa"/>
            <w:vAlign w:val="bottom"/>
          </w:tcPr>
          <w:p>
            <w:pPr>
              <w:jc w:val="right"/>
              <w:spacing w:after="0"/>
              <w:rPr>
                <w:sz w:val="20"/>
                <w:szCs w:val="20"/>
                <w:color w:val="auto"/>
              </w:rPr>
            </w:pPr>
            <w:r>
              <w:rPr>
                <w:rFonts w:ascii="Arial" w:cs="Arial" w:eastAsia="Arial" w:hAnsi="Arial"/>
                <w:sz w:val="14"/>
                <w:szCs w:val="14"/>
                <w:color w:val="auto"/>
              </w:rPr>
              <w:t>32,226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34,149</w:t>
            </w: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right w:val="single" w:sz="8" w:color="auto"/>
            </w:tcBorders>
          </w:tcPr>
          <w:p>
            <w:pPr>
              <w:spacing w:after="0"/>
              <w:rPr>
                <w:sz w:val="22"/>
                <w:szCs w:val="22"/>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4,001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5,971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(33.0)</w:t>
            </w:r>
          </w:p>
        </w:tc>
        <w:tc>
          <w:tcPr>
            <w:tcW w:w="1080" w:type="dxa"/>
            <w:vAlign w:val="bottom"/>
          </w:tcPr>
          <w:p>
            <w:pPr>
              <w:jc w:val="right"/>
              <w:spacing w:after="0"/>
              <w:rPr>
                <w:sz w:val="20"/>
                <w:szCs w:val="20"/>
                <w:color w:val="auto"/>
              </w:rPr>
            </w:pPr>
            <w:r>
              <w:rPr>
                <w:rFonts w:ascii="Arial" w:cs="Arial" w:eastAsia="Arial" w:hAnsi="Arial"/>
                <w:sz w:val="14"/>
                <w:szCs w:val="14"/>
                <w:color w:val="auto"/>
              </w:rPr>
              <w:t>34,893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35,298</w:t>
            </w: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1,233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(99.1)</w:t>
            </w:r>
          </w:p>
        </w:tc>
        <w:tc>
          <w:tcPr>
            <w:tcW w:w="1080" w:type="dxa"/>
            <w:vAlign w:val="bottom"/>
          </w:tcPr>
          <w:p>
            <w:pPr>
              <w:jc w:val="right"/>
              <w:spacing w:after="0"/>
              <w:rPr>
                <w:sz w:val="20"/>
                <w:szCs w:val="20"/>
                <w:color w:val="auto"/>
              </w:rPr>
            </w:pPr>
            <w:r>
              <w:rPr>
                <w:rFonts w:ascii="Arial" w:cs="Arial" w:eastAsia="Arial" w:hAnsi="Arial"/>
                <w:sz w:val="14"/>
                <w:szCs w:val="14"/>
                <w:color w:val="auto"/>
              </w:rPr>
              <w:t>954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15,513</w:t>
            </w:r>
          </w:p>
        </w:tc>
        <w:tc>
          <w:tcPr>
            <w:tcW w:w="800" w:type="dxa"/>
            <w:vAlign w:val="bottom"/>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1,784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3,524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(49.4)</w:t>
            </w:r>
          </w:p>
        </w:tc>
        <w:tc>
          <w:tcPr>
            <w:tcW w:w="1080" w:type="dxa"/>
            <w:vAlign w:val="bottom"/>
          </w:tcPr>
          <w:p>
            <w:pPr>
              <w:jc w:val="right"/>
              <w:spacing w:after="0"/>
              <w:rPr>
                <w:sz w:val="20"/>
                <w:szCs w:val="20"/>
                <w:color w:val="auto"/>
              </w:rPr>
            </w:pPr>
            <w:r>
              <w:rPr>
                <w:rFonts w:ascii="Arial" w:cs="Arial" w:eastAsia="Arial" w:hAnsi="Arial"/>
                <w:sz w:val="14"/>
                <w:szCs w:val="14"/>
                <w:color w:val="auto"/>
              </w:rPr>
              <w:t>16,612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25,512</w:t>
            </w:r>
          </w:p>
        </w:tc>
        <w:tc>
          <w:tcPr>
            <w:tcW w:w="80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Borders>
              <w:right w:val="single" w:sz="8" w:color="auto"/>
            </w:tcBorders>
          </w:tcPr>
          <w:p>
            <w:pPr>
              <w:spacing w:after="0"/>
              <w:rPr>
                <w:sz w:val="23"/>
                <w:szCs w:val="23"/>
                <w:color w:val="auto"/>
              </w:rPr>
            </w:pP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4,235</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19,904</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auto"/>
            </w:tcBorders>
          </w:tcPr>
          <w:p>
            <w:pPr>
              <w:spacing w:after="0"/>
              <w:rPr>
                <w:sz w:val="24"/>
                <w:szCs w:val="24"/>
                <w:color w:val="auto"/>
              </w:rPr>
            </w:pP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Buick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14,391</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16,873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(14.7)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104,589</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110,472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Borders>
              <w:bottom w:val="single" w:sz="8" w:color="auto"/>
              <w:right w:val="single" w:sz="8" w:color="auto"/>
            </w:tcBorders>
          </w:tcPr>
          <w:p>
            <w:pPr>
              <w:spacing w:after="0"/>
              <w:rPr>
                <w:sz w:val="24"/>
                <w:szCs w:val="24"/>
                <w:color w:val="auto"/>
              </w:rPr>
            </w:pP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4,743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4,449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6.6</w:t>
            </w:r>
          </w:p>
        </w:tc>
        <w:tc>
          <w:tcPr>
            <w:tcW w:w="1080" w:type="dxa"/>
            <w:vAlign w:val="bottom"/>
          </w:tcPr>
          <w:p>
            <w:pPr>
              <w:jc w:val="right"/>
              <w:spacing w:after="0"/>
              <w:rPr>
                <w:sz w:val="20"/>
                <w:szCs w:val="20"/>
                <w:color w:val="auto"/>
              </w:rPr>
            </w:pPr>
            <w:r>
              <w:rPr>
                <w:rFonts w:ascii="Arial" w:cs="Arial" w:eastAsia="Arial" w:hAnsi="Arial"/>
                <w:sz w:val="14"/>
                <w:szCs w:val="14"/>
                <w:color w:val="auto"/>
              </w:rPr>
              <w:t>30,226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31,454</w:t>
            </w: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right w:val="single" w:sz="8" w:color="auto"/>
            </w:tcBorders>
          </w:tcPr>
          <w:p>
            <w:pPr>
              <w:spacing w:after="0"/>
              <w:rPr>
                <w:sz w:val="22"/>
                <w:szCs w:val="22"/>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715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(97.2)</w:t>
            </w:r>
          </w:p>
        </w:tc>
        <w:tc>
          <w:tcPr>
            <w:tcW w:w="1080" w:type="dxa"/>
            <w:vAlign w:val="bottom"/>
          </w:tcPr>
          <w:p>
            <w:pPr>
              <w:jc w:val="right"/>
              <w:spacing w:after="0"/>
              <w:rPr>
                <w:sz w:val="20"/>
                <w:szCs w:val="20"/>
                <w:color w:val="auto"/>
              </w:rPr>
            </w:pPr>
            <w:r>
              <w:rPr>
                <w:rFonts w:ascii="Arial" w:cs="Arial" w:eastAsia="Arial" w:hAnsi="Arial"/>
                <w:sz w:val="14"/>
                <w:szCs w:val="14"/>
                <w:color w:val="auto"/>
              </w:rPr>
              <w:t>449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9,453</w:t>
            </w:r>
          </w:p>
        </w:tc>
        <w:tc>
          <w:tcPr>
            <w:tcW w:w="800" w:type="dxa"/>
            <w:vAlign w:val="bottom"/>
          </w:tcPr>
          <w:p>
            <w:pPr>
              <w:jc w:val="right"/>
              <w:spacing w:after="0"/>
              <w:rPr>
                <w:sz w:val="20"/>
                <w:szCs w:val="20"/>
                <w:color w:val="auto"/>
              </w:rPr>
            </w:pPr>
            <w:r>
              <w:rPr>
                <w:rFonts w:ascii="Arial" w:cs="Arial" w:eastAsia="Arial" w:hAnsi="Arial"/>
                <w:sz w:val="14"/>
                <w:szCs w:val="14"/>
                <w:color w:val="auto"/>
              </w:rPr>
              <w:t>(95.3)</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1,123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914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22.9</w:t>
            </w:r>
          </w:p>
        </w:tc>
        <w:tc>
          <w:tcPr>
            <w:tcW w:w="1080" w:type="dxa"/>
            <w:vAlign w:val="bottom"/>
          </w:tcPr>
          <w:p>
            <w:pPr>
              <w:jc w:val="right"/>
              <w:spacing w:after="0"/>
              <w:rPr>
                <w:sz w:val="20"/>
                <w:szCs w:val="20"/>
                <w:color w:val="auto"/>
              </w:rPr>
            </w:pPr>
            <w:r>
              <w:rPr>
                <w:rFonts w:ascii="Arial" w:cs="Arial" w:eastAsia="Arial" w:hAnsi="Arial"/>
                <w:sz w:val="14"/>
                <w:szCs w:val="14"/>
                <w:color w:val="auto"/>
              </w:rPr>
              <w:t>7,117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7,859</w:t>
            </w: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711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17.5</w:t>
            </w:r>
          </w:p>
        </w:tc>
        <w:tc>
          <w:tcPr>
            <w:tcW w:w="1080" w:type="dxa"/>
            <w:vAlign w:val="bottom"/>
          </w:tcPr>
          <w:p>
            <w:pPr>
              <w:jc w:val="right"/>
              <w:spacing w:after="0"/>
              <w:rPr>
                <w:sz w:val="20"/>
                <w:szCs w:val="20"/>
                <w:color w:val="auto"/>
              </w:rPr>
            </w:pPr>
            <w:r>
              <w:rPr>
                <w:rFonts w:ascii="Arial" w:cs="Arial" w:eastAsia="Arial" w:hAnsi="Arial"/>
                <w:sz w:val="14"/>
                <w:szCs w:val="14"/>
                <w:color w:val="auto"/>
              </w:rPr>
              <w:t>4,458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4,402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163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171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(4.7)</w:t>
            </w:r>
          </w:p>
        </w:tc>
        <w:tc>
          <w:tcPr>
            <w:tcW w:w="1080" w:type="dxa"/>
            <w:vAlign w:val="bottom"/>
          </w:tcPr>
          <w:p>
            <w:pPr>
              <w:jc w:val="right"/>
              <w:spacing w:after="0"/>
              <w:rPr>
                <w:sz w:val="20"/>
                <w:szCs w:val="20"/>
                <w:color w:val="auto"/>
              </w:rPr>
            </w:pPr>
            <w:r>
              <w:rPr>
                <w:rFonts w:ascii="Arial" w:cs="Arial" w:eastAsia="Arial" w:hAnsi="Arial"/>
                <w:sz w:val="14"/>
                <w:szCs w:val="14"/>
                <w:color w:val="auto"/>
              </w:rPr>
              <w:t>977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1,067</w:t>
            </w:r>
          </w:p>
        </w:tc>
        <w:tc>
          <w:tcPr>
            <w:tcW w:w="8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4,911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4,133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18.8</w:t>
            </w:r>
          </w:p>
        </w:tc>
        <w:tc>
          <w:tcPr>
            <w:tcW w:w="1080" w:type="dxa"/>
            <w:vAlign w:val="bottom"/>
          </w:tcPr>
          <w:p>
            <w:pPr>
              <w:jc w:val="right"/>
              <w:spacing w:after="0"/>
              <w:rPr>
                <w:sz w:val="20"/>
                <w:szCs w:val="20"/>
                <w:color w:val="auto"/>
              </w:rPr>
            </w:pPr>
            <w:r>
              <w:rPr>
                <w:rFonts w:ascii="Arial" w:cs="Arial" w:eastAsia="Arial" w:hAnsi="Arial"/>
                <w:sz w:val="14"/>
                <w:szCs w:val="14"/>
                <w:color w:val="auto"/>
              </w:rPr>
              <w:t>30,361</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30,333</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132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(94.7)</w:t>
            </w:r>
          </w:p>
        </w:tc>
        <w:tc>
          <w:tcPr>
            <w:tcW w:w="1080" w:type="dxa"/>
            <w:vAlign w:val="bottom"/>
          </w:tcPr>
          <w:p>
            <w:pPr>
              <w:jc w:val="right"/>
              <w:spacing w:after="0"/>
              <w:rPr>
                <w:sz w:val="20"/>
                <w:szCs w:val="20"/>
                <w:color w:val="auto"/>
              </w:rPr>
            </w:pPr>
            <w:r>
              <w:rPr>
                <w:rFonts w:ascii="Arial" w:cs="Arial" w:eastAsia="Arial" w:hAnsi="Arial"/>
                <w:sz w:val="14"/>
                <w:szCs w:val="14"/>
                <w:color w:val="auto"/>
              </w:rPr>
              <w:t>149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2,661</w:t>
            </w:r>
          </w:p>
        </w:tc>
        <w:tc>
          <w:tcPr>
            <w:tcW w:w="800" w:type="dxa"/>
            <w:vAlign w:val="bottom"/>
          </w:tcPr>
          <w:p>
            <w:pPr>
              <w:jc w:val="right"/>
              <w:spacing w:after="0"/>
              <w:rPr>
                <w:sz w:val="20"/>
                <w:szCs w:val="20"/>
                <w:color w:val="auto"/>
              </w:rPr>
            </w:pPr>
            <w:r>
              <w:rPr>
                <w:rFonts w:ascii="Arial" w:cs="Arial" w:eastAsia="Arial" w:hAnsi="Arial"/>
                <w:sz w:val="14"/>
                <w:szCs w:val="14"/>
                <w:color w:val="auto"/>
              </w:rPr>
              <w:t>(94.4)</w:t>
            </w:r>
          </w:p>
        </w:tc>
        <w:tc>
          <w:tcPr>
            <w:tcW w:w="120" w:type="dxa"/>
            <w:vAlign w:val="bottom"/>
            <w:tcBorders>
              <w:right w:val="single" w:sz="8" w:color="auto"/>
            </w:tcBorders>
          </w:tcPr>
          <w:p>
            <w:pPr>
              <w:spacing w:after="0"/>
              <w:rPr>
                <w:sz w:val="23"/>
                <w:szCs w:val="23"/>
                <w:color w:val="auto"/>
              </w:rPr>
            </w:pPr>
          </w:p>
        </w:tc>
      </w:tr>
      <w:tr>
        <w:trPr>
          <w:trHeight w:val="276"/>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XLR</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auto"/>
            </w:tcBorders>
          </w:tcPr>
          <w:p>
            <w:pPr>
              <w:spacing w:after="0"/>
              <w:rPr>
                <w:sz w:val="23"/>
                <w:szCs w:val="23"/>
                <w:color w:val="auto"/>
              </w:rPr>
            </w:pPr>
          </w:p>
        </w:tc>
      </w:tr>
      <w:tr>
        <w:trPr>
          <w:trHeight w:val="277"/>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1,739</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2,492</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auto"/>
            </w:tcBorders>
          </w:tcPr>
          <w:p>
            <w:pPr>
              <w:spacing w:after="0"/>
              <w:rPr>
                <w:sz w:val="24"/>
                <w:szCs w:val="24"/>
                <w:color w:val="auto"/>
              </w:rPr>
            </w:pP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13,417</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11,119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76,229</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87,241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c>
          <w:tcPr>
            <w:tcW w:w="120" w:type="dxa"/>
            <w:vAlign w:val="bottom"/>
            <w:tcBorders>
              <w:bottom w:val="single" w:sz="8" w:color="auto"/>
              <w:right w:val="single" w:sz="8" w:color="auto"/>
            </w:tcBorders>
          </w:tcPr>
          <w:p>
            <w:pPr>
              <w:spacing w:after="0"/>
              <w:rPr>
                <w:sz w:val="24"/>
                <w:szCs w:val="24"/>
                <w:color w:val="auto"/>
              </w:rPr>
            </w:pP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1,823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1,621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12.5</w:t>
            </w:r>
          </w:p>
        </w:tc>
        <w:tc>
          <w:tcPr>
            <w:tcW w:w="1080" w:type="dxa"/>
            <w:vAlign w:val="bottom"/>
          </w:tcPr>
          <w:p>
            <w:pPr>
              <w:jc w:val="right"/>
              <w:spacing w:after="0"/>
              <w:rPr>
                <w:sz w:val="20"/>
                <w:szCs w:val="20"/>
                <w:color w:val="auto"/>
              </w:rPr>
            </w:pPr>
            <w:r>
              <w:rPr>
                <w:rFonts w:ascii="Arial" w:cs="Arial" w:eastAsia="Arial" w:hAnsi="Arial"/>
                <w:sz w:val="14"/>
                <w:szCs w:val="14"/>
                <w:color w:val="auto"/>
              </w:rPr>
              <w:t>12,825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10,339</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Borders>
              <w:right w:val="single" w:sz="8" w:color="auto"/>
            </w:tcBorders>
          </w:tcPr>
          <w:p>
            <w:pPr>
              <w:spacing w:after="0"/>
              <w:rPr>
                <w:sz w:val="22"/>
                <w:szCs w:val="22"/>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3,349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24,615</w:t>
            </w:r>
          </w:p>
        </w:tc>
        <w:tc>
          <w:tcPr>
            <w:tcW w:w="800" w:type="dxa"/>
            <w:vAlign w:val="bottom"/>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6,926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7,671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(9.7)</w:t>
            </w:r>
          </w:p>
        </w:tc>
        <w:tc>
          <w:tcPr>
            <w:tcW w:w="1080" w:type="dxa"/>
            <w:vAlign w:val="bottom"/>
          </w:tcPr>
          <w:p>
            <w:pPr>
              <w:jc w:val="right"/>
              <w:spacing w:after="0"/>
              <w:rPr>
                <w:sz w:val="20"/>
                <w:szCs w:val="20"/>
                <w:color w:val="auto"/>
              </w:rPr>
            </w:pPr>
            <w:r>
              <w:rPr>
                <w:rFonts w:ascii="Arial" w:cs="Arial" w:eastAsia="Arial" w:hAnsi="Arial"/>
                <w:sz w:val="14"/>
                <w:szCs w:val="14"/>
                <w:color w:val="auto"/>
              </w:rPr>
              <w:t>56,623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56,432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500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455.6</w:t>
            </w:r>
          </w:p>
        </w:tc>
        <w:tc>
          <w:tcPr>
            <w:tcW w:w="1080" w:type="dxa"/>
            <w:vAlign w:val="bottom"/>
          </w:tcPr>
          <w:p>
            <w:pPr>
              <w:jc w:val="right"/>
              <w:spacing w:after="0"/>
              <w:rPr>
                <w:sz w:val="20"/>
                <w:szCs w:val="20"/>
                <w:color w:val="auto"/>
              </w:rPr>
            </w:pPr>
            <w:r>
              <w:rPr>
                <w:rFonts w:ascii="Arial" w:cs="Arial" w:eastAsia="Arial" w:hAnsi="Arial"/>
                <w:sz w:val="14"/>
                <w:szCs w:val="14"/>
                <w:color w:val="auto"/>
              </w:rPr>
              <w:t>1,680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155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983.9</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3,914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21,835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835</w:t>
            </w:r>
          </w:p>
        </w:tc>
        <w:tc>
          <w:tcPr>
            <w:tcW w:w="800" w:type="dxa"/>
            <w:vAlign w:val="bottom"/>
          </w:tcPr>
          <w:p>
            <w:pPr>
              <w:jc w:val="right"/>
              <w:spacing w:after="0"/>
              <w:rPr>
                <w:sz w:val="20"/>
                <w:szCs w:val="20"/>
                <w:color w:val="auto"/>
              </w:rPr>
            </w:pPr>
            <w:r>
              <w:rPr>
                <w:rFonts w:ascii="Arial" w:cs="Arial" w:eastAsia="Arial" w:hAnsi="Arial"/>
                <w:sz w:val="14"/>
                <w:szCs w:val="14"/>
                <w:color w:val="auto"/>
              </w:rPr>
              <w:t>(98.7)</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4,096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3,169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29.3</w:t>
            </w:r>
          </w:p>
        </w:tc>
        <w:tc>
          <w:tcPr>
            <w:tcW w:w="1080" w:type="dxa"/>
            <w:vAlign w:val="bottom"/>
          </w:tcPr>
          <w:p>
            <w:pPr>
              <w:jc w:val="right"/>
              <w:spacing w:after="0"/>
              <w:rPr>
                <w:sz w:val="20"/>
                <w:szCs w:val="20"/>
                <w:color w:val="auto"/>
              </w:rPr>
            </w:pPr>
            <w:r>
              <w:rPr>
                <w:rFonts w:ascii="Arial" w:cs="Arial" w:eastAsia="Arial" w:hAnsi="Arial"/>
                <w:sz w:val="14"/>
                <w:szCs w:val="14"/>
                <w:color w:val="auto"/>
              </w:rPr>
              <w:t>25,553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19,283</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987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1,291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(23.5)</w:t>
            </w:r>
          </w:p>
        </w:tc>
        <w:tc>
          <w:tcPr>
            <w:tcW w:w="1080" w:type="dxa"/>
            <w:vAlign w:val="bottom"/>
          </w:tcPr>
          <w:p>
            <w:pPr>
              <w:jc w:val="right"/>
              <w:spacing w:after="0"/>
              <w:rPr>
                <w:sz w:val="20"/>
                <w:szCs w:val="20"/>
                <w:color w:val="auto"/>
              </w:rPr>
            </w:pPr>
            <w:r>
              <w:rPr>
                <w:rFonts w:ascii="Arial" w:cs="Arial" w:eastAsia="Arial" w:hAnsi="Arial"/>
                <w:sz w:val="14"/>
                <w:szCs w:val="14"/>
                <w:color w:val="auto"/>
              </w:rPr>
              <w:t>8,009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8,187</w:t>
            </w: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14,954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24,648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(39.3)</w:t>
            </w:r>
          </w:p>
        </w:tc>
        <w:tc>
          <w:tcPr>
            <w:tcW w:w="1080" w:type="dxa"/>
            <w:vAlign w:val="bottom"/>
          </w:tcPr>
          <w:p>
            <w:pPr>
              <w:jc w:val="right"/>
              <w:spacing w:after="0"/>
              <w:rPr>
                <w:sz w:val="20"/>
                <w:szCs w:val="20"/>
                <w:color w:val="auto"/>
              </w:rPr>
            </w:pPr>
            <w:r>
              <w:rPr>
                <w:rFonts w:ascii="Arial" w:cs="Arial" w:eastAsia="Arial" w:hAnsi="Arial"/>
                <w:sz w:val="14"/>
                <w:szCs w:val="14"/>
                <w:color w:val="auto"/>
              </w:rPr>
              <w:t>128,838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147,620</w:t>
            </w:r>
          </w:p>
        </w:tc>
        <w:tc>
          <w:tcPr>
            <w:tcW w:w="80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19,906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17,094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16.5</w:t>
            </w:r>
          </w:p>
        </w:tc>
        <w:tc>
          <w:tcPr>
            <w:tcW w:w="1080" w:type="dxa"/>
            <w:vAlign w:val="bottom"/>
          </w:tcPr>
          <w:p>
            <w:pPr>
              <w:jc w:val="right"/>
              <w:spacing w:after="0"/>
              <w:rPr>
                <w:sz w:val="20"/>
                <w:szCs w:val="20"/>
                <w:color w:val="auto"/>
              </w:rPr>
            </w:pPr>
            <w:r>
              <w:rPr>
                <w:rFonts w:ascii="Arial" w:cs="Arial" w:eastAsia="Arial" w:hAnsi="Arial"/>
                <w:sz w:val="14"/>
                <w:szCs w:val="14"/>
                <w:color w:val="auto"/>
              </w:rPr>
              <w:t>130,796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112,932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9,327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5,343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74.6</w:t>
            </w:r>
          </w:p>
        </w:tc>
        <w:tc>
          <w:tcPr>
            <w:tcW w:w="1080" w:type="dxa"/>
            <w:vAlign w:val="bottom"/>
          </w:tcPr>
          <w:p>
            <w:pPr>
              <w:jc w:val="right"/>
              <w:spacing w:after="0"/>
              <w:rPr>
                <w:sz w:val="20"/>
                <w:szCs w:val="20"/>
                <w:color w:val="auto"/>
              </w:rPr>
            </w:pPr>
            <w:r>
              <w:rPr>
                <w:rFonts w:ascii="Arial" w:cs="Arial" w:eastAsia="Arial" w:hAnsi="Arial"/>
                <w:sz w:val="14"/>
                <w:szCs w:val="14"/>
                <w:color w:val="auto"/>
              </w:rPr>
              <w:t>47,144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38,299</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317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35,819</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9,359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7,327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27.7</w:t>
            </w:r>
          </w:p>
        </w:tc>
        <w:tc>
          <w:tcPr>
            <w:tcW w:w="1080" w:type="dxa"/>
            <w:vAlign w:val="bottom"/>
          </w:tcPr>
          <w:p>
            <w:pPr>
              <w:jc w:val="right"/>
              <w:spacing w:after="0"/>
              <w:rPr>
                <w:sz w:val="20"/>
                <w:szCs w:val="20"/>
                <w:color w:val="auto"/>
              </w:rPr>
            </w:pPr>
            <w:r>
              <w:rPr>
                <w:rFonts w:ascii="Arial" w:cs="Arial" w:eastAsia="Arial" w:hAnsi="Arial"/>
                <w:sz w:val="14"/>
                <w:szCs w:val="14"/>
                <w:color w:val="auto"/>
              </w:rPr>
              <w:t>107,854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110,971</w:t>
            </w: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Kodiak 4/5 Series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12,345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19,529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(36.8)</w:t>
            </w:r>
          </w:p>
        </w:tc>
        <w:tc>
          <w:tcPr>
            <w:tcW w:w="1080" w:type="dxa"/>
            <w:vAlign w:val="bottom"/>
          </w:tcPr>
          <w:p>
            <w:pPr>
              <w:jc w:val="right"/>
              <w:spacing w:after="0"/>
              <w:rPr>
                <w:sz w:val="20"/>
                <w:szCs w:val="20"/>
                <w:color w:val="auto"/>
              </w:rPr>
            </w:pPr>
            <w:r>
              <w:rPr>
                <w:rFonts w:ascii="Arial" w:cs="Arial" w:eastAsia="Arial" w:hAnsi="Arial"/>
                <w:sz w:val="14"/>
                <w:szCs w:val="14"/>
                <w:color w:val="auto"/>
              </w:rPr>
              <w:t>153,782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142,312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28,972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33,121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(12.5)</w:t>
            </w:r>
          </w:p>
        </w:tc>
        <w:tc>
          <w:tcPr>
            <w:tcW w:w="1080" w:type="dxa"/>
            <w:vAlign w:val="bottom"/>
          </w:tcPr>
          <w:p>
            <w:pPr>
              <w:jc w:val="right"/>
              <w:spacing w:after="0"/>
              <w:rPr>
                <w:sz w:val="20"/>
                <w:szCs w:val="20"/>
                <w:color w:val="auto"/>
              </w:rPr>
            </w:pPr>
            <w:r>
              <w:rPr>
                <w:rFonts w:ascii="Arial" w:cs="Arial" w:eastAsia="Arial" w:hAnsi="Arial"/>
                <w:sz w:val="14"/>
                <w:szCs w:val="14"/>
                <w:color w:val="auto"/>
              </w:rPr>
              <w:t>223,480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215,906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6,278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48,518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1,460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1,460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4,445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4,265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4.2</w:t>
            </w:r>
          </w:p>
        </w:tc>
        <w:tc>
          <w:tcPr>
            <w:tcW w:w="1080" w:type="dxa"/>
            <w:vAlign w:val="bottom"/>
          </w:tcPr>
          <w:p>
            <w:pPr>
              <w:jc w:val="right"/>
              <w:spacing w:after="0"/>
              <w:rPr>
                <w:sz w:val="20"/>
                <w:szCs w:val="20"/>
                <w:color w:val="auto"/>
              </w:rPr>
            </w:pPr>
            <w:r>
              <w:rPr>
                <w:rFonts w:ascii="Arial" w:cs="Arial" w:eastAsia="Arial" w:hAnsi="Arial"/>
                <w:sz w:val="14"/>
                <w:szCs w:val="14"/>
                <w:color w:val="auto"/>
              </w:rPr>
              <w:t>27,513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22,871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6,053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5,741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5.4</w:t>
            </w:r>
          </w:p>
        </w:tc>
        <w:tc>
          <w:tcPr>
            <w:tcW w:w="1080" w:type="dxa"/>
            <w:vAlign w:val="bottom"/>
          </w:tcPr>
          <w:p>
            <w:pPr>
              <w:jc w:val="right"/>
              <w:spacing w:after="0"/>
              <w:rPr>
                <w:sz w:val="20"/>
                <w:szCs w:val="20"/>
                <w:color w:val="auto"/>
              </w:rPr>
            </w:pPr>
            <w:r>
              <w:rPr>
                <w:rFonts w:ascii="Arial" w:cs="Arial" w:eastAsia="Arial" w:hAnsi="Arial"/>
                <w:sz w:val="14"/>
                <w:szCs w:val="14"/>
                <w:color w:val="auto"/>
              </w:rPr>
              <w:t>39,327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39,754</w:t>
            </w: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TrailBlazer</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33</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6"/>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5,746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14,283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(59.8)</w:t>
            </w:r>
          </w:p>
        </w:tc>
        <w:tc>
          <w:tcPr>
            <w:tcW w:w="1080" w:type="dxa"/>
            <w:vAlign w:val="bottom"/>
          </w:tcPr>
          <w:p>
            <w:pPr>
              <w:jc w:val="right"/>
              <w:spacing w:after="0"/>
              <w:rPr>
                <w:sz w:val="20"/>
                <w:szCs w:val="20"/>
                <w:color w:val="auto"/>
              </w:rPr>
            </w:pPr>
            <w:r>
              <w:rPr>
                <w:rFonts w:ascii="Arial" w:cs="Arial" w:eastAsia="Arial" w:hAnsi="Arial"/>
                <w:sz w:val="14"/>
                <w:szCs w:val="14"/>
                <w:color w:val="auto"/>
              </w:rPr>
              <w:t>54,612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64,310</w:t>
            </w:r>
          </w:p>
        </w:tc>
        <w:tc>
          <w:tcPr>
            <w:tcW w:w="80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bottom w:val="single" w:sz="8" w:color="auto"/>
              <w:right w:val="single" w:sz="8" w:color="auto"/>
            </w:tcBorders>
          </w:tcPr>
          <w:p>
            <w:pPr>
              <w:spacing w:after="0"/>
              <w:rPr>
                <w:sz w:val="23"/>
                <w:szCs w:val="23"/>
                <w:color w:val="auto"/>
              </w:rPr>
            </w:pPr>
          </w:p>
        </w:tc>
      </w:tr>
      <w:tr>
        <w:trPr>
          <w:trHeight w:val="277"/>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1,849</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10,666</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2,870</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271.6</w:t>
            </w:r>
          </w:p>
        </w:tc>
        <w:tc>
          <w:tcPr>
            <w:tcW w:w="120" w:type="dxa"/>
            <w:vAlign w:val="bottom"/>
            <w:tcBorders>
              <w:bottom w:val="single" w:sz="8" w:color="auto"/>
              <w:right w:val="single" w:sz="8" w:color="auto"/>
            </w:tcBorders>
          </w:tcPr>
          <w:p>
            <w:pPr>
              <w:spacing w:after="0"/>
              <w:rPr>
                <w:sz w:val="24"/>
                <w:szCs w:val="24"/>
                <w:color w:val="auto"/>
              </w:rPr>
            </w:pP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Chevrolet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138,942</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149,005</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1,100,604</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1,053,553</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w:t>
            </w:r>
          </w:p>
        </w:tc>
        <w:tc>
          <w:tcPr>
            <w:tcW w:w="120" w:type="dxa"/>
            <w:vAlign w:val="bottom"/>
            <w:tcBorders>
              <w:bottom w:val="single" w:sz="8" w:color="auto"/>
              <w:right w:val="single" w:sz="8" w:color="auto"/>
            </w:tcBorders>
          </w:tcPr>
          <w:p>
            <w:pPr>
              <w:spacing w:after="0"/>
              <w:rPr>
                <w:sz w:val="24"/>
                <w:szCs w:val="24"/>
                <w:color w:val="auto"/>
              </w:rPr>
            </w:pP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7,390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10,424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(29.1)</w:t>
            </w:r>
          </w:p>
        </w:tc>
        <w:tc>
          <w:tcPr>
            <w:tcW w:w="1080" w:type="dxa"/>
            <w:vAlign w:val="bottom"/>
          </w:tcPr>
          <w:p>
            <w:pPr>
              <w:jc w:val="right"/>
              <w:spacing w:after="0"/>
              <w:rPr>
                <w:sz w:val="20"/>
                <w:szCs w:val="20"/>
                <w:color w:val="auto"/>
              </w:rPr>
            </w:pPr>
            <w:r>
              <w:rPr>
                <w:rFonts w:ascii="Arial" w:cs="Arial" w:eastAsia="Arial" w:hAnsi="Arial"/>
                <w:sz w:val="14"/>
                <w:szCs w:val="14"/>
                <w:color w:val="auto"/>
              </w:rPr>
              <w:t>49,550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50,235</w:t>
            </w: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right w:val="single" w:sz="8" w:color="auto"/>
            </w:tcBorders>
          </w:tcPr>
          <w:p>
            <w:pPr>
              <w:spacing w:after="0"/>
              <w:rPr>
                <w:sz w:val="22"/>
                <w:szCs w:val="22"/>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720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1,422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(49.4)</w:t>
            </w:r>
          </w:p>
        </w:tc>
        <w:tc>
          <w:tcPr>
            <w:tcW w:w="1080" w:type="dxa"/>
            <w:vAlign w:val="bottom"/>
          </w:tcPr>
          <w:p>
            <w:pPr>
              <w:jc w:val="right"/>
              <w:spacing w:after="0"/>
              <w:rPr>
                <w:sz w:val="20"/>
                <w:szCs w:val="20"/>
                <w:color w:val="auto"/>
              </w:rPr>
            </w:pPr>
            <w:r>
              <w:rPr>
                <w:rFonts w:ascii="Arial" w:cs="Arial" w:eastAsia="Arial" w:hAnsi="Arial"/>
                <w:sz w:val="14"/>
                <w:szCs w:val="14"/>
                <w:color w:val="auto"/>
              </w:rPr>
              <w:t>6,361</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5,570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Envoy</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2,653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1,219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117.6</w:t>
            </w:r>
          </w:p>
        </w:tc>
        <w:tc>
          <w:tcPr>
            <w:tcW w:w="1080" w:type="dxa"/>
            <w:vAlign w:val="bottom"/>
          </w:tcPr>
          <w:p>
            <w:pPr>
              <w:jc w:val="right"/>
              <w:spacing w:after="0"/>
              <w:rPr>
                <w:sz w:val="20"/>
                <w:szCs w:val="20"/>
                <w:color w:val="auto"/>
              </w:rPr>
            </w:pPr>
            <w:r>
              <w:rPr>
                <w:rFonts w:ascii="Arial" w:cs="Arial" w:eastAsia="Arial" w:hAnsi="Arial"/>
                <w:sz w:val="14"/>
                <w:szCs w:val="14"/>
                <w:color w:val="auto"/>
              </w:rPr>
              <w:t>14,709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11,355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11,105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12,596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(11.8)</w:t>
            </w:r>
          </w:p>
        </w:tc>
        <w:tc>
          <w:tcPr>
            <w:tcW w:w="1080" w:type="dxa"/>
            <w:vAlign w:val="bottom"/>
          </w:tcPr>
          <w:p>
            <w:pPr>
              <w:jc w:val="right"/>
              <w:spacing w:after="0"/>
              <w:rPr>
                <w:sz w:val="20"/>
                <w:szCs w:val="20"/>
                <w:color w:val="auto"/>
              </w:rPr>
            </w:pPr>
            <w:r>
              <w:rPr>
                <w:rFonts w:ascii="Arial" w:cs="Arial" w:eastAsia="Arial" w:hAnsi="Arial"/>
                <w:sz w:val="14"/>
                <w:szCs w:val="14"/>
                <w:color w:val="auto"/>
              </w:rPr>
              <w:t>84,050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80,194</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7,595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7,302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4.0</w:t>
            </w:r>
          </w:p>
        </w:tc>
        <w:tc>
          <w:tcPr>
            <w:tcW w:w="1080" w:type="dxa"/>
            <w:vAlign w:val="bottom"/>
          </w:tcPr>
          <w:p>
            <w:pPr>
              <w:jc w:val="right"/>
              <w:spacing w:after="0"/>
              <w:rPr>
                <w:sz w:val="20"/>
                <w:szCs w:val="20"/>
                <w:color w:val="auto"/>
              </w:rPr>
            </w:pPr>
            <w:r>
              <w:rPr>
                <w:rFonts w:ascii="Arial" w:cs="Arial" w:eastAsia="Arial" w:hAnsi="Arial"/>
                <w:sz w:val="14"/>
                <w:szCs w:val="14"/>
                <w:color w:val="auto"/>
              </w:rPr>
              <w:t>54,197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48,666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Topkick 4/5 Series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Topkick 6/7/8 Series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3"/>
                <w:szCs w:val="23"/>
                <w:color w:val="auto"/>
              </w:rPr>
            </w:pPr>
          </w:p>
        </w:tc>
      </w:tr>
      <w:tr>
        <w:trPr>
          <w:trHeight w:val="276"/>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2,205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2,238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c>
          <w:tcPr>
            <w:tcW w:w="1080" w:type="dxa"/>
            <w:vAlign w:val="bottom"/>
          </w:tcPr>
          <w:p>
            <w:pPr>
              <w:jc w:val="right"/>
              <w:spacing w:after="0"/>
              <w:rPr>
                <w:sz w:val="20"/>
                <w:szCs w:val="20"/>
                <w:color w:val="auto"/>
              </w:rPr>
            </w:pPr>
            <w:r>
              <w:rPr>
                <w:rFonts w:ascii="Arial" w:cs="Arial" w:eastAsia="Arial" w:hAnsi="Arial"/>
                <w:sz w:val="14"/>
                <w:szCs w:val="14"/>
                <w:color w:val="auto"/>
              </w:rPr>
              <w:t>14,867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17,402</w:t>
            </w:r>
          </w:p>
        </w:tc>
        <w:tc>
          <w:tcPr>
            <w:tcW w:w="80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auto"/>
              <w:right w:val="single" w:sz="8" w:color="auto"/>
            </w:tcBorders>
          </w:tcPr>
          <w:p>
            <w:pPr>
              <w:spacing w:after="0"/>
              <w:rPr>
                <w:sz w:val="23"/>
                <w:szCs w:val="23"/>
                <w:color w:val="auto"/>
              </w:rPr>
            </w:pPr>
          </w:p>
        </w:tc>
      </w:tr>
      <w:tr>
        <w:trPr>
          <w:trHeight w:val="277"/>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2,819</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2,717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11,794</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11,842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right w:val="single" w:sz="8" w:color="auto"/>
            </w:tcBorders>
          </w:tcPr>
          <w:p>
            <w:pPr>
              <w:spacing w:after="0"/>
              <w:rPr>
                <w:sz w:val="24"/>
                <w:szCs w:val="24"/>
                <w:color w:val="auto"/>
              </w:rPr>
            </w:pP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34,487</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37,918</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235,528</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225,282</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w:t>
            </w:r>
          </w:p>
        </w:tc>
        <w:tc>
          <w:tcPr>
            <w:tcW w:w="120" w:type="dxa"/>
            <w:vAlign w:val="bottom"/>
            <w:tcBorders>
              <w:bottom w:val="single" w:sz="8" w:color="auto"/>
              <w:right w:val="single" w:sz="8" w:color="auto"/>
            </w:tcBorders>
          </w:tcPr>
          <w:p>
            <w:pPr>
              <w:spacing w:after="0"/>
              <w:rPr>
                <w:sz w:val="24"/>
                <w:szCs w:val="24"/>
                <w:color w:val="auto"/>
              </w:rPr>
            </w:pP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GM Vehicle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201,237</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214,915</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1,516,950</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1,476,548</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w:t>
            </w:r>
          </w:p>
        </w:tc>
        <w:tc>
          <w:tcPr>
            <w:tcW w:w="120" w:type="dxa"/>
            <w:vAlign w:val="bottom"/>
            <w:tcBorders>
              <w:bottom w:val="single" w:sz="8" w:color="auto"/>
              <w:right w:val="single" w:sz="8" w:color="auto"/>
            </w:tcBorders>
          </w:tcPr>
          <w:p>
            <w:pPr>
              <w:spacing w:after="0"/>
              <w:rPr>
                <w:sz w:val="24"/>
                <w:szCs w:val="24"/>
                <w:color w:val="auto"/>
              </w:rPr>
            </w:pPr>
          </w:p>
        </w:tc>
      </w:tr>
    </w:tbl>
    <w:p>
      <w:pPr>
        <w:spacing w:after="0" w:line="8" w:lineRule="exact"/>
        <w:rPr>
          <w:sz w:val="20"/>
          <w:szCs w:val="20"/>
          <w:color w:val="auto"/>
        </w:rPr>
      </w:pPr>
    </w:p>
    <w:p>
      <w:pPr>
        <w:ind w:left="60"/>
        <w:spacing w:after="0"/>
        <w:rPr>
          <w:sz w:val="20"/>
          <w:szCs w:val="20"/>
          <w:color w:val="auto"/>
        </w:rPr>
      </w:pPr>
      <w:r>
        <w:rPr>
          <w:rFonts w:ascii="Arial" w:cs="Arial" w:eastAsia="Arial" w:hAnsi="Arial"/>
          <w:sz w:val="14"/>
          <w:szCs w:val="14"/>
          <w:color w:val="auto"/>
        </w:rPr>
        <w:t>* 24 selling days for the July period this year and 26 for last year.</w:t>
      </w:r>
    </w:p>
    <w:p>
      <w:pPr>
        <w:sectPr>
          <w:pgSz w:w="11900" w:h="16838" w:orient="portrait"/>
          <w:cols w:equalWidth="0" w:num="1">
            <w:col w:w="9440"/>
          </w:cols>
          <w:pgMar w:left="1240" w:top="714" w:right="1219" w:bottom="69"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2019-12-09T19:09:51Z</dcterms:created>
  <dcterms:modified xsi:type="dcterms:W3CDTF">2019-12-09T19:09:51Z</dcterms:modified>
</cp:coreProperties>
</file>