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SOLSO THEODORE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02/26/2020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9"/>
              </w:rPr>
              <w:t>M/C: 482-C24-A68</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jc w:val="center"/>
              <w:ind w:right="49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02/26/2020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1,561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32.02</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6,561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8"/>
          </w:tcPr>
          <w:p>
            <w:pPr>
              <w:jc w:val="center"/>
              <w:ind w:right="47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$32.015 to $32.020, inclusive. The Reporting Person undertakes to provide to the SEC, GM and any security holder, upon request, full information regarding the number of shares purchased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02/28/2020</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Solso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2020-02-28T11:47:53Z</dcterms:created>
  <dcterms:modified xsi:type="dcterms:W3CDTF">2020-02-28T11:47:53Z</dcterms:modified>
</cp:coreProperties>
</file>