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80"/>
        <w:spacing w:after="0"/>
        <w:rPr>
          <w:sz w:val="20"/>
          <w:szCs w:val="20"/>
          <w:color w:val="auto"/>
        </w:rPr>
      </w:pPr>
      <w:r>
        <w:rPr>
          <w:rFonts w:ascii="Arial" w:cs="Arial" w:eastAsia="Arial" w:hAnsi="Arial"/>
          <w:sz w:val="22"/>
          <w:szCs w:val="22"/>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2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640"/>
              <w:spacing w:after="0"/>
              <w:rPr>
                <w:sz w:val="20"/>
                <w:szCs w:val="20"/>
                <w:color w:val="auto"/>
              </w:rPr>
            </w:pPr>
            <w:r>
              <w:rPr>
                <w:rFonts w:ascii="Arial" w:cs="Arial" w:eastAsia="Arial" w:hAnsi="Arial"/>
                <w:sz w:val="18"/>
                <w:szCs w:val="18"/>
                <w:b w:val="1"/>
                <w:bCs w:val="1"/>
                <w:color w:val="auto"/>
              </w:rPr>
              <w:t>001-34960</w:t>
            </w:r>
          </w:p>
        </w:tc>
        <w:tc>
          <w:tcPr>
            <w:tcW w:w="3000" w:type="dxa"/>
            <w:vAlign w:val="bottom"/>
          </w:tcPr>
          <w:p>
            <w:pPr>
              <w:jc w:val="center"/>
              <w:ind w:left="148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362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4"/>
              </w:rPr>
              <w:t>(State or other</w:t>
            </w:r>
          </w:p>
        </w:tc>
        <w:tc>
          <w:tcPr>
            <w:tcW w:w="238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left="14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20" w:type="dxa"/>
            <w:vAlign w:val="bottom"/>
          </w:tcPr>
          <w:p>
            <w:pPr>
              <w:jc w:val="center"/>
              <w:ind w:right="1739"/>
              <w:spacing w:after="0"/>
              <w:rPr>
                <w:sz w:val="20"/>
                <w:szCs w:val="20"/>
                <w:color w:val="auto"/>
              </w:rPr>
            </w:pPr>
            <w:r>
              <w:rPr>
                <w:rFonts w:ascii="Arial" w:cs="Arial" w:eastAsia="Arial" w:hAnsi="Arial"/>
                <w:sz w:val="14"/>
                <w:szCs w:val="14"/>
                <w:b w:val="1"/>
                <w:bCs w:val="1"/>
                <w:color w:val="auto"/>
                <w:w w:val="94"/>
              </w:rPr>
              <w:t>jurisdiction of incorporation)</w:t>
            </w:r>
          </w:p>
        </w:tc>
        <w:tc>
          <w:tcPr>
            <w:tcW w:w="238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left="14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300 Renaissance Center</w:t>
            </w:r>
          </w:p>
        </w:tc>
        <w:tc>
          <w:tcPr>
            <w:tcW w:w="2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5"/>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Detroit, Michigan</w:t>
            </w:r>
          </w:p>
        </w:tc>
        <w:tc>
          <w:tcPr>
            <w:tcW w:w="2380" w:type="dxa"/>
            <w:vAlign w:val="bottom"/>
          </w:tcPr>
          <w:p>
            <w:pPr>
              <w:spacing w:after="0"/>
              <w:rPr>
                <w:sz w:val="19"/>
                <w:szCs w:val="19"/>
                <w:color w:val="auto"/>
              </w:rPr>
            </w:pPr>
          </w:p>
        </w:tc>
        <w:tc>
          <w:tcPr>
            <w:tcW w:w="3000" w:type="dxa"/>
            <w:vAlign w:val="bottom"/>
          </w:tcPr>
          <w:p>
            <w:pPr>
              <w:jc w:val="right"/>
              <w:ind w:right="1121"/>
              <w:spacing w:after="0"/>
              <w:rPr>
                <w:sz w:val="20"/>
                <w:szCs w:val="20"/>
                <w:color w:val="auto"/>
              </w:rPr>
            </w:pPr>
            <w:r>
              <w:rPr>
                <w:rFonts w:ascii="Arial" w:cs="Arial" w:eastAsia="Arial" w:hAnsi="Arial"/>
                <w:sz w:val="18"/>
                <w:szCs w:val="18"/>
                <w:b w:val="1"/>
                <w:bCs w:val="1"/>
                <w:color w:val="auto"/>
              </w:rPr>
              <w:t>48265-3000</w:t>
            </w:r>
          </w:p>
        </w:tc>
      </w:tr>
      <w:tr>
        <w:trPr>
          <w:trHeight w:val="186"/>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300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(313) 667-1500</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230.245)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2.03,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14, 2019, General Motors Company (“GM”) entered into a $3.0 billion 3-Year Revolving Credit Agreement with JPMorgan Chase Bank, N.A., as administrative agent, Citibank, N.A., as syndication agent, and the other lenders named therein (the “Facility”).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is available to GM only and only allows for borrowing in U.S. Dollars. In 18 months, the Facility is automatically and permanently reduced to $2.0 billion.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Facility.</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rates on obligations under the Facility are based on prevailing annual interest rates for Eurodollar loans or an alternative base rate, both subject to an applicable margin. This applicable margin will be based on the credit rating assigned to the Facility or to senior, unsecured long-term indebtedness of GM.</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Facility contains representations, warranties and covenants that are typical for this type of facility. These covenants include restrictions on mergers or sales of assets and secured debt borrowings, subject to exceptions and limitations. The Facility also requires that GM maintain at least $4.0 billion in global liquidity and at least $2.0 billion in U.S. liquidity.</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Some of the lenders under the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Facility and is qualified by reference in its entirety to the full text of the Facility filed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9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9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3-Year Revolving Credit Agreement among General Motors Company, the several lenders from time to time parties thereto, JPMorgan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Chase Bank, N.A., as administrative agent, and Citibank, N.A., as syndication agent.†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1603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2" w:lineRule="exact"/>
        <w:rPr>
          <w:sz w:val="20"/>
          <w:szCs w:val="20"/>
          <w:color w:val="auto"/>
        </w:rPr>
      </w:pPr>
    </w:p>
    <w:p>
      <w:pPr>
        <w:ind w:left="440" w:right="34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spacing w:after="0"/>
        <w:tabs>
          <w:tab w:leader="none" w:pos="5560" w:val="left"/>
          <w:tab w:leader="none" w:pos="6160" w:val="left"/>
        </w:tabs>
        <w:rPr>
          <w:sz w:val="20"/>
          <w:szCs w:val="20"/>
          <w:color w:val="auto"/>
        </w:rPr>
      </w:pPr>
      <w:r>
        <w:rPr>
          <w:rFonts w:ascii="Arial" w:cs="Arial" w:eastAsia="Arial" w:hAnsi="Arial"/>
          <w:sz w:val="18"/>
          <w:szCs w:val="18"/>
          <w:color w:val="auto"/>
        </w:rPr>
        <w:t>Date: January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Rick E. Hansen</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Assistant General Counsel &amp; Corporate Secretary</w:t>
      </w:r>
    </w:p>
    <w:p>
      <w:pPr>
        <w:sectPr>
          <w:pgSz w:w="11900" w:h="16838" w:orient="portrait"/>
          <w:cols w:equalWidth="0" w:num="1">
            <w:col w:w="10280"/>
          </w:cols>
          <w:pgMar w:left="440" w:top="270" w:right="1179" w:bottom="1440" w:gutter="0" w:footer="0" w:header="0"/>
        </w:sectPr>
      </w:pPr>
    </w:p>
    <w:bookmarkStart w:id="3" w:name="page4"/>
    <w:bookmarkEnd w:id="3"/>
    <w:tbl>
      <w:tblPr>
        <w:tblLayout w:type="fixed"/>
        <w:tblInd w:w="1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32"/>
        </w:trPr>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EXECUTION VERSION</w:t>
            </w:r>
          </w:p>
        </w:tc>
      </w:tr>
      <w:tr>
        <w:trPr>
          <w:trHeight w:val="432"/>
        </w:trPr>
        <w:tc>
          <w:tcPr>
            <w:tcW w:w="2320" w:type="dxa"/>
            <w:vAlign w:val="bottom"/>
          </w:tcPr>
          <w:p>
            <w:pPr>
              <w:spacing w:after="0"/>
              <w:rPr>
                <w:sz w:val="24"/>
                <w:szCs w:val="24"/>
                <w:color w:val="auto"/>
              </w:rPr>
            </w:pPr>
          </w:p>
        </w:tc>
        <w:tc>
          <w:tcPr>
            <w:tcW w:w="6520" w:type="dxa"/>
            <w:vAlign w:val="bottom"/>
            <w:gridSpan w:val="3"/>
          </w:tcPr>
          <w:p>
            <w:pPr>
              <w:jc w:val="center"/>
              <w:ind w:right="350"/>
              <w:spacing w:after="0"/>
              <w:rPr>
                <w:sz w:val="20"/>
                <w:szCs w:val="20"/>
                <w:color w:val="auto"/>
              </w:rPr>
            </w:pPr>
            <w:r>
              <w:rPr>
                <w:rFonts w:ascii="Arial" w:cs="Arial" w:eastAsia="Arial" w:hAnsi="Arial"/>
                <w:sz w:val="18"/>
                <w:szCs w:val="18"/>
                <w:color w:val="auto"/>
                <w:w w:val="97"/>
              </w:rPr>
              <w:t>3-YEAR REVOLVING CREDIT AGREEMENT</w:t>
            </w:r>
          </w:p>
        </w:tc>
        <w:tc>
          <w:tcPr>
            <w:tcW w:w="20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jc w:val="center"/>
              <w:ind w:right="190"/>
              <w:spacing w:after="0"/>
              <w:rPr>
                <w:sz w:val="20"/>
                <w:szCs w:val="20"/>
                <w:color w:val="auto"/>
              </w:rPr>
            </w:pPr>
            <w:r>
              <w:rPr>
                <w:rFonts w:ascii="Arial" w:cs="Arial" w:eastAsia="Arial" w:hAnsi="Arial"/>
                <w:sz w:val="18"/>
                <w:szCs w:val="18"/>
                <w:color w:val="auto"/>
                <w:w w:val="94"/>
              </w:rPr>
              <w:t>Among</w:t>
            </w:r>
          </w:p>
        </w:tc>
        <w:tc>
          <w:tcPr>
            <w:tcW w:w="2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4360" w:type="dxa"/>
            <w:vAlign w:val="bottom"/>
            <w:gridSpan w:val="2"/>
          </w:tcPr>
          <w:p>
            <w:pPr>
              <w:jc w:val="center"/>
              <w:ind w:left="1630"/>
              <w:spacing w:after="0"/>
              <w:rPr>
                <w:sz w:val="20"/>
                <w:szCs w:val="20"/>
                <w:color w:val="auto"/>
              </w:rPr>
            </w:pPr>
            <w:r>
              <w:rPr>
                <w:rFonts w:ascii="Arial" w:cs="Arial" w:eastAsia="Arial" w:hAnsi="Arial"/>
                <w:sz w:val="18"/>
                <w:szCs w:val="18"/>
                <w:color w:val="auto"/>
                <w:w w:val="96"/>
              </w:rPr>
              <w:t>GENERAL MOTORS COMPANY</w:t>
            </w:r>
          </w:p>
        </w:tc>
        <w:tc>
          <w:tcPr>
            <w:tcW w:w="2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jc w:val="center"/>
              <w:ind w:right="190"/>
              <w:spacing w:after="0"/>
              <w:rPr>
                <w:sz w:val="20"/>
                <w:szCs w:val="20"/>
                <w:color w:val="auto"/>
              </w:rPr>
            </w:pPr>
            <w:r>
              <w:rPr>
                <w:rFonts w:ascii="Arial" w:cs="Arial" w:eastAsia="Arial" w:hAnsi="Arial"/>
                <w:sz w:val="18"/>
                <w:szCs w:val="18"/>
                <w:color w:val="auto"/>
                <w:w w:val="86"/>
              </w:rPr>
              <w:t>and</w:t>
            </w:r>
          </w:p>
        </w:tc>
        <w:tc>
          <w:tcPr>
            <w:tcW w:w="2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6520" w:type="dxa"/>
            <w:vAlign w:val="bottom"/>
            <w:gridSpan w:val="3"/>
          </w:tcPr>
          <w:p>
            <w:pPr>
              <w:jc w:val="center"/>
              <w:ind w:right="370"/>
              <w:spacing w:after="0"/>
              <w:rPr>
                <w:sz w:val="20"/>
                <w:szCs w:val="20"/>
                <w:color w:val="auto"/>
              </w:rPr>
            </w:pPr>
            <w:r>
              <w:rPr>
                <w:rFonts w:ascii="Arial" w:cs="Arial" w:eastAsia="Arial" w:hAnsi="Arial"/>
                <w:sz w:val="18"/>
                <w:szCs w:val="18"/>
                <w:color w:val="auto"/>
                <w:w w:val="95"/>
              </w:rPr>
              <w:t>THE SEVERAL LENDERS FROM TIME TO TIME PARTIES HERETO,</w:t>
            </w:r>
          </w:p>
        </w:tc>
        <w:tc>
          <w:tcPr>
            <w:tcW w:w="20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jc w:val="center"/>
              <w:ind w:right="190"/>
              <w:spacing w:after="0"/>
              <w:rPr>
                <w:sz w:val="20"/>
                <w:szCs w:val="20"/>
                <w:color w:val="auto"/>
              </w:rPr>
            </w:pPr>
            <w:r>
              <w:rPr>
                <w:rFonts w:ascii="Arial" w:cs="Arial" w:eastAsia="Arial" w:hAnsi="Arial"/>
                <w:sz w:val="18"/>
                <w:szCs w:val="18"/>
                <w:color w:val="auto"/>
                <w:w w:val="88"/>
              </w:rPr>
              <w:t>Dated as of January 14, 2019</w:t>
            </w:r>
          </w:p>
        </w:tc>
        <w:tc>
          <w:tcPr>
            <w:tcW w:w="2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45"/>
        </w:trPr>
        <w:tc>
          <w:tcPr>
            <w:tcW w:w="4300" w:type="dxa"/>
            <w:vAlign w:val="bottom"/>
            <w:gridSpan w:val="2"/>
          </w:tcPr>
          <w:p>
            <w:pPr>
              <w:jc w:val="center"/>
              <w:ind w:left="930"/>
              <w:spacing w:after="0"/>
              <w:rPr>
                <w:sz w:val="20"/>
                <w:szCs w:val="20"/>
                <w:color w:val="auto"/>
              </w:rPr>
            </w:pPr>
            <w:r>
              <w:rPr>
                <w:rFonts w:ascii="Arial" w:cs="Arial" w:eastAsia="Arial" w:hAnsi="Arial"/>
                <w:sz w:val="18"/>
                <w:szCs w:val="18"/>
                <w:color w:val="auto"/>
                <w:w w:val="96"/>
              </w:rPr>
              <w:t>JPMORGAN CHASE BANK, N.A.,</w:t>
            </w:r>
          </w:p>
        </w:tc>
        <w:tc>
          <w:tcPr>
            <w:tcW w:w="2380" w:type="dxa"/>
            <w:vAlign w:val="bottom"/>
          </w:tcPr>
          <w:p>
            <w:pPr>
              <w:spacing w:after="0"/>
              <w:rPr>
                <w:sz w:val="24"/>
                <w:szCs w:val="24"/>
                <w:color w:val="auto"/>
              </w:rPr>
            </w:pPr>
          </w:p>
        </w:tc>
        <w:tc>
          <w:tcPr>
            <w:tcW w:w="4180" w:type="dxa"/>
            <w:vAlign w:val="bottom"/>
            <w:gridSpan w:val="2"/>
          </w:tcPr>
          <w:p>
            <w:pPr>
              <w:jc w:val="center"/>
              <w:ind w:right="890"/>
              <w:spacing w:after="0"/>
              <w:rPr>
                <w:sz w:val="20"/>
                <w:szCs w:val="20"/>
                <w:color w:val="auto"/>
              </w:rPr>
            </w:pPr>
            <w:r>
              <w:rPr>
                <w:rFonts w:ascii="Arial" w:cs="Arial" w:eastAsia="Arial" w:hAnsi="Arial"/>
                <w:sz w:val="18"/>
                <w:szCs w:val="18"/>
                <w:color w:val="auto"/>
              </w:rPr>
              <w:t>CITIBANK, N.A.,</w:t>
            </w:r>
          </w:p>
        </w:tc>
      </w:tr>
      <w:tr>
        <w:trPr>
          <w:trHeight w:val="216"/>
        </w:trPr>
        <w:tc>
          <w:tcPr>
            <w:tcW w:w="4300" w:type="dxa"/>
            <w:vAlign w:val="bottom"/>
            <w:gridSpan w:val="2"/>
          </w:tcPr>
          <w:p>
            <w:pPr>
              <w:jc w:val="center"/>
              <w:ind w:left="930"/>
              <w:spacing w:after="0"/>
              <w:rPr>
                <w:sz w:val="20"/>
                <w:szCs w:val="20"/>
                <w:color w:val="auto"/>
              </w:rPr>
            </w:pPr>
            <w:r>
              <w:rPr>
                <w:rFonts w:ascii="Arial" w:cs="Arial" w:eastAsia="Arial" w:hAnsi="Arial"/>
                <w:sz w:val="18"/>
                <w:szCs w:val="18"/>
                <w:i w:val="1"/>
                <w:iCs w:val="1"/>
                <w:color w:val="auto"/>
                <w:w w:val="92"/>
              </w:rPr>
              <w:t>as Administrative Agent, Global Coordinator,</w:t>
            </w:r>
          </w:p>
        </w:tc>
        <w:tc>
          <w:tcPr>
            <w:tcW w:w="2380" w:type="dxa"/>
            <w:vAlign w:val="bottom"/>
          </w:tcPr>
          <w:p>
            <w:pPr>
              <w:spacing w:after="0"/>
              <w:rPr>
                <w:sz w:val="18"/>
                <w:szCs w:val="18"/>
                <w:color w:val="auto"/>
              </w:rPr>
            </w:pPr>
          </w:p>
        </w:tc>
        <w:tc>
          <w:tcPr>
            <w:tcW w:w="4180" w:type="dxa"/>
            <w:vAlign w:val="bottom"/>
            <w:gridSpan w:val="2"/>
          </w:tcPr>
          <w:p>
            <w:pPr>
              <w:jc w:val="center"/>
              <w:ind w:right="890"/>
              <w:spacing w:after="0"/>
              <w:rPr>
                <w:sz w:val="20"/>
                <w:szCs w:val="20"/>
                <w:color w:val="auto"/>
              </w:rPr>
            </w:pPr>
            <w:r>
              <w:rPr>
                <w:rFonts w:ascii="Arial" w:cs="Arial" w:eastAsia="Arial" w:hAnsi="Arial"/>
                <w:sz w:val="18"/>
                <w:szCs w:val="18"/>
                <w:i w:val="1"/>
                <w:iCs w:val="1"/>
                <w:color w:val="auto"/>
                <w:w w:val="91"/>
              </w:rPr>
              <w:t>as Syndication Agent, Global Coordinator,</w:t>
            </w:r>
          </w:p>
        </w:tc>
      </w:tr>
      <w:tr>
        <w:trPr>
          <w:trHeight w:val="230"/>
        </w:trPr>
        <w:tc>
          <w:tcPr>
            <w:tcW w:w="4300" w:type="dxa"/>
            <w:vAlign w:val="bottom"/>
            <w:gridSpan w:val="2"/>
          </w:tcPr>
          <w:p>
            <w:pPr>
              <w:jc w:val="center"/>
              <w:ind w:left="930"/>
              <w:spacing w:after="0"/>
              <w:rPr>
                <w:sz w:val="20"/>
                <w:szCs w:val="20"/>
                <w:color w:val="auto"/>
              </w:rPr>
            </w:pPr>
            <w:r>
              <w:rPr>
                <w:rFonts w:ascii="Arial" w:cs="Arial" w:eastAsia="Arial" w:hAnsi="Arial"/>
                <w:sz w:val="18"/>
                <w:szCs w:val="18"/>
                <w:i w:val="1"/>
                <w:iCs w:val="1"/>
                <w:color w:val="auto"/>
                <w:w w:val="93"/>
              </w:rPr>
              <w:t>Joint Lead Arranger and Joint Bookrunner</w:t>
            </w:r>
          </w:p>
        </w:tc>
        <w:tc>
          <w:tcPr>
            <w:tcW w:w="2380" w:type="dxa"/>
            <w:vAlign w:val="bottom"/>
          </w:tcPr>
          <w:p>
            <w:pPr>
              <w:spacing w:after="0"/>
              <w:rPr>
                <w:sz w:val="20"/>
                <w:szCs w:val="20"/>
                <w:color w:val="auto"/>
              </w:rPr>
            </w:pPr>
          </w:p>
        </w:tc>
        <w:tc>
          <w:tcPr>
            <w:tcW w:w="4180" w:type="dxa"/>
            <w:vAlign w:val="bottom"/>
            <w:gridSpan w:val="2"/>
          </w:tcPr>
          <w:p>
            <w:pPr>
              <w:jc w:val="center"/>
              <w:ind w:right="890"/>
              <w:spacing w:after="0"/>
              <w:rPr>
                <w:sz w:val="20"/>
                <w:szCs w:val="20"/>
                <w:color w:val="auto"/>
              </w:rPr>
            </w:pPr>
            <w:r>
              <w:rPr>
                <w:rFonts w:ascii="Arial" w:cs="Arial" w:eastAsia="Arial" w:hAnsi="Arial"/>
                <w:sz w:val="18"/>
                <w:szCs w:val="18"/>
                <w:i w:val="1"/>
                <w:iCs w:val="1"/>
                <w:color w:val="auto"/>
                <w:w w:val="93"/>
              </w:rPr>
              <w:t>Joint Lead Arranger and Joint Bookrunner</w:t>
            </w:r>
          </w:p>
        </w:tc>
      </w:tr>
      <w:tr>
        <w:trPr>
          <w:trHeight w:val="458"/>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8"/>
              </w:rPr>
              <w:t>BANK OF</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7"/>
              </w:rPr>
              <w:t>BARCLAYS</w:t>
            </w:r>
          </w:p>
        </w:tc>
        <w:tc>
          <w:tcPr>
            <w:tcW w:w="2380" w:type="dxa"/>
            <w:vAlign w:val="bottom"/>
          </w:tcPr>
          <w:p>
            <w:pPr>
              <w:jc w:val="center"/>
              <w:ind w:left="150"/>
              <w:spacing w:after="0"/>
              <w:rPr>
                <w:sz w:val="20"/>
                <w:szCs w:val="20"/>
                <w:color w:val="auto"/>
              </w:rPr>
            </w:pPr>
            <w:r>
              <w:rPr>
                <w:rFonts w:ascii="Arial" w:cs="Arial" w:eastAsia="Arial" w:hAnsi="Arial"/>
                <w:sz w:val="18"/>
                <w:szCs w:val="18"/>
                <w:color w:val="auto"/>
                <w:w w:val="99"/>
              </w:rPr>
              <w:t>BANCO BILBAO</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9"/>
              </w:rPr>
              <w:t>COMMERZBANK</w:t>
            </w:r>
          </w:p>
        </w:tc>
      </w:tr>
      <w:tr>
        <w:trPr>
          <w:trHeight w:val="216"/>
        </w:trPr>
        <w:tc>
          <w:tcPr>
            <w:tcW w:w="2320" w:type="dxa"/>
            <w:vAlign w:val="bottom"/>
          </w:tcPr>
          <w:p>
            <w:pPr>
              <w:jc w:val="center"/>
              <w:ind w:right="230"/>
              <w:spacing w:after="0"/>
              <w:rPr>
                <w:sz w:val="20"/>
                <w:szCs w:val="20"/>
                <w:color w:val="auto"/>
              </w:rPr>
            </w:pPr>
            <w:r>
              <w:rPr>
                <w:rFonts w:ascii="Arial" w:cs="Arial" w:eastAsia="Arial" w:hAnsi="Arial"/>
                <w:sz w:val="18"/>
                <w:szCs w:val="18"/>
                <w:color w:val="auto"/>
              </w:rPr>
              <w:t>AMERICA,</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6"/>
              </w:rPr>
              <w:t>BANK PLC</w:t>
            </w:r>
            <w:r>
              <w:rPr>
                <w:rFonts w:ascii="Arial" w:cs="Arial" w:eastAsia="Arial" w:hAnsi="Arial"/>
                <w:sz w:val="15"/>
                <w:szCs w:val="15"/>
                <w:color w:val="auto"/>
                <w:w w:val="96"/>
              </w:rPr>
              <w:t>1,2</w:t>
            </w:r>
          </w:p>
        </w:tc>
        <w:tc>
          <w:tcPr>
            <w:tcW w:w="2380" w:type="dxa"/>
            <w:vAlign w:val="bottom"/>
          </w:tcPr>
          <w:p>
            <w:pPr>
              <w:jc w:val="center"/>
              <w:ind w:left="150"/>
              <w:spacing w:after="0"/>
              <w:rPr>
                <w:sz w:val="20"/>
                <w:szCs w:val="20"/>
                <w:color w:val="auto"/>
              </w:rPr>
            </w:pPr>
            <w:r>
              <w:rPr>
                <w:rFonts w:ascii="Arial" w:cs="Arial" w:eastAsia="Arial" w:hAnsi="Arial"/>
                <w:sz w:val="18"/>
                <w:szCs w:val="18"/>
                <w:color w:val="auto"/>
              </w:rPr>
              <w:t>VIZCAYA</w:t>
            </w:r>
          </w:p>
        </w:tc>
        <w:tc>
          <w:tcPr>
            <w:tcW w:w="21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6"/>
              </w:rPr>
              <w:t>AG,</w:t>
            </w:r>
          </w:p>
        </w:tc>
      </w:tr>
      <w:tr>
        <w:trPr>
          <w:trHeight w:val="216"/>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6"/>
              </w:rPr>
              <w:t>N.A.</w:t>
            </w:r>
            <w:r>
              <w:rPr>
                <w:rFonts w:ascii="Arial" w:cs="Arial" w:eastAsia="Arial" w:hAnsi="Arial"/>
                <w:sz w:val="15"/>
                <w:szCs w:val="15"/>
                <w:color w:val="auto"/>
                <w:w w:val="96"/>
              </w:rPr>
              <w:t>1, 2</w:t>
            </w:r>
          </w:p>
        </w:tc>
        <w:tc>
          <w:tcPr>
            <w:tcW w:w="1980" w:type="dxa"/>
            <w:vAlign w:val="bottom"/>
          </w:tcPr>
          <w:p>
            <w:pPr>
              <w:spacing w:after="0"/>
              <w:rPr>
                <w:sz w:val="18"/>
                <w:szCs w:val="18"/>
                <w:color w:val="auto"/>
              </w:rPr>
            </w:pPr>
          </w:p>
        </w:tc>
        <w:tc>
          <w:tcPr>
            <w:tcW w:w="2380" w:type="dxa"/>
            <w:vAlign w:val="bottom"/>
          </w:tcPr>
          <w:p>
            <w:pPr>
              <w:jc w:val="center"/>
              <w:ind w:left="130"/>
              <w:spacing w:after="0"/>
              <w:rPr>
                <w:sz w:val="20"/>
                <w:szCs w:val="20"/>
                <w:color w:val="auto"/>
              </w:rPr>
            </w:pPr>
            <w:r>
              <w:rPr>
                <w:rFonts w:ascii="Arial" w:cs="Arial" w:eastAsia="Arial" w:hAnsi="Arial"/>
                <w:sz w:val="18"/>
                <w:szCs w:val="18"/>
                <w:color w:val="auto"/>
                <w:w w:val="96"/>
              </w:rPr>
              <w:t>ARGENTARIA, S.A.</w:t>
            </w:r>
          </w:p>
        </w:tc>
        <w:tc>
          <w:tcPr>
            <w:tcW w:w="21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9"/>
              </w:rPr>
              <w:t>NEW YORK</w:t>
            </w:r>
          </w:p>
        </w:tc>
      </w:tr>
      <w:tr>
        <w:trPr>
          <w:trHeight w:val="216"/>
        </w:trPr>
        <w:tc>
          <w:tcPr>
            <w:tcW w:w="2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80" w:type="dxa"/>
            <w:vAlign w:val="bottom"/>
          </w:tcPr>
          <w:p>
            <w:pPr>
              <w:jc w:val="center"/>
              <w:ind w:left="130"/>
              <w:spacing w:after="0"/>
              <w:rPr>
                <w:sz w:val="20"/>
                <w:szCs w:val="20"/>
                <w:color w:val="auto"/>
              </w:rPr>
            </w:pPr>
            <w:r>
              <w:rPr>
                <w:rFonts w:ascii="Arial" w:cs="Arial" w:eastAsia="Arial" w:hAnsi="Arial"/>
                <w:sz w:val="18"/>
                <w:szCs w:val="18"/>
                <w:color w:val="auto"/>
                <w:w w:val="97"/>
              </w:rPr>
              <w:t>NEW YORK</w:t>
            </w:r>
          </w:p>
        </w:tc>
        <w:tc>
          <w:tcPr>
            <w:tcW w:w="21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r>
      <w:tr>
        <w:trPr>
          <w:trHeight w:val="230"/>
        </w:trPr>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80" w:type="dxa"/>
            <w:vAlign w:val="bottom"/>
          </w:tcPr>
          <w:p>
            <w:pPr>
              <w:jc w:val="center"/>
              <w:ind w:left="1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1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8"/>
              </w:rPr>
              <w:t>CREDIT</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4"/>
              </w:rPr>
              <w:t>DEUTSCHE</w:t>
            </w:r>
          </w:p>
        </w:tc>
        <w:tc>
          <w:tcPr>
            <w:tcW w:w="2380" w:type="dxa"/>
            <w:vAlign w:val="bottom"/>
          </w:tcPr>
          <w:p>
            <w:pPr>
              <w:jc w:val="center"/>
              <w:ind w:left="150"/>
              <w:spacing w:after="0"/>
              <w:rPr>
                <w:sz w:val="20"/>
                <w:szCs w:val="20"/>
                <w:color w:val="auto"/>
              </w:rPr>
            </w:pPr>
            <w:r>
              <w:rPr>
                <w:rFonts w:ascii="Arial" w:cs="Arial" w:eastAsia="Arial" w:hAnsi="Arial"/>
                <w:sz w:val="18"/>
                <w:szCs w:val="18"/>
                <w:color w:val="auto"/>
                <w:w w:val="97"/>
              </w:rPr>
              <w:t>GOLDMAN SACHS</w:t>
            </w:r>
          </w:p>
        </w:tc>
        <w:tc>
          <w:tcPr>
            <w:tcW w:w="2160" w:type="dxa"/>
            <w:vAlign w:val="bottom"/>
          </w:tcPr>
          <w:p>
            <w:pPr>
              <w:jc w:val="center"/>
              <w:spacing w:after="0"/>
              <w:rPr>
                <w:sz w:val="20"/>
                <w:szCs w:val="20"/>
                <w:color w:val="auto"/>
              </w:rPr>
            </w:pPr>
            <w:r>
              <w:rPr>
                <w:rFonts w:ascii="Arial" w:cs="Arial" w:eastAsia="Arial" w:hAnsi="Arial"/>
                <w:sz w:val="18"/>
                <w:szCs w:val="18"/>
                <w:color w:val="auto"/>
              </w:rPr>
              <w:t>INDUSTRIAL</w:t>
            </w:r>
          </w:p>
        </w:tc>
        <w:tc>
          <w:tcPr>
            <w:tcW w:w="2020" w:type="dxa"/>
            <w:vAlign w:val="bottom"/>
          </w:tcPr>
          <w:p>
            <w:pPr>
              <w:jc w:val="center"/>
              <w:ind w:left="90"/>
              <w:spacing w:after="0"/>
              <w:rPr>
                <w:sz w:val="20"/>
                <w:szCs w:val="20"/>
                <w:color w:val="auto"/>
              </w:rPr>
            </w:pPr>
            <w:r>
              <w:rPr>
                <w:rFonts w:ascii="Arial" w:cs="Arial" w:eastAsia="Arial" w:hAnsi="Arial"/>
                <w:sz w:val="18"/>
                <w:szCs w:val="18"/>
                <w:color w:val="auto"/>
                <w:w w:val="98"/>
              </w:rPr>
              <w:t>INTESA</w:t>
            </w:r>
          </w:p>
        </w:tc>
      </w:tr>
      <w:tr>
        <w:trPr>
          <w:trHeight w:val="216"/>
        </w:trPr>
        <w:tc>
          <w:tcPr>
            <w:tcW w:w="2320" w:type="dxa"/>
            <w:vAlign w:val="bottom"/>
          </w:tcPr>
          <w:p>
            <w:pPr>
              <w:jc w:val="center"/>
              <w:ind w:right="230"/>
              <w:spacing w:after="0"/>
              <w:rPr>
                <w:sz w:val="20"/>
                <w:szCs w:val="20"/>
                <w:color w:val="auto"/>
              </w:rPr>
            </w:pPr>
            <w:r>
              <w:rPr>
                <w:rFonts w:ascii="Arial" w:cs="Arial" w:eastAsia="Arial" w:hAnsi="Arial"/>
                <w:sz w:val="18"/>
                <w:szCs w:val="18"/>
                <w:color w:val="auto"/>
                <w:w w:val="94"/>
              </w:rPr>
              <w:t>AGRICOLE CORPORATE</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rPr>
              <w:t>BANK</w:t>
            </w:r>
          </w:p>
        </w:tc>
        <w:tc>
          <w:tcPr>
            <w:tcW w:w="2380" w:type="dxa"/>
            <w:vAlign w:val="bottom"/>
          </w:tcPr>
          <w:p>
            <w:pPr>
              <w:jc w:val="center"/>
              <w:ind w:left="150"/>
              <w:spacing w:after="0"/>
              <w:rPr>
                <w:sz w:val="20"/>
                <w:szCs w:val="20"/>
                <w:color w:val="auto"/>
              </w:rPr>
            </w:pPr>
            <w:r>
              <w:rPr>
                <w:rFonts w:ascii="Arial" w:cs="Arial" w:eastAsia="Arial" w:hAnsi="Arial"/>
                <w:sz w:val="18"/>
                <w:szCs w:val="18"/>
                <w:color w:val="auto"/>
                <w:w w:val="98"/>
              </w:rPr>
              <w:t>BANK USA</w:t>
            </w:r>
            <w:r>
              <w:rPr>
                <w:rFonts w:ascii="Arial" w:cs="Arial" w:eastAsia="Arial" w:hAnsi="Arial"/>
                <w:sz w:val="15"/>
                <w:szCs w:val="15"/>
                <w:color w:val="auto"/>
                <w:w w:val="98"/>
              </w:rPr>
              <w:t>1,2</w:t>
            </w:r>
          </w:p>
        </w:tc>
        <w:tc>
          <w:tcPr>
            <w:tcW w:w="2160" w:type="dxa"/>
            <w:vAlign w:val="bottom"/>
          </w:tcPr>
          <w:p>
            <w:pPr>
              <w:jc w:val="center"/>
              <w:spacing w:after="0"/>
              <w:rPr>
                <w:sz w:val="20"/>
                <w:szCs w:val="20"/>
                <w:color w:val="auto"/>
              </w:rPr>
            </w:pPr>
            <w:r>
              <w:rPr>
                <w:rFonts w:ascii="Arial" w:cs="Arial" w:eastAsia="Arial" w:hAnsi="Arial"/>
                <w:sz w:val="18"/>
                <w:szCs w:val="18"/>
                <w:color w:val="auto"/>
              </w:rPr>
              <w:t>AND</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4"/>
              </w:rPr>
              <w:t>SANPAOLO</w:t>
            </w:r>
          </w:p>
        </w:tc>
      </w:tr>
      <w:tr>
        <w:trPr>
          <w:trHeight w:val="216"/>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9"/>
              </w:rPr>
              <w:t>AND</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4"/>
              </w:rPr>
              <w:t>SECURITIES</w:t>
            </w:r>
          </w:p>
        </w:tc>
        <w:tc>
          <w:tcPr>
            <w:tcW w:w="2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COMMERCIAL BANK</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3"/>
              </w:rPr>
              <w:t>S.P.A. - NEW</w:t>
            </w:r>
          </w:p>
        </w:tc>
      </w:tr>
      <w:tr>
        <w:trPr>
          <w:trHeight w:val="216"/>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9"/>
              </w:rPr>
              <w:t xml:space="preserve">INVESTMENT BANK </w:t>
            </w:r>
            <w:r>
              <w:rPr>
                <w:rFonts w:ascii="Arial" w:cs="Arial" w:eastAsia="Arial" w:hAnsi="Arial"/>
                <w:sz w:val="15"/>
                <w:szCs w:val="15"/>
                <w:color w:val="auto"/>
                <w:w w:val="99"/>
              </w:rPr>
              <w:t>1,2</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2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7"/>
              </w:rPr>
              <w:t>OF CHINA</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7"/>
              </w:rPr>
              <w:t>YORK</w:t>
            </w:r>
          </w:p>
        </w:tc>
      </w:tr>
      <w:tr>
        <w:trPr>
          <w:trHeight w:val="216"/>
        </w:trPr>
        <w:tc>
          <w:tcPr>
            <w:tcW w:w="2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LIMITED NEW</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r>
      <w:tr>
        <w:trPr>
          <w:trHeight w:val="230"/>
        </w:trPr>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 xml:space="preserve">YORK BRANCH </w:t>
            </w:r>
            <w:r>
              <w:rPr>
                <w:rFonts w:ascii="Arial" w:cs="Arial" w:eastAsia="Arial" w:hAnsi="Arial"/>
                <w:sz w:val="15"/>
                <w:szCs w:val="15"/>
                <w:color w:val="auto"/>
                <w:w w:val="99"/>
              </w:rPr>
              <w:t>2</w:t>
            </w:r>
          </w:p>
        </w:tc>
        <w:tc>
          <w:tcPr>
            <w:tcW w:w="2020" w:type="dxa"/>
            <w:vAlign w:val="bottom"/>
          </w:tcPr>
          <w:p>
            <w:pPr>
              <w:spacing w:after="0"/>
              <w:rPr>
                <w:sz w:val="20"/>
                <w:szCs w:val="20"/>
                <w:color w:val="auto"/>
              </w:rPr>
            </w:pPr>
          </w:p>
        </w:tc>
      </w:tr>
      <w:tr>
        <w:trPr>
          <w:trHeight w:val="323"/>
        </w:trPr>
        <w:tc>
          <w:tcPr>
            <w:tcW w:w="2320" w:type="dxa"/>
            <w:vAlign w:val="bottom"/>
          </w:tcPr>
          <w:p>
            <w:pPr>
              <w:jc w:val="center"/>
              <w:ind w:right="230"/>
              <w:spacing w:after="0"/>
              <w:rPr>
                <w:sz w:val="20"/>
                <w:szCs w:val="20"/>
                <w:color w:val="auto"/>
              </w:rPr>
            </w:pPr>
            <w:r>
              <w:rPr>
                <w:rFonts w:ascii="Arial" w:cs="Arial" w:eastAsia="Arial" w:hAnsi="Arial"/>
                <w:sz w:val="18"/>
                <w:szCs w:val="18"/>
                <w:color w:val="auto"/>
              </w:rPr>
              <w:t>MIZUHO</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98"/>
              </w:rPr>
              <w:t>MORGAN</w:t>
            </w:r>
          </w:p>
        </w:tc>
        <w:tc>
          <w:tcPr>
            <w:tcW w:w="2380" w:type="dxa"/>
            <w:vAlign w:val="bottom"/>
          </w:tcPr>
          <w:p>
            <w:pPr>
              <w:jc w:val="center"/>
              <w:ind w:left="130"/>
              <w:spacing w:after="0"/>
              <w:rPr>
                <w:sz w:val="20"/>
                <w:szCs w:val="20"/>
                <w:color w:val="auto"/>
              </w:rPr>
            </w:pPr>
            <w:r>
              <w:rPr>
                <w:rFonts w:ascii="Arial" w:cs="Arial" w:eastAsia="Arial" w:hAnsi="Arial"/>
                <w:sz w:val="18"/>
                <w:szCs w:val="18"/>
                <w:color w:val="auto"/>
                <w:w w:val="95"/>
              </w:rPr>
              <w:t>NATWEST</w:t>
            </w:r>
          </w:p>
        </w:tc>
        <w:tc>
          <w:tcPr>
            <w:tcW w:w="2160" w:type="dxa"/>
            <w:vAlign w:val="bottom"/>
          </w:tcPr>
          <w:p>
            <w:pPr>
              <w:jc w:val="center"/>
              <w:spacing w:after="0"/>
              <w:rPr>
                <w:sz w:val="20"/>
                <w:szCs w:val="20"/>
                <w:color w:val="auto"/>
              </w:rPr>
            </w:pPr>
            <w:r>
              <w:rPr>
                <w:rFonts w:ascii="Arial" w:cs="Arial" w:eastAsia="Arial" w:hAnsi="Arial"/>
                <w:sz w:val="18"/>
                <w:szCs w:val="18"/>
                <w:color w:val="auto"/>
              </w:rPr>
              <w:t>NATIONAL</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6"/>
              </w:rPr>
              <w:t>RBC CAPITAL</w:t>
            </w:r>
          </w:p>
        </w:tc>
      </w:tr>
      <w:tr>
        <w:trPr>
          <w:trHeight w:val="216"/>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9"/>
              </w:rPr>
              <w:t>BANK, LTD.</w:t>
            </w:r>
            <w:r>
              <w:rPr>
                <w:rFonts w:ascii="Arial" w:cs="Arial" w:eastAsia="Arial" w:hAnsi="Arial"/>
                <w:sz w:val="15"/>
                <w:szCs w:val="15"/>
                <w:color w:val="auto"/>
                <w:w w:val="99"/>
              </w:rPr>
              <w:t>1,2</w:t>
            </w: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9"/>
              </w:rPr>
              <w:t>STANLEY</w:t>
            </w:r>
          </w:p>
        </w:tc>
        <w:tc>
          <w:tcPr>
            <w:tcW w:w="2380" w:type="dxa"/>
            <w:vAlign w:val="bottom"/>
          </w:tcPr>
          <w:p>
            <w:pPr>
              <w:jc w:val="center"/>
              <w:ind w:left="150"/>
              <w:spacing w:after="0"/>
              <w:rPr>
                <w:sz w:val="20"/>
                <w:szCs w:val="20"/>
                <w:color w:val="auto"/>
              </w:rPr>
            </w:pPr>
            <w:r>
              <w:rPr>
                <w:rFonts w:ascii="Arial" w:cs="Arial" w:eastAsia="Arial" w:hAnsi="Arial"/>
                <w:sz w:val="18"/>
                <w:szCs w:val="18"/>
                <w:color w:val="auto"/>
                <w:w w:val="95"/>
              </w:rPr>
              <w:t>MARKETS PLC</w:t>
            </w:r>
            <w:r>
              <w:rPr>
                <w:rFonts w:ascii="Arial" w:cs="Arial" w:eastAsia="Arial" w:hAnsi="Arial"/>
                <w:sz w:val="15"/>
                <w:szCs w:val="15"/>
                <w:color w:val="auto"/>
                <w:w w:val="95"/>
              </w:rPr>
              <w:t>1,2</w:t>
            </w: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WESTMINSTER</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r>
      <w:tr>
        <w:trPr>
          <w:trHeight w:val="216"/>
        </w:trPr>
        <w:tc>
          <w:tcPr>
            <w:tcW w:w="2320" w:type="dxa"/>
            <w:vAlign w:val="bottom"/>
          </w:tcPr>
          <w:p>
            <w:pPr>
              <w:spacing w:after="0"/>
              <w:rPr>
                <w:sz w:val="18"/>
                <w:szCs w:val="18"/>
                <w:color w:val="auto"/>
              </w:rPr>
            </w:pP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5"/>
              </w:rPr>
              <w:t>SENIOR</w:t>
            </w:r>
          </w:p>
        </w:tc>
        <w:tc>
          <w:tcPr>
            <w:tcW w:w="2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BANK PLC</w:t>
            </w:r>
            <w:r>
              <w:rPr>
                <w:rFonts w:ascii="Arial" w:cs="Arial" w:eastAsia="Arial" w:hAnsi="Arial"/>
                <w:sz w:val="15"/>
                <w:szCs w:val="15"/>
                <w:color w:val="auto"/>
                <w:w w:val="98"/>
              </w:rPr>
              <w:t>1,2</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7"/>
              </w:rPr>
              <w:t>ROYAL BANK OF</w:t>
            </w:r>
          </w:p>
        </w:tc>
      </w:tr>
      <w:tr>
        <w:trPr>
          <w:trHeight w:val="216"/>
        </w:trPr>
        <w:tc>
          <w:tcPr>
            <w:tcW w:w="2320" w:type="dxa"/>
            <w:vAlign w:val="bottom"/>
          </w:tcPr>
          <w:p>
            <w:pPr>
              <w:spacing w:after="0"/>
              <w:rPr>
                <w:sz w:val="18"/>
                <w:szCs w:val="18"/>
                <w:color w:val="auto"/>
              </w:rPr>
            </w:pP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8"/>
              </w:rPr>
              <w:t>FUNDING,</w:t>
            </w:r>
          </w:p>
        </w:tc>
        <w:tc>
          <w:tcPr>
            <w:tcW w:w="2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r>
      <w:tr>
        <w:trPr>
          <w:trHeight w:val="230"/>
        </w:trPr>
        <w:tc>
          <w:tcPr>
            <w:tcW w:w="2320" w:type="dxa"/>
            <w:vAlign w:val="bottom"/>
          </w:tcPr>
          <w:p>
            <w:pPr>
              <w:spacing w:after="0"/>
              <w:rPr>
                <w:sz w:val="20"/>
                <w:szCs w:val="20"/>
                <w:color w:val="auto"/>
              </w:rPr>
            </w:pPr>
          </w:p>
        </w:tc>
        <w:tc>
          <w:tcPr>
            <w:tcW w:w="1980" w:type="dxa"/>
            <w:vAlign w:val="bottom"/>
          </w:tcPr>
          <w:p>
            <w:pPr>
              <w:jc w:val="center"/>
              <w:ind w:left="7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2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37"/>
        </w:trPr>
        <w:tc>
          <w:tcPr>
            <w:tcW w:w="2320" w:type="dxa"/>
            <w:vAlign w:val="bottom"/>
          </w:tcPr>
          <w:p>
            <w:pPr>
              <w:jc w:val="center"/>
              <w:ind w:right="110"/>
              <w:spacing w:after="0"/>
              <w:rPr>
                <w:sz w:val="20"/>
                <w:szCs w:val="20"/>
                <w:color w:val="auto"/>
              </w:rPr>
            </w:pPr>
            <w:r>
              <w:rPr>
                <w:rFonts w:ascii="Arial" w:cs="Arial" w:eastAsia="Arial" w:hAnsi="Arial"/>
                <w:sz w:val="18"/>
                <w:szCs w:val="18"/>
                <w:color w:val="auto"/>
                <w:w w:val="99"/>
              </w:rPr>
              <w:t>SUMITOMO MITSUI</w:t>
            </w:r>
          </w:p>
        </w:tc>
        <w:tc>
          <w:tcPr>
            <w:tcW w:w="1980" w:type="dxa"/>
            <w:vAlign w:val="bottom"/>
          </w:tcPr>
          <w:p>
            <w:pPr>
              <w:jc w:val="center"/>
              <w:ind w:left="390"/>
              <w:spacing w:after="0"/>
              <w:rPr>
                <w:sz w:val="20"/>
                <w:szCs w:val="20"/>
                <w:color w:val="auto"/>
              </w:rPr>
            </w:pPr>
            <w:r>
              <w:rPr>
                <w:rFonts w:ascii="Arial" w:cs="Arial" w:eastAsia="Arial" w:hAnsi="Arial"/>
                <w:sz w:val="18"/>
                <w:szCs w:val="18"/>
                <w:color w:val="auto"/>
                <w:w w:val="93"/>
              </w:rPr>
              <w:t>SOCIÉTÉ</w:t>
            </w:r>
          </w:p>
        </w:tc>
        <w:tc>
          <w:tcPr>
            <w:tcW w:w="2380" w:type="dxa"/>
            <w:vAlign w:val="bottom"/>
          </w:tcPr>
          <w:p>
            <w:pPr>
              <w:jc w:val="center"/>
              <w:ind w:left="590"/>
              <w:spacing w:after="0"/>
              <w:rPr>
                <w:sz w:val="20"/>
                <w:szCs w:val="20"/>
                <w:color w:val="auto"/>
              </w:rPr>
            </w:pPr>
            <w:r>
              <w:rPr>
                <w:rFonts w:ascii="Arial" w:cs="Arial" w:eastAsia="Arial" w:hAnsi="Arial"/>
                <w:sz w:val="18"/>
                <w:szCs w:val="18"/>
                <w:color w:val="auto"/>
                <w:w w:val="96"/>
              </w:rPr>
              <w:t>THE TORONTO</w:t>
            </w:r>
          </w:p>
        </w:tc>
        <w:tc>
          <w:tcPr>
            <w:tcW w:w="2160" w:type="dxa"/>
            <w:vAlign w:val="bottom"/>
          </w:tcPr>
          <w:p>
            <w:pPr>
              <w:jc w:val="center"/>
              <w:ind w:left="190"/>
              <w:spacing w:after="0"/>
              <w:rPr>
                <w:sz w:val="20"/>
                <w:szCs w:val="20"/>
                <w:color w:val="auto"/>
              </w:rPr>
            </w:pPr>
            <w:r>
              <w:rPr>
                <w:rFonts w:ascii="Arial" w:cs="Arial" w:eastAsia="Arial" w:hAnsi="Arial"/>
                <w:sz w:val="18"/>
                <w:szCs w:val="18"/>
                <w:color w:val="auto"/>
                <w:w w:val="97"/>
              </w:rPr>
              <w:t>THE BANK OF NOVA</w:t>
            </w:r>
          </w:p>
        </w:tc>
        <w:tc>
          <w:tcPr>
            <w:tcW w:w="2020" w:type="dxa"/>
            <w:vAlign w:val="bottom"/>
          </w:tcPr>
          <w:p>
            <w:pPr>
              <w:jc w:val="center"/>
              <w:ind w:left="90"/>
              <w:spacing w:after="0"/>
              <w:rPr>
                <w:sz w:val="20"/>
                <w:szCs w:val="20"/>
                <w:color w:val="auto"/>
              </w:rPr>
            </w:pPr>
            <w:r>
              <w:rPr>
                <w:rFonts w:ascii="Arial" w:cs="Arial" w:eastAsia="Arial" w:hAnsi="Arial"/>
                <w:sz w:val="18"/>
                <w:szCs w:val="18"/>
                <w:color w:val="auto"/>
                <w:w w:val="95"/>
              </w:rPr>
              <w:t>WELLS FARGO</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color w:val="auto"/>
              </w:rPr>
              <w:t>BANKING</w:t>
            </w:r>
          </w:p>
        </w:tc>
        <w:tc>
          <w:tcPr>
            <w:tcW w:w="1980" w:type="dxa"/>
            <w:vAlign w:val="bottom"/>
          </w:tcPr>
          <w:p>
            <w:pPr>
              <w:jc w:val="center"/>
              <w:ind w:left="390"/>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2380" w:type="dxa"/>
            <w:vAlign w:val="bottom"/>
          </w:tcPr>
          <w:p>
            <w:pPr>
              <w:jc w:val="center"/>
              <w:ind w:left="590"/>
              <w:spacing w:after="0"/>
              <w:rPr>
                <w:sz w:val="20"/>
                <w:szCs w:val="20"/>
                <w:color w:val="auto"/>
              </w:rPr>
            </w:pPr>
            <w:r>
              <w:rPr>
                <w:rFonts w:ascii="Arial" w:cs="Arial" w:eastAsia="Arial" w:hAnsi="Arial"/>
                <w:sz w:val="18"/>
                <w:szCs w:val="18"/>
                <w:color w:val="auto"/>
              </w:rPr>
              <w:t>DOMINION BANK,</w:t>
            </w:r>
          </w:p>
        </w:tc>
        <w:tc>
          <w:tcPr>
            <w:tcW w:w="2160" w:type="dxa"/>
            <w:vAlign w:val="bottom"/>
          </w:tcPr>
          <w:p>
            <w:pPr>
              <w:jc w:val="center"/>
              <w:ind w:left="19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9"/>
              </w:rPr>
              <w:t>BANK, N.A.</w:t>
            </w:r>
            <w:r>
              <w:rPr>
                <w:rFonts w:ascii="Arial" w:cs="Arial" w:eastAsia="Arial" w:hAnsi="Arial"/>
                <w:sz w:val="15"/>
                <w:szCs w:val="15"/>
                <w:color w:val="auto"/>
                <w:w w:val="99"/>
              </w:rPr>
              <w:t>1,2</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CORPORATION</w:t>
            </w:r>
            <w:r>
              <w:rPr>
                <w:rFonts w:ascii="Arial" w:cs="Arial" w:eastAsia="Arial" w:hAnsi="Arial"/>
                <w:sz w:val="15"/>
                <w:szCs w:val="15"/>
                <w:color w:val="auto"/>
                <w:w w:val="92"/>
              </w:rPr>
              <w:t>1,2</w:t>
            </w:r>
          </w:p>
        </w:tc>
        <w:tc>
          <w:tcPr>
            <w:tcW w:w="1980" w:type="dxa"/>
            <w:vAlign w:val="bottom"/>
          </w:tcPr>
          <w:p>
            <w:pPr>
              <w:spacing w:after="0"/>
              <w:rPr>
                <w:sz w:val="18"/>
                <w:szCs w:val="18"/>
                <w:color w:val="auto"/>
              </w:rPr>
            </w:pPr>
          </w:p>
        </w:tc>
        <w:tc>
          <w:tcPr>
            <w:tcW w:w="2380" w:type="dxa"/>
            <w:vAlign w:val="bottom"/>
          </w:tcPr>
          <w:p>
            <w:pPr>
              <w:jc w:val="center"/>
              <w:ind w:left="570"/>
              <w:spacing w:after="0"/>
              <w:rPr>
                <w:sz w:val="20"/>
                <w:szCs w:val="20"/>
                <w:color w:val="auto"/>
              </w:rPr>
            </w:pPr>
            <w:r>
              <w:rPr>
                <w:rFonts w:ascii="Arial" w:cs="Arial" w:eastAsia="Arial" w:hAnsi="Arial"/>
                <w:sz w:val="18"/>
                <w:szCs w:val="18"/>
                <w:color w:val="auto"/>
                <w:w w:val="97"/>
              </w:rPr>
              <w:t>NEW YORK</w:t>
            </w:r>
          </w:p>
        </w:tc>
        <w:tc>
          <w:tcPr>
            <w:tcW w:w="21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80" w:type="dxa"/>
            <w:vAlign w:val="bottom"/>
          </w:tcPr>
          <w:p>
            <w:pPr>
              <w:jc w:val="center"/>
              <w:ind w:left="59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16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and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w:t>
      </w:r>
    </w:p>
    <w:p>
      <w:pPr>
        <w:sectPr>
          <w:pgSz w:w="11900" w:h="16838" w:orient="portrait"/>
          <w:cols w:equalWidth="0" w:num="1">
            <w:col w:w="11020"/>
          </w:cols>
          <w:pgMar w:left="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52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0"/>
                <w:szCs w:val="20"/>
                <w:color w:val="auto"/>
              </w:rPr>
            </w:pPr>
          </w:p>
        </w:tc>
      </w:tr>
      <w:tr>
        <w:trPr>
          <w:trHeight w:val="445"/>
        </w:trPr>
        <w:tc>
          <w:tcPr>
            <w:tcW w:w="8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52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7520" w:type="dxa"/>
            <w:vAlign w:val="bottom"/>
          </w:tcPr>
          <w:p>
            <w:pPr>
              <w:ind w:left="200"/>
              <w:spacing w:after="0"/>
              <w:rPr>
                <w:sz w:val="20"/>
                <w:szCs w:val="20"/>
                <w:color w:val="auto"/>
              </w:rPr>
            </w:pPr>
            <w:r>
              <w:rPr>
                <w:rFonts w:ascii="Arial" w:cs="Arial" w:eastAsia="Arial" w:hAnsi="Arial"/>
                <w:sz w:val="18"/>
                <w:szCs w:val="18"/>
                <w:color w:val="auto"/>
              </w:rPr>
              <w:t>Other Definitional Provisions</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7520" w:type="dxa"/>
            <w:vAlign w:val="bottom"/>
          </w:tcPr>
          <w:p>
            <w:pPr>
              <w:ind w:left="200"/>
              <w:spacing w:after="0"/>
              <w:rPr>
                <w:sz w:val="20"/>
                <w:szCs w:val="20"/>
                <w:color w:val="auto"/>
              </w:rPr>
            </w:pPr>
            <w:r>
              <w:rPr>
                <w:rFonts w:ascii="Arial" w:cs="Arial" w:eastAsia="Arial" w:hAnsi="Arial"/>
                <w:sz w:val="18"/>
                <w:szCs w:val="18"/>
                <w:color w:val="auto"/>
              </w:rPr>
              <w:t>Conversion of Foreign Currencies</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7520" w:type="dxa"/>
            <w:vAlign w:val="bottom"/>
          </w:tcPr>
          <w:p>
            <w:pPr>
              <w:ind w:left="200"/>
              <w:spacing w:after="0"/>
              <w:rPr>
                <w:sz w:val="20"/>
                <w:szCs w:val="20"/>
                <w:color w:val="auto"/>
              </w:rPr>
            </w:pPr>
            <w:r>
              <w:rPr>
                <w:rFonts w:ascii="Arial" w:cs="Arial" w:eastAsia="Arial" w:hAnsi="Arial"/>
                <w:sz w:val="18"/>
                <w:szCs w:val="18"/>
                <w:color w:val="auto"/>
              </w:rPr>
              <w:t>Other Interpretive Provisions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520" w:type="dxa"/>
            <w:vAlign w:val="bottom"/>
          </w:tcPr>
          <w:p>
            <w:pPr>
              <w:ind w:left="200"/>
              <w:spacing w:after="0"/>
              <w:rPr>
                <w:sz w:val="20"/>
                <w:szCs w:val="20"/>
                <w:color w:val="auto"/>
              </w:rPr>
            </w:pPr>
            <w:r>
              <w:rPr>
                <w:rFonts w:ascii="Arial" w:cs="Arial" w:eastAsia="Arial" w:hAnsi="Arial"/>
                <w:sz w:val="18"/>
                <w:szCs w:val="18"/>
                <w:color w:val="auto"/>
              </w:rPr>
              <w:t>Commitments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520" w:type="dxa"/>
            <w:vAlign w:val="bottom"/>
          </w:tcPr>
          <w:p>
            <w:pPr>
              <w:ind w:left="200"/>
              <w:spacing w:after="0"/>
              <w:rPr>
                <w:sz w:val="20"/>
                <w:szCs w:val="20"/>
                <w:color w:val="auto"/>
              </w:rPr>
            </w:pPr>
            <w:r>
              <w:rPr>
                <w:rFonts w:ascii="Arial" w:cs="Arial" w:eastAsia="Arial" w:hAnsi="Arial"/>
                <w:sz w:val="18"/>
                <w:szCs w:val="18"/>
                <w:color w:val="auto"/>
              </w:rPr>
              <w:t>Procedure for Borrowing</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520" w:type="dxa"/>
            <w:vAlign w:val="bottom"/>
          </w:tcPr>
          <w:p>
            <w:pPr>
              <w:ind w:left="200"/>
              <w:spacing w:after="0"/>
              <w:rPr>
                <w:sz w:val="20"/>
                <w:szCs w:val="20"/>
                <w:color w:val="auto"/>
              </w:rPr>
            </w:pPr>
            <w:r>
              <w:rPr>
                <w:rFonts w:ascii="Arial" w:cs="Arial" w:eastAsia="Arial" w:hAnsi="Arial"/>
                <w:sz w:val="18"/>
                <w:szCs w:val="18"/>
                <w:color w:val="auto"/>
              </w:rPr>
              <w:t>Competitive Bid Procedure</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520" w:type="dxa"/>
            <w:vAlign w:val="bottom"/>
          </w:tcPr>
          <w:p>
            <w:pPr>
              <w:ind w:left="200"/>
              <w:spacing w:after="0"/>
              <w:rPr>
                <w:sz w:val="20"/>
                <w:szCs w:val="20"/>
                <w:color w:val="auto"/>
              </w:rPr>
            </w:pPr>
            <w:r>
              <w:rPr>
                <w:rFonts w:ascii="Arial" w:cs="Arial" w:eastAsia="Arial" w:hAnsi="Arial"/>
                <w:sz w:val="18"/>
                <w:szCs w:val="18"/>
                <w:color w:val="auto"/>
              </w:rPr>
              <w:t>Facility Fees, etc.</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520" w:type="dxa"/>
            <w:vAlign w:val="bottom"/>
          </w:tcPr>
          <w:p>
            <w:pPr>
              <w:ind w:left="200"/>
              <w:spacing w:after="0"/>
              <w:rPr>
                <w:sz w:val="20"/>
                <w:szCs w:val="20"/>
                <w:color w:val="auto"/>
              </w:rPr>
            </w:pPr>
            <w:r>
              <w:rPr>
                <w:rFonts w:ascii="Arial" w:cs="Arial" w:eastAsia="Arial" w:hAnsi="Arial"/>
                <w:sz w:val="18"/>
                <w:szCs w:val="18"/>
                <w:color w:val="auto"/>
              </w:rPr>
              <w:t>Termination and Reduction of Commitments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520" w:type="dxa"/>
            <w:vAlign w:val="bottom"/>
          </w:tcPr>
          <w:p>
            <w:pPr>
              <w:ind w:left="200"/>
              <w:spacing w:after="0"/>
              <w:rPr>
                <w:sz w:val="20"/>
                <w:szCs w:val="20"/>
                <w:color w:val="auto"/>
              </w:rPr>
            </w:pPr>
            <w:r>
              <w:rPr>
                <w:rFonts w:ascii="Arial" w:cs="Arial" w:eastAsia="Arial" w:hAnsi="Arial"/>
                <w:sz w:val="18"/>
                <w:szCs w:val="18"/>
                <w:color w:val="auto"/>
              </w:rPr>
              <w:t>Optional Prepayments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7520" w:type="dxa"/>
            <w:vAlign w:val="bottom"/>
          </w:tcPr>
          <w:p>
            <w:pPr>
              <w:ind w:left="200"/>
              <w:spacing w:after="0"/>
              <w:rPr>
                <w:sz w:val="20"/>
                <w:szCs w:val="20"/>
                <w:color w:val="auto"/>
              </w:rPr>
            </w:pPr>
            <w:r>
              <w:rPr>
                <w:rFonts w:ascii="Arial" w:cs="Arial" w:eastAsia="Arial" w:hAnsi="Arial"/>
                <w:sz w:val="18"/>
                <w:szCs w:val="18"/>
                <w:color w:val="auto"/>
              </w:rPr>
              <w:t>Conversion and Continuation Options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2.15</w:t>
            </w:r>
          </w:p>
        </w:tc>
        <w:tc>
          <w:tcPr>
            <w:tcW w:w="7520" w:type="dxa"/>
            <w:vAlign w:val="bottom"/>
          </w:tcPr>
          <w:p>
            <w:pPr>
              <w:ind w:left="200"/>
              <w:spacing w:after="0"/>
              <w:rPr>
                <w:sz w:val="20"/>
                <w:szCs w:val="20"/>
                <w:color w:val="auto"/>
              </w:rPr>
            </w:pPr>
            <w:r>
              <w:rPr>
                <w:rFonts w:ascii="Arial" w:cs="Arial" w:eastAsia="Arial" w:hAnsi="Arial"/>
                <w:sz w:val="18"/>
                <w:szCs w:val="18"/>
                <w:color w:val="auto"/>
              </w:rPr>
              <w:t>Limitations on Eurocurrency Tranches</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2.16</w:t>
            </w:r>
          </w:p>
        </w:tc>
        <w:tc>
          <w:tcPr>
            <w:tcW w:w="7520" w:type="dxa"/>
            <w:vAlign w:val="bottom"/>
          </w:tcPr>
          <w:p>
            <w:pPr>
              <w:ind w:left="200"/>
              <w:spacing w:after="0"/>
              <w:rPr>
                <w:sz w:val="20"/>
                <w:szCs w:val="20"/>
                <w:color w:val="auto"/>
              </w:rPr>
            </w:pPr>
            <w:r>
              <w:rPr>
                <w:rFonts w:ascii="Arial" w:cs="Arial" w:eastAsia="Arial" w:hAnsi="Arial"/>
                <w:sz w:val="18"/>
                <w:szCs w:val="18"/>
                <w:color w:val="auto"/>
              </w:rPr>
              <w:t>Interest Rates and Payment Dates</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2.17</w:t>
            </w:r>
          </w:p>
        </w:tc>
        <w:tc>
          <w:tcPr>
            <w:tcW w:w="7520" w:type="dxa"/>
            <w:vAlign w:val="bottom"/>
          </w:tcPr>
          <w:p>
            <w:pPr>
              <w:ind w:left="200"/>
              <w:spacing w:after="0"/>
              <w:rPr>
                <w:sz w:val="20"/>
                <w:szCs w:val="20"/>
                <w:color w:val="auto"/>
              </w:rPr>
            </w:pPr>
            <w:r>
              <w:rPr>
                <w:rFonts w:ascii="Arial" w:cs="Arial" w:eastAsia="Arial" w:hAnsi="Arial"/>
                <w:sz w:val="18"/>
                <w:szCs w:val="18"/>
                <w:color w:val="auto"/>
              </w:rPr>
              <w:t>Computation of Interest and Fees</w:t>
            </w:r>
          </w:p>
        </w:tc>
        <w:tc>
          <w:tcPr>
            <w:tcW w:w="2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2.18</w:t>
            </w:r>
          </w:p>
        </w:tc>
        <w:tc>
          <w:tcPr>
            <w:tcW w:w="7520" w:type="dxa"/>
            <w:vAlign w:val="bottom"/>
          </w:tcPr>
          <w:p>
            <w:pPr>
              <w:ind w:left="200"/>
              <w:spacing w:after="0"/>
              <w:rPr>
                <w:sz w:val="20"/>
                <w:szCs w:val="20"/>
                <w:color w:val="auto"/>
              </w:rPr>
            </w:pPr>
            <w:r>
              <w:rPr>
                <w:rFonts w:ascii="Arial" w:cs="Arial" w:eastAsia="Arial" w:hAnsi="Arial"/>
                <w:sz w:val="18"/>
                <w:szCs w:val="18"/>
                <w:color w:val="auto"/>
              </w:rPr>
              <w:t>Inability to Determine Interest Rate; Illegality</w:t>
            </w:r>
          </w:p>
        </w:tc>
        <w:tc>
          <w:tcPr>
            <w:tcW w:w="2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2.19</w:t>
            </w:r>
          </w:p>
        </w:tc>
        <w:tc>
          <w:tcPr>
            <w:tcW w:w="7520" w:type="dxa"/>
            <w:vAlign w:val="bottom"/>
          </w:tcPr>
          <w:p>
            <w:pPr>
              <w:ind w:left="200"/>
              <w:spacing w:after="0"/>
              <w:rPr>
                <w:sz w:val="20"/>
                <w:szCs w:val="20"/>
                <w:color w:val="auto"/>
              </w:rPr>
            </w:pPr>
            <w:r>
              <w:rPr>
                <w:rFonts w:ascii="Arial" w:cs="Arial" w:eastAsia="Arial" w:hAnsi="Arial"/>
                <w:sz w:val="18"/>
                <w:szCs w:val="18"/>
                <w:color w:val="auto"/>
              </w:rPr>
              <w:t>Pro Rata Treatment and Payments; Evidence of Debt</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2.20</w:t>
            </w:r>
          </w:p>
        </w:tc>
        <w:tc>
          <w:tcPr>
            <w:tcW w:w="7520" w:type="dxa"/>
            <w:vAlign w:val="bottom"/>
          </w:tcPr>
          <w:p>
            <w:pPr>
              <w:ind w:left="200"/>
              <w:spacing w:after="0"/>
              <w:rPr>
                <w:sz w:val="20"/>
                <w:szCs w:val="20"/>
                <w:color w:val="auto"/>
              </w:rPr>
            </w:pPr>
            <w:r>
              <w:rPr>
                <w:rFonts w:ascii="Arial" w:cs="Arial" w:eastAsia="Arial" w:hAnsi="Arial"/>
                <w:sz w:val="18"/>
                <w:szCs w:val="18"/>
                <w:color w:val="auto"/>
              </w:rPr>
              <w:t>Requirements of Law</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2.21</w:t>
            </w:r>
          </w:p>
        </w:tc>
        <w:tc>
          <w:tcPr>
            <w:tcW w:w="7520" w:type="dxa"/>
            <w:vAlign w:val="bottom"/>
          </w:tcPr>
          <w:p>
            <w:pPr>
              <w:ind w:left="200"/>
              <w:spacing w:after="0"/>
              <w:rPr>
                <w:sz w:val="20"/>
                <w:szCs w:val="20"/>
                <w:color w:val="auto"/>
              </w:rPr>
            </w:pPr>
            <w:r>
              <w:rPr>
                <w:rFonts w:ascii="Arial" w:cs="Arial" w:eastAsia="Arial" w:hAnsi="Arial"/>
                <w:sz w:val="18"/>
                <w:szCs w:val="18"/>
                <w:color w:val="auto"/>
              </w:rPr>
              <w:t>Taxes</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2.22</w:t>
            </w:r>
          </w:p>
        </w:tc>
        <w:tc>
          <w:tcPr>
            <w:tcW w:w="752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2.23</w:t>
            </w:r>
          </w:p>
        </w:tc>
        <w:tc>
          <w:tcPr>
            <w:tcW w:w="7520" w:type="dxa"/>
            <w:vAlign w:val="bottom"/>
          </w:tcPr>
          <w:p>
            <w:pPr>
              <w:ind w:left="200"/>
              <w:spacing w:after="0"/>
              <w:rPr>
                <w:sz w:val="20"/>
                <w:szCs w:val="20"/>
                <w:color w:val="auto"/>
              </w:rPr>
            </w:pPr>
            <w:r>
              <w:rPr>
                <w:rFonts w:ascii="Arial" w:cs="Arial" w:eastAsia="Arial" w:hAnsi="Arial"/>
                <w:sz w:val="18"/>
                <w:szCs w:val="18"/>
                <w:color w:val="auto"/>
              </w:rPr>
              <w:t>Change of Applicable Lending Office</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2.24</w:t>
            </w:r>
          </w:p>
        </w:tc>
        <w:tc>
          <w:tcPr>
            <w:tcW w:w="7520" w:type="dxa"/>
            <w:vAlign w:val="bottom"/>
          </w:tcPr>
          <w:p>
            <w:pPr>
              <w:ind w:left="200"/>
              <w:spacing w:after="0"/>
              <w:rPr>
                <w:sz w:val="20"/>
                <w:szCs w:val="20"/>
                <w:color w:val="auto"/>
              </w:rPr>
            </w:pPr>
            <w:r>
              <w:rPr>
                <w:rFonts w:ascii="Arial" w:cs="Arial" w:eastAsia="Arial" w:hAnsi="Arial"/>
                <w:sz w:val="18"/>
                <w:szCs w:val="18"/>
                <w:color w:val="auto"/>
              </w:rPr>
              <w:t>Replacement/Termination of Lenders</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2.25</w:t>
            </w:r>
          </w:p>
        </w:tc>
        <w:tc>
          <w:tcPr>
            <w:tcW w:w="7520" w:type="dxa"/>
            <w:vAlign w:val="bottom"/>
          </w:tcPr>
          <w:p>
            <w:pPr>
              <w:ind w:left="200"/>
              <w:spacing w:after="0"/>
              <w:rPr>
                <w:sz w:val="20"/>
                <w:szCs w:val="20"/>
                <w:color w:val="auto"/>
              </w:rPr>
            </w:pPr>
            <w:r>
              <w:rPr>
                <w:rFonts w:ascii="Arial" w:cs="Arial" w:eastAsia="Arial" w:hAnsi="Arial"/>
                <w:sz w:val="18"/>
                <w:szCs w:val="18"/>
                <w:color w:val="auto"/>
              </w:rPr>
              <w:t>Defaulting Lender</w:t>
            </w: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2.26</w:t>
            </w:r>
          </w:p>
        </w:tc>
        <w:tc>
          <w:tcPr>
            <w:tcW w:w="7520" w:type="dxa"/>
            <w:vAlign w:val="bottom"/>
          </w:tcPr>
          <w:p>
            <w:pPr>
              <w:ind w:left="200"/>
              <w:spacing w:after="0"/>
              <w:rPr>
                <w:sz w:val="20"/>
                <w:szCs w:val="20"/>
                <w:color w:val="auto"/>
              </w:rPr>
            </w:pPr>
            <w:r>
              <w:rPr>
                <w:rFonts w:ascii="Arial" w:cs="Arial" w:eastAsia="Arial" w:hAnsi="Arial"/>
                <w:sz w:val="18"/>
                <w:szCs w:val="18"/>
                <w:color w:val="auto"/>
              </w:rPr>
              <w:t>Reallocation of Payments for the Account of Defaulting Lenders</w:t>
            </w: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2.27</w:t>
            </w:r>
          </w:p>
        </w:tc>
        <w:tc>
          <w:tcPr>
            <w:tcW w:w="7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SECTION 3.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520" w:type="dxa"/>
            <w:vAlign w:val="bottom"/>
          </w:tcPr>
          <w:p>
            <w:pPr>
              <w:ind w:left="200"/>
              <w:spacing w:after="0"/>
              <w:rPr>
                <w:sz w:val="20"/>
                <w:szCs w:val="20"/>
                <w:color w:val="auto"/>
              </w:rPr>
            </w:pPr>
            <w:r>
              <w:rPr>
                <w:rFonts w:ascii="Arial" w:cs="Arial" w:eastAsia="Arial" w:hAnsi="Arial"/>
                <w:sz w:val="18"/>
                <w:szCs w:val="18"/>
                <w:color w:val="auto"/>
              </w:rPr>
              <w:t>Financial Condition</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7520" w:type="dxa"/>
            <w:vAlign w:val="bottom"/>
          </w:tcPr>
          <w:p>
            <w:pPr>
              <w:ind w:left="200"/>
              <w:spacing w:after="0"/>
              <w:rPr>
                <w:sz w:val="20"/>
                <w:szCs w:val="20"/>
                <w:color w:val="auto"/>
              </w:rPr>
            </w:pPr>
            <w:r>
              <w:rPr>
                <w:rFonts w:ascii="Arial" w:cs="Arial" w:eastAsia="Arial" w:hAnsi="Arial"/>
                <w:sz w:val="18"/>
                <w:szCs w:val="18"/>
                <w:color w:val="auto"/>
              </w:rPr>
              <w:t>No Change</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676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3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4.4</w:t>
            </w:r>
          </w:p>
        </w:tc>
        <w:tc>
          <w:tcPr>
            <w:tcW w:w="6760" w:type="dxa"/>
            <w:vAlign w:val="bottom"/>
          </w:tcPr>
          <w:p>
            <w:pPr>
              <w:ind w:left="140"/>
              <w:spacing w:after="0"/>
              <w:rPr>
                <w:sz w:val="20"/>
                <w:szCs w:val="20"/>
                <w:color w:val="auto"/>
              </w:rPr>
            </w:pPr>
            <w:r>
              <w:rPr>
                <w:rFonts w:ascii="Arial" w:cs="Arial" w:eastAsia="Arial" w:hAnsi="Arial"/>
                <w:sz w:val="18"/>
                <w:szCs w:val="18"/>
                <w:color w:val="auto"/>
              </w:rPr>
              <w:t>Power; Authorization; Enforceable Obligations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4.5</w:t>
            </w:r>
          </w:p>
        </w:tc>
        <w:tc>
          <w:tcPr>
            <w:tcW w:w="6760" w:type="dxa"/>
            <w:vAlign w:val="bottom"/>
          </w:tcPr>
          <w:p>
            <w:pPr>
              <w:ind w:left="140"/>
              <w:spacing w:after="0"/>
              <w:rPr>
                <w:sz w:val="20"/>
                <w:szCs w:val="20"/>
                <w:color w:val="auto"/>
              </w:rPr>
            </w:pPr>
            <w:r>
              <w:rPr>
                <w:rFonts w:ascii="Arial" w:cs="Arial" w:eastAsia="Arial" w:hAnsi="Arial"/>
                <w:sz w:val="18"/>
                <w:szCs w:val="18"/>
                <w:color w:val="auto"/>
              </w:rPr>
              <w:t>No Legal Bar</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4.6</w:t>
            </w:r>
          </w:p>
        </w:tc>
        <w:tc>
          <w:tcPr>
            <w:tcW w:w="67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4.7</w:t>
            </w:r>
          </w:p>
        </w:tc>
        <w:tc>
          <w:tcPr>
            <w:tcW w:w="6760" w:type="dxa"/>
            <w:vAlign w:val="bottom"/>
          </w:tcPr>
          <w:p>
            <w:pPr>
              <w:ind w:left="140"/>
              <w:spacing w:after="0"/>
              <w:rPr>
                <w:sz w:val="20"/>
                <w:szCs w:val="20"/>
                <w:color w:val="auto"/>
              </w:rPr>
            </w:pPr>
            <w:r>
              <w:rPr>
                <w:rFonts w:ascii="Arial" w:cs="Arial" w:eastAsia="Arial" w:hAnsi="Arial"/>
                <w:sz w:val="18"/>
                <w:szCs w:val="18"/>
                <w:color w:val="auto"/>
              </w:rPr>
              <w:t>No Default</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4.8</w:t>
            </w:r>
          </w:p>
        </w:tc>
        <w:tc>
          <w:tcPr>
            <w:tcW w:w="6760" w:type="dxa"/>
            <w:vAlign w:val="bottom"/>
          </w:tcPr>
          <w:p>
            <w:pPr>
              <w:ind w:left="140"/>
              <w:spacing w:after="0"/>
              <w:rPr>
                <w:sz w:val="20"/>
                <w:szCs w:val="20"/>
                <w:color w:val="auto"/>
              </w:rPr>
            </w:pPr>
            <w:r>
              <w:rPr>
                <w:rFonts w:ascii="Arial" w:cs="Arial" w:eastAsia="Arial" w:hAnsi="Arial"/>
                <w:sz w:val="18"/>
                <w:szCs w:val="18"/>
                <w:color w:val="auto"/>
              </w:rPr>
              <w:t>Ownership of Property</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4.9</w:t>
            </w:r>
          </w:p>
        </w:tc>
        <w:tc>
          <w:tcPr>
            <w:tcW w:w="676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4.10</w:t>
            </w:r>
          </w:p>
        </w:tc>
        <w:tc>
          <w:tcPr>
            <w:tcW w:w="6760" w:type="dxa"/>
            <w:vAlign w:val="bottom"/>
          </w:tcPr>
          <w:p>
            <w:pPr>
              <w:ind w:left="140"/>
              <w:spacing w:after="0"/>
              <w:rPr>
                <w:sz w:val="20"/>
                <w:szCs w:val="20"/>
                <w:color w:val="auto"/>
              </w:rPr>
            </w:pPr>
            <w:r>
              <w:rPr>
                <w:rFonts w:ascii="Arial" w:cs="Arial" w:eastAsia="Arial" w:hAnsi="Arial"/>
                <w:sz w:val="18"/>
                <w:szCs w:val="18"/>
                <w:color w:val="auto"/>
              </w:rPr>
              <w:t>Federal Regulations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4.11</w:t>
            </w:r>
          </w:p>
        </w:tc>
        <w:tc>
          <w:tcPr>
            <w:tcW w:w="6760" w:type="dxa"/>
            <w:vAlign w:val="bottom"/>
          </w:tcPr>
          <w:p>
            <w:pPr>
              <w:ind w:left="140"/>
              <w:spacing w:after="0"/>
              <w:rPr>
                <w:sz w:val="20"/>
                <w:szCs w:val="20"/>
                <w:color w:val="auto"/>
              </w:rPr>
            </w:pPr>
            <w:r>
              <w:rPr>
                <w:rFonts w:ascii="Arial" w:cs="Arial" w:eastAsia="Arial" w:hAnsi="Arial"/>
                <w:sz w:val="18"/>
                <w:szCs w:val="18"/>
                <w:color w:val="auto"/>
              </w:rPr>
              <w:t>ERISA</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4.12</w:t>
            </w:r>
          </w:p>
        </w:tc>
        <w:tc>
          <w:tcPr>
            <w:tcW w:w="6760" w:type="dxa"/>
            <w:vAlign w:val="bottom"/>
          </w:tcPr>
          <w:p>
            <w:pPr>
              <w:ind w:left="140"/>
              <w:spacing w:after="0"/>
              <w:rPr>
                <w:sz w:val="20"/>
                <w:szCs w:val="20"/>
                <w:color w:val="auto"/>
              </w:rPr>
            </w:pPr>
            <w:r>
              <w:rPr>
                <w:rFonts w:ascii="Arial" w:cs="Arial" w:eastAsia="Arial" w:hAnsi="Arial"/>
                <w:sz w:val="18"/>
                <w:szCs w:val="18"/>
                <w:color w:val="auto"/>
              </w:rPr>
              <w:t>Investment Company Act</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4.13</w:t>
            </w:r>
          </w:p>
        </w:tc>
        <w:tc>
          <w:tcPr>
            <w:tcW w:w="67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4.14</w:t>
            </w:r>
          </w:p>
        </w:tc>
        <w:tc>
          <w:tcPr>
            <w:tcW w:w="676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4.15</w:t>
            </w:r>
          </w:p>
        </w:tc>
        <w:tc>
          <w:tcPr>
            <w:tcW w:w="676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6760" w:type="dxa"/>
            <w:vAlign w:val="bottom"/>
          </w:tcPr>
          <w:p>
            <w:pPr>
              <w:ind w:left="140"/>
              <w:spacing w:after="0"/>
              <w:rPr>
                <w:sz w:val="20"/>
                <w:szCs w:val="20"/>
                <w:color w:val="auto"/>
              </w:rPr>
            </w:pPr>
            <w:r>
              <w:rPr>
                <w:rFonts w:ascii="Arial" w:cs="Arial" w:eastAsia="Arial" w:hAnsi="Arial"/>
                <w:sz w:val="18"/>
                <w:szCs w:val="18"/>
                <w:color w:val="auto"/>
              </w:rPr>
              <w:t>Conditions to Closing Date</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6760" w:type="dxa"/>
            <w:vAlign w:val="bottom"/>
          </w:tcPr>
          <w:p>
            <w:pPr>
              <w:ind w:left="140"/>
              <w:spacing w:after="0"/>
              <w:rPr>
                <w:sz w:val="20"/>
                <w:szCs w:val="20"/>
                <w:color w:val="auto"/>
              </w:rPr>
            </w:pPr>
            <w:r>
              <w:rPr>
                <w:rFonts w:ascii="Arial" w:cs="Arial" w:eastAsia="Arial" w:hAnsi="Arial"/>
                <w:sz w:val="18"/>
                <w:szCs w:val="18"/>
                <w:color w:val="auto"/>
              </w:rPr>
              <w:t>Conditions to Each Extension of Credit</w:t>
            </w:r>
          </w:p>
        </w:tc>
        <w:tc>
          <w:tcPr>
            <w:tcW w:w="3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3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6.1</w:t>
            </w:r>
          </w:p>
        </w:tc>
        <w:tc>
          <w:tcPr>
            <w:tcW w:w="676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3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6.2</w:t>
            </w:r>
          </w:p>
        </w:tc>
        <w:tc>
          <w:tcPr>
            <w:tcW w:w="676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6.3</w:t>
            </w:r>
          </w:p>
        </w:tc>
        <w:tc>
          <w:tcPr>
            <w:tcW w:w="6760" w:type="dxa"/>
            <w:vAlign w:val="bottom"/>
          </w:tcPr>
          <w:p>
            <w:pPr>
              <w:ind w:left="140"/>
              <w:spacing w:after="0"/>
              <w:rPr>
                <w:sz w:val="20"/>
                <w:szCs w:val="20"/>
                <w:color w:val="auto"/>
              </w:rPr>
            </w:pPr>
            <w:r>
              <w:rPr>
                <w:rFonts w:ascii="Arial" w:cs="Arial" w:eastAsia="Arial" w:hAnsi="Arial"/>
                <w:sz w:val="18"/>
                <w:szCs w:val="18"/>
                <w:color w:val="auto"/>
              </w:rPr>
              <w:t>Maintenance of Business; Existence</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6.4</w:t>
            </w:r>
          </w:p>
        </w:tc>
        <w:tc>
          <w:tcPr>
            <w:tcW w:w="6760" w:type="dxa"/>
            <w:vAlign w:val="bottom"/>
          </w:tcPr>
          <w:p>
            <w:pPr>
              <w:ind w:left="140"/>
              <w:spacing w:after="0"/>
              <w:rPr>
                <w:sz w:val="20"/>
                <w:szCs w:val="20"/>
                <w:color w:val="auto"/>
              </w:rPr>
            </w:pPr>
            <w:r>
              <w:rPr>
                <w:rFonts w:ascii="Arial" w:cs="Arial" w:eastAsia="Arial" w:hAnsi="Arial"/>
                <w:sz w:val="18"/>
                <w:szCs w:val="18"/>
                <w:color w:val="auto"/>
              </w:rPr>
              <w:t>Maintenance of Insurance</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6.5</w:t>
            </w:r>
          </w:p>
        </w:tc>
        <w:tc>
          <w:tcPr>
            <w:tcW w:w="6760" w:type="dxa"/>
            <w:vAlign w:val="bottom"/>
          </w:tcPr>
          <w:p>
            <w:pPr>
              <w:ind w:left="140"/>
              <w:spacing w:after="0"/>
              <w:rPr>
                <w:sz w:val="20"/>
                <w:szCs w:val="20"/>
                <w:color w:val="auto"/>
              </w:rPr>
            </w:pPr>
            <w:r>
              <w:rPr>
                <w:rFonts w:ascii="Arial" w:cs="Arial" w:eastAsia="Arial" w:hAnsi="Arial"/>
                <w:sz w:val="18"/>
                <w:szCs w:val="18"/>
                <w:color w:val="auto"/>
              </w:rPr>
              <w:t>Notices</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6.6</w:t>
            </w:r>
          </w:p>
        </w:tc>
        <w:tc>
          <w:tcPr>
            <w:tcW w:w="6760" w:type="dxa"/>
            <w:vAlign w:val="bottom"/>
          </w:tcPr>
          <w:p>
            <w:pPr>
              <w:ind w:left="140"/>
              <w:spacing w:after="0"/>
              <w:rPr>
                <w:sz w:val="20"/>
                <w:szCs w:val="20"/>
                <w:color w:val="auto"/>
              </w:rPr>
            </w:pPr>
            <w:r>
              <w:rPr>
                <w:rFonts w:ascii="Arial" w:cs="Arial" w:eastAsia="Arial" w:hAnsi="Arial"/>
                <w:sz w:val="18"/>
                <w:szCs w:val="18"/>
                <w:color w:val="auto"/>
              </w:rPr>
              <w:t>Reinstated Guarantors, etc.</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6.7</w:t>
            </w:r>
          </w:p>
        </w:tc>
        <w:tc>
          <w:tcPr>
            <w:tcW w:w="676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6.8</w:t>
            </w:r>
          </w:p>
        </w:tc>
        <w:tc>
          <w:tcPr>
            <w:tcW w:w="6760" w:type="dxa"/>
            <w:vAlign w:val="bottom"/>
          </w:tcPr>
          <w:p>
            <w:pPr>
              <w:ind w:left="140"/>
              <w:spacing w:after="0"/>
              <w:rPr>
                <w:sz w:val="20"/>
                <w:szCs w:val="20"/>
                <w:color w:val="auto"/>
              </w:rPr>
            </w:pPr>
            <w:r>
              <w:rPr>
                <w:rFonts w:ascii="Arial" w:cs="Arial" w:eastAsia="Arial" w:hAnsi="Arial"/>
                <w:sz w:val="18"/>
                <w:szCs w:val="18"/>
                <w:color w:val="auto"/>
              </w:rPr>
              <w:t>Ratings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7.1</w:t>
            </w:r>
          </w:p>
        </w:tc>
        <w:tc>
          <w:tcPr>
            <w:tcW w:w="6760" w:type="dxa"/>
            <w:vAlign w:val="bottom"/>
          </w:tcPr>
          <w:p>
            <w:pPr>
              <w:ind w:left="140"/>
              <w:spacing w:after="0"/>
              <w:rPr>
                <w:sz w:val="20"/>
                <w:szCs w:val="20"/>
                <w:color w:val="auto"/>
              </w:rPr>
            </w:pPr>
            <w:r>
              <w:rPr>
                <w:rFonts w:ascii="Arial" w:cs="Arial" w:eastAsia="Arial" w:hAnsi="Arial"/>
                <w:sz w:val="18"/>
                <w:szCs w:val="18"/>
                <w:color w:val="auto"/>
              </w:rPr>
              <w:t>Minimum Liquidity</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7.2</w:t>
            </w:r>
          </w:p>
        </w:tc>
        <w:tc>
          <w:tcPr>
            <w:tcW w:w="676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7.3</w:t>
            </w:r>
          </w:p>
        </w:tc>
        <w:tc>
          <w:tcPr>
            <w:tcW w:w="6760" w:type="dxa"/>
            <w:vAlign w:val="bottom"/>
          </w:tcPr>
          <w:p>
            <w:pPr>
              <w:ind w:left="140"/>
              <w:spacing w:after="0"/>
              <w:rPr>
                <w:sz w:val="20"/>
                <w:szCs w:val="20"/>
                <w:color w:val="auto"/>
              </w:rPr>
            </w:pPr>
            <w:r>
              <w:rPr>
                <w:rFonts w:ascii="Arial" w:cs="Arial" w:eastAsia="Arial" w:hAnsi="Arial"/>
                <w:sz w:val="18"/>
                <w:szCs w:val="18"/>
                <w:color w:val="auto"/>
              </w:rPr>
              <w:t>Asset Sale Restrictions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7.4</w:t>
            </w:r>
          </w:p>
        </w:tc>
        <w:tc>
          <w:tcPr>
            <w:tcW w:w="676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7.5</w:t>
            </w:r>
          </w:p>
        </w:tc>
        <w:tc>
          <w:tcPr>
            <w:tcW w:w="676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3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9.1</w:t>
            </w:r>
          </w:p>
        </w:tc>
        <w:tc>
          <w:tcPr>
            <w:tcW w:w="6760" w:type="dxa"/>
            <w:vAlign w:val="bottom"/>
          </w:tcPr>
          <w:p>
            <w:pPr>
              <w:ind w:left="140"/>
              <w:spacing w:after="0"/>
              <w:rPr>
                <w:sz w:val="20"/>
                <w:szCs w:val="20"/>
                <w:color w:val="auto"/>
              </w:rPr>
            </w:pPr>
            <w:r>
              <w:rPr>
                <w:rFonts w:ascii="Arial" w:cs="Arial" w:eastAsia="Arial" w:hAnsi="Arial"/>
                <w:sz w:val="18"/>
                <w:szCs w:val="18"/>
                <w:color w:val="auto"/>
              </w:rPr>
              <w:t>Appointment</w:t>
            </w:r>
          </w:p>
        </w:tc>
        <w:tc>
          <w:tcPr>
            <w:tcW w:w="3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9.2</w:t>
            </w:r>
          </w:p>
        </w:tc>
        <w:tc>
          <w:tcPr>
            <w:tcW w:w="6760" w:type="dxa"/>
            <w:vAlign w:val="bottom"/>
          </w:tcPr>
          <w:p>
            <w:pPr>
              <w:ind w:left="140"/>
              <w:spacing w:after="0"/>
              <w:rPr>
                <w:sz w:val="20"/>
                <w:szCs w:val="20"/>
                <w:color w:val="auto"/>
              </w:rPr>
            </w:pPr>
            <w:r>
              <w:rPr>
                <w:rFonts w:ascii="Arial" w:cs="Arial" w:eastAsia="Arial" w:hAnsi="Arial"/>
                <w:sz w:val="18"/>
                <w:szCs w:val="18"/>
                <w:color w:val="auto"/>
              </w:rPr>
              <w:t>Delegation of Duties</w:t>
            </w:r>
          </w:p>
        </w:tc>
        <w:tc>
          <w:tcPr>
            <w:tcW w:w="3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9.3</w:t>
            </w:r>
          </w:p>
        </w:tc>
        <w:tc>
          <w:tcPr>
            <w:tcW w:w="676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3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9.4</w:t>
            </w:r>
          </w:p>
        </w:tc>
        <w:tc>
          <w:tcPr>
            <w:tcW w:w="6760" w:type="dxa"/>
            <w:vAlign w:val="bottom"/>
          </w:tcPr>
          <w:p>
            <w:pPr>
              <w:ind w:left="140"/>
              <w:spacing w:after="0"/>
              <w:rPr>
                <w:sz w:val="20"/>
                <w:szCs w:val="20"/>
                <w:color w:val="auto"/>
              </w:rPr>
            </w:pPr>
            <w:r>
              <w:rPr>
                <w:rFonts w:ascii="Arial" w:cs="Arial" w:eastAsia="Arial" w:hAnsi="Arial"/>
                <w:sz w:val="18"/>
                <w:szCs w:val="18"/>
                <w:color w:val="auto"/>
              </w:rPr>
              <w:t>Reliance by Administrative Agent</w:t>
            </w:r>
          </w:p>
        </w:tc>
        <w:tc>
          <w:tcPr>
            <w:tcW w:w="3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9.5</w:t>
            </w:r>
          </w:p>
        </w:tc>
        <w:tc>
          <w:tcPr>
            <w:tcW w:w="6760" w:type="dxa"/>
            <w:vAlign w:val="bottom"/>
          </w:tcPr>
          <w:p>
            <w:pPr>
              <w:ind w:left="140"/>
              <w:spacing w:after="0"/>
              <w:rPr>
                <w:sz w:val="20"/>
                <w:szCs w:val="20"/>
                <w:color w:val="auto"/>
              </w:rPr>
            </w:pPr>
            <w:r>
              <w:rPr>
                <w:rFonts w:ascii="Arial" w:cs="Arial" w:eastAsia="Arial" w:hAnsi="Arial"/>
                <w:sz w:val="18"/>
                <w:szCs w:val="18"/>
                <w:color w:val="auto"/>
              </w:rPr>
              <w:t>Notice of Default</w:t>
            </w:r>
          </w:p>
        </w:tc>
        <w:tc>
          <w:tcPr>
            <w:tcW w:w="3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9.6</w:t>
            </w:r>
          </w:p>
        </w:tc>
        <w:tc>
          <w:tcPr>
            <w:tcW w:w="6760" w:type="dxa"/>
            <w:vAlign w:val="bottom"/>
          </w:tcPr>
          <w:p>
            <w:pPr>
              <w:ind w:left="140"/>
              <w:spacing w:after="0"/>
              <w:rPr>
                <w:sz w:val="20"/>
                <w:szCs w:val="20"/>
                <w:color w:val="auto"/>
              </w:rPr>
            </w:pPr>
            <w:r>
              <w:rPr>
                <w:rFonts w:ascii="Arial" w:cs="Arial" w:eastAsia="Arial" w:hAnsi="Arial"/>
                <w:sz w:val="18"/>
                <w:szCs w:val="18"/>
                <w:color w:val="auto"/>
              </w:rPr>
              <w:t>Non-Reliance on Agents and Other Lenders</w:t>
            </w:r>
          </w:p>
        </w:tc>
        <w:tc>
          <w:tcPr>
            <w:tcW w:w="33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9.7</w:t>
            </w:r>
          </w:p>
        </w:tc>
        <w:tc>
          <w:tcPr>
            <w:tcW w:w="910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9.8</w:t>
            </w:r>
          </w:p>
        </w:tc>
        <w:tc>
          <w:tcPr>
            <w:tcW w:w="910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9.9</w:t>
            </w:r>
          </w:p>
        </w:tc>
        <w:tc>
          <w:tcPr>
            <w:tcW w:w="9100" w:type="dxa"/>
            <w:vAlign w:val="bottom"/>
          </w:tcPr>
          <w:p>
            <w:pPr>
              <w:ind w:left="160"/>
              <w:spacing w:after="0"/>
              <w:rPr>
                <w:sz w:val="20"/>
                <w:szCs w:val="20"/>
                <w:color w:val="auto"/>
              </w:rPr>
            </w:pPr>
            <w:r>
              <w:rPr>
                <w:rFonts w:ascii="Arial" w:cs="Arial" w:eastAsia="Arial" w:hAnsi="Arial"/>
                <w:sz w:val="18"/>
                <w:szCs w:val="18"/>
                <w:color w:val="auto"/>
              </w:rPr>
              <w:t>Successor Administrative Agent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9.10</w:t>
            </w:r>
          </w:p>
        </w:tc>
        <w:tc>
          <w:tcPr>
            <w:tcW w:w="91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9.11</w:t>
            </w:r>
          </w:p>
        </w:tc>
        <w:tc>
          <w:tcPr>
            <w:tcW w:w="9100" w:type="dxa"/>
            <w:vAlign w:val="bottom"/>
          </w:tcPr>
          <w:p>
            <w:pPr>
              <w:ind w:left="160"/>
              <w:spacing w:after="0"/>
              <w:rPr>
                <w:sz w:val="20"/>
                <w:szCs w:val="20"/>
                <w:color w:val="auto"/>
              </w:rPr>
            </w:pPr>
            <w:r>
              <w:rPr>
                <w:rFonts w:ascii="Arial" w:cs="Arial" w:eastAsia="Arial" w:hAnsi="Arial"/>
                <w:sz w:val="18"/>
                <w:szCs w:val="18"/>
                <w:color w:val="auto"/>
                <w:w w:val="99"/>
              </w:rPr>
              <w:t>Bookrunners, Lead Arrangers, Global and Regional Coordinators, Documentation Agents and Syndication Agent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9.12</w:t>
            </w:r>
          </w:p>
        </w:tc>
        <w:tc>
          <w:tcPr>
            <w:tcW w:w="9100" w:type="dxa"/>
            <w:vAlign w:val="bottom"/>
          </w:tcPr>
          <w:p>
            <w:pPr>
              <w:ind w:left="160"/>
              <w:spacing w:after="0"/>
              <w:rPr>
                <w:sz w:val="20"/>
                <w:szCs w:val="20"/>
                <w:color w:val="auto"/>
              </w:rPr>
            </w:pPr>
            <w:r>
              <w:rPr>
                <w:rFonts w:ascii="Arial" w:cs="Arial" w:eastAsia="Arial" w:hAnsi="Arial"/>
                <w:sz w:val="18"/>
                <w:szCs w:val="18"/>
                <w:color w:val="auto"/>
              </w:rPr>
              <w:t>Certain ERISA Matters</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10.1</w:t>
            </w:r>
          </w:p>
        </w:tc>
        <w:tc>
          <w:tcPr>
            <w:tcW w:w="910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10.2</w:t>
            </w:r>
          </w:p>
        </w:tc>
        <w:tc>
          <w:tcPr>
            <w:tcW w:w="9100" w:type="dxa"/>
            <w:vAlign w:val="bottom"/>
          </w:tcPr>
          <w:p>
            <w:pPr>
              <w:ind w:left="160"/>
              <w:spacing w:after="0"/>
              <w:rPr>
                <w:sz w:val="20"/>
                <w:szCs w:val="20"/>
                <w:color w:val="auto"/>
              </w:rPr>
            </w:pPr>
            <w:r>
              <w:rPr>
                <w:rFonts w:ascii="Arial" w:cs="Arial" w:eastAsia="Arial" w:hAnsi="Arial"/>
                <w:sz w:val="18"/>
                <w:szCs w:val="18"/>
                <w:color w:val="auto"/>
              </w:rPr>
              <w:t>Notices</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10.3</w:t>
            </w:r>
          </w:p>
        </w:tc>
        <w:tc>
          <w:tcPr>
            <w:tcW w:w="9100" w:type="dxa"/>
            <w:vAlign w:val="bottom"/>
          </w:tcPr>
          <w:p>
            <w:pPr>
              <w:ind w:left="160"/>
              <w:spacing w:after="0"/>
              <w:rPr>
                <w:sz w:val="20"/>
                <w:szCs w:val="20"/>
                <w:color w:val="auto"/>
              </w:rPr>
            </w:pPr>
            <w:r>
              <w:rPr>
                <w:rFonts w:ascii="Arial" w:cs="Arial" w:eastAsia="Arial" w:hAnsi="Arial"/>
                <w:sz w:val="18"/>
                <w:szCs w:val="18"/>
                <w:color w:val="auto"/>
              </w:rPr>
              <w:t>No Waiver; Cumulative Remedies</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10.4</w:t>
            </w:r>
          </w:p>
        </w:tc>
        <w:tc>
          <w:tcPr>
            <w:tcW w:w="910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10.5</w:t>
            </w:r>
          </w:p>
        </w:tc>
        <w:tc>
          <w:tcPr>
            <w:tcW w:w="9100" w:type="dxa"/>
            <w:vAlign w:val="bottom"/>
          </w:tcPr>
          <w:p>
            <w:pPr>
              <w:ind w:left="160"/>
              <w:spacing w:after="0"/>
              <w:rPr>
                <w:sz w:val="20"/>
                <w:szCs w:val="20"/>
                <w:color w:val="auto"/>
              </w:rPr>
            </w:pPr>
            <w:r>
              <w:rPr>
                <w:rFonts w:ascii="Arial" w:cs="Arial" w:eastAsia="Arial" w:hAnsi="Arial"/>
                <w:sz w:val="18"/>
                <w:szCs w:val="18"/>
                <w:color w:val="auto"/>
              </w:rPr>
              <w:t>Payment of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10.6</w:t>
            </w:r>
          </w:p>
        </w:tc>
        <w:tc>
          <w:tcPr>
            <w:tcW w:w="9100" w:type="dxa"/>
            <w:vAlign w:val="bottom"/>
          </w:tcPr>
          <w:p>
            <w:pPr>
              <w:ind w:left="160"/>
              <w:spacing w:after="0"/>
              <w:rPr>
                <w:sz w:val="20"/>
                <w:szCs w:val="20"/>
                <w:color w:val="auto"/>
              </w:rPr>
            </w:pPr>
            <w:r>
              <w:rPr>
                <w:rFonts w:ascii="Arial" w:cs="Arial" w:eastAsia="Arial" w:hAnsi="Arial"/>
                <w:sz w:val="18"/>
                <w:szCs w:val="18"/>
                <w:color w:val="auto"/>
              </w:rPr>
              <w:t>Successors and Assigns; Participations and Assignments</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10.7</w:t>
            </w:r>
          </w:p>
        </w:tc>
        <w:tc>
          <w:tcPr>
            <w:tcW w:w="910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10.8</w:t>
            </w:r>
          </w:p>
        </w:tc>
        <w:tc>
          <w:tcPr>
            <w:tcW w:w="91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10.9</w:t>
            </w:r>
          </w:p>
        </w:tc>
        <w:tc>
          <w:tcPr>
            <w:tcW w:w="91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10.10</w:t>
            </w:r>
          </w:p>
        </w:tc>
        <w:tc>
          <w:tcPr>
            <w:tcW w:w="9100" w:type="dxa"/>
            <w:vAlign w:val="bottom"/>
          </w:tcPr>
          <w:p>
            <w:pPr>
              <w:ind w:left="160"/>
              <w:spacing w:after="0"/>
              <w:rPr>
                <w:sz w:val="20"/>
                <w:szCs w:val="20"/>
                <w:color w:val="auto"/>
              </w:rPr>
            </w:pPr>
            <w:r>
              <w:rPr>
                <w:rFonts w:ascii="Arial" w:cs="Arial" w:eastAsia="Arial" w:hAnsi="Arial"/>
                <w:sz w:val="18"/>
                <w:szCs w:val="18"/>
                <w:color w:val="auto"/>
              </w:rPr>
              <w:t>Integration</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10.11</w:t>
            </w:r>
          </w:p>
        </w:tc>
        <w:tc>
          <w:tcPr>
            <w:tcW w:w="91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10.12</w:t>
            </w:r>
          </w:p>
        </w:tc>
        <w:tc>
          <w:tcPr>
            <w:tcW w:w="9100" w:type="dxa"/>
            <w:vAlign w:val="bottom"/>
          </w:tcPr>
          <w:p>
            <w:pPr>
              <w:ind w:left="160"/>
              <w:spacing w:after="0"/>
              <w:rPr>
                <w:sz w:val="20"/>
                <w:szCs w:val="20"/>
                <w:color w:val="auto"/>
              </w:rPr>
            </w:pPr>
            <w:r>
              <w:rPr>
                <w:rFonts w:ascii="Arial" w:cs="Arial" w:eastAsia="Arial" w:hAnsi="Arial"/>
                <w:sz w:val="18"/>
                <w:szCs w:val="18"/>
                <w:color w:val="auto"/>
              </w:rPr>
              <w:t>Submission to Jurisdiction; Waivers</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10.13</w:t>
            </w:r>
          </w:p>
        </w:tc>
        <w:tc>
          <w:tcPr>
            <w:tcW w:w="9100" w:type="dxa"/>
            <w:vAlign w:val="bottom"/>
          </w:tcPr>
          <w:p>
            <w:pPr>
              <w:ind w:left="160"/>
              <w:spacing w:after="0"/>
              <w:rPr>
                <w:sz w:val="20"/>
                <w:szCs w:val="20"/>
                <w:color w:val="auto"/>
              </w:rPr>
            </w:pPr>
            <w:r>
              <w:rPr>
                <w:rFonts w:ascii="Arial" w:cs="Arial" w:eastAsia="Arial" w:hAnsi="Arial"/>
                <w:sz w:val="18"/>
                <w:szCs w:val="18"/>
                <w:color w:val="auto"/>
              </w:rPr>
              <w:t>Judgment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10.14</w:t>
            </w:r>
          </w:p>
        </w:tc>
        <w:tc>
          <w:tcPr>
            <w:tcW w:w="9100" w:type="dxa"/>
            <w:vAlign w:val="bottom"/>
          </w:tcPr>
          <w:p>
            <w:pPr>
              <w:ind w:left="160"/>
              <w:spacing w:after="0"/>
              <w:rPr>
                <w:sz w:val="20"/>
                <w:szCs w:val="20"/>
                <w:color w:val="auto"/>
              </w:rPr>
            </w:pPr>
            <w:r>
              <w:rPr>
                <w:rFonts w:ascii="Arial" w:cs="Arial" w:eastAsia="Arial" w:hAnsi="Arial"/>
                <w:sz w:val="18"/>
                <w:szCs w:val="18"/>
                <w:color w:val="auto"/>
              </w:rPr>
              <w:t>Acknowledgments</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10.15</w:t>
            </w:r>
          </w:p>
        </w:tc>
        <w:tc>
          <w:tcPr>
            <w:tcW w:w="9100" w:type="dxa"/>
            <w:vAlign w:val="bottom"/>
          </w:tcPr>
          <w:p>
            <w:pPr>
              <w:ind w:left="160"/>
              <w:spacing w:after="0"/>
              <w:rPr>
                <w:sz w:val="20"/>
                <w:szCs w:val="20"/>
                <w:color w:val="auto"/>
              </w:rPr>
            </w:pPr>
            <w:r>
              <w:rPr>
                <w:rFonts w:ascii="Arial" w:cs="Arial" w:eastAsia="Arial" w:hAnsi="Arial"/>
                <w:sz w:val="18"/>
                <w:szCs w:val="18"/>
                <w:color w:val="auto"/>
              </w:rPr>
              <w:t>Releases of Guarantees</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10.16</w:t>
            </w:r>
          </w:p>
        </w:tc>
        <w:tc>
          <w:tcPr>
            <w:tcW w:w="91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10.17</w:t>
            </w:r>
          </w:p>
        </w:tc>
        <w:tc>
          <w:tcPr>
            <w:tcW w:w="9100" w:type="dxa"/>
            <w:vAlign w:val="bottom"/>
          </w:tcPr>
          <w:p>
            <w:pPr>
              <w:ind w:left="160"/>
              <w:spacing w:after="0"/>
              <w:rPr>
                <w:sz w:val="20"/>
                <w:szCs w:val="20"/>
                <w:color w:val="auto"/>
              </w:rPr>
            </w:pPr>
            <w:r>
              <w:rPr>
                <w:rFonts w:ascii="Arial" w:cs="Arial" w:eastAsia="Arial" w:hAnsi="Arial"/>
                <w:sz w:val="18"/>
                <w:szCs w:val="18"/>
                <w:color w:val="auto"/>
              </w:rPr>
              <w:t>WAIVERS OF JURY TRIAL</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10.18</w:t>
            </w:r>
          </w:p>
        </w:tc>
        <w:tc>
          <w:tcPr>
            <w:tcW w:w="910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10.19</w:t>
            </w:r>
          </w:p>
        </w:tc>
        <w:tc>
          <w:tcPr>
            <w:tcW w:w="91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10.20</w:t>
            </w:r>
          </w:p>
        </w:tc>
        <w:tc>
          <w:tcPr>
            <w:tcW w:w="910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1.1A</w:t>
            </w:r>
          </w:p>
        </w:tc>
        <w:tc>
          <w:tcPr>
            <w:tcW w:w="2440" w:type="dxa"/>
            <w:vAlign w:val="bottom"/>
          </w:tcPr>
          <w:p>
            <w:pPr>
              <w:ind w:left="120"/>
              <w:spacing w:after="0"/>
              <w:rPr>
                <w:sz w:val="20"/>
                <w:szCs w:val="20"/>
                <w:color w:val="auto"/>
              </w:rPr>
            </w:pPr>
            <w:r>
              <w:rPr>
                <w:rFonts w:ascii="Arial" w:cs="Arial" w:eastAsia="Arial" w:hAnsi="Arial"/>
                <w:sz w:val="18"/>
                <w:szCs w:val="18"/>
                <w:color w:val="auto"/>
              </w:rPr>
              <w:t>Commitments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1.1B</w:t>
            </w:r>
          </w:p>
        </w:tc>
        <w:tc>
          <w:tcPr>
            <w:tcW w:w="2440" w:type="dxa"/>
            <w:vAlign w:val="bottom"/>
          </w:tcPr>
          <w:p>
            <w:pPr>
              <w:ind w:left="120"/>
              <w:spacing w:after="0"/>
              <w:rPr>
                <w:sz w:val="20"/>
                <w:szCs w:val="20"/>
                <w:color w:val="auto"/>
              </w:rPr>
            </w:pPr>
            <w:r>
              <w:rPr>
                <w:rFonts w:ascii="Arial" w:cs="Arial" w:eastAsia="Arial" w:hAnsi="Arial"/>
                <w:sz w:val="18"/>
                <w:szCs w:val="18"/>
                <w:color w:val="auto"/>
              </w:rPr>
              <w:t>Initial Excluded Subsidiaries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1.1C</w:t>
            </w:r>
          </w:p>
        </w:tc>
        <w:tc>
          <w:tcPr>
            <w:tcW w:w="2440" w:type="dxa"/>
            <w:vAlign w:val="bottom"/>
          </w:tcPr>
          <w:p>
            <w:pPr>
              <w:ind w:left="120"/>
              <w:spacing w:after="0"/>
              <w:rPr>
                <w:sz w:val="20"/>
                <w:szCs w:val="20"/>
                <w:color w:val="auto"/>
              </w:rPr>
            </w:pPr>
            <w:r>
              <w:rPr>
                <w:rFonts w:ascii="Arial" w:cs="Arial" w:eastAsia="Arial" w:hAnsi="Arial"/>
                <w:sz w:val="18"/>
                <w:szCs w:val="18"/>
                <w:color w:val="auto"/>
              </w:rPr>
              <w:t>Applicable Pricing Grid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1.1D</w:t>
            </w:r>
          </w:p>
        </w:tc>
        <w:tc>
          <w:tcPr>
            <w:tcW w:w="2440" w:type="dxa"/>
            <w:vAlign w:val="bottom"/>
          </w:tcPr>
          <w:p>
            <w:pPr>
              <w:ind w:left="120"/>
              <w:spacing w:after="0"/>
              <w:rPr>
                <w:sz w:val="20"/>
                <w:szCs w:val="20"/>
                <w:color w:val="auto"/>
              </w:rPr>
            </w:pPr>
            <w:r>
              <w:rPr>
                <w:rFonts w:ascii="Arial" w:cs="Arial" w:eastAsia="Arial" w:hAnsi="Arial"/>
                <w:sz w:val="18"/>
                <w:szCs w:val="18"/>
                <w:color w:val="auto"/>
              </w:rPr>
              <w:t>Existing Liens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1.1E</w:t>
            </w:r>
          </w:p>
        </w:tc>
        <w:tc>
          <w:tcPr>
            <w:tcW w:w="2440" w:type="dxa"/>
            <w:vAlign w:val="bottom"/>
          </w:tcPr>
          <w:p>
            <w:pPr>
              <w:ind w:left="120"/>
              <w:spacing w:after="0"/>
              <w:rPr>
                <w:sz w:val="20"/>
                <w:szCs w:val="20"/>
                <w:color w:val="auto"/>
              </w:rPr>
            </w:pPr>
            <w:r>
              <w:rPr>
                <w:rFonts w:ascii="Arial" w:cs="Arial" w:eastAsia="Arial" w:hAnsi="Arial"/>
                <w:sz w:val="18"/>
                <w:szCs w:val="18"/>
                <w:color w:val="auto"/>
                <w:w w:val="88"/>
              </w:rPr>
              <w:t>Excluded Subsidiary Businesses</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2440" w:type="dxa"/>
            <w:vAlign w:val="bottom"/>
          </w:tcPr>
          <w:p>
            <w:pPr>
              <w:ind w:left="120"/>
              <w:spacing w:after="0"/>
              <w:rPr>
                <w:sz w:val="20"/>
                <w:szCs w:val="20"/>
                <w:color w:val="auto"/>
              </w:rPr>
            </w:pPr>
            <w:r>
              <w:rPr>
                <w:rFonts w:ascii="Arial" w:cs="Arial" w:eastAsia="Arial" w:hAnsi="Arial"/>
                <w:sz w:val="18"/>
                <w:szCs w:val="18"/>
                <w:color w:val="auto"/>
              </w:rPr>
              <w:t>Litigation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right="7119" w:firstLine="4"/>
        <w:spacing w:after="0" w:line="250"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Competitive Bid Request C Form of Competitive Bid</w:t>
      </w:r>
    </w:p>
    <w:p>
      <w:pPr>
        <w:spacing w:after="0"/>
        <w:rPr>
          <w:rFonts w:ascii="Arial" w:cs="Arial" w:eastAsia="Arial" w:hAnsi="Arial"/>
          <w:sz w:val="18"/>
          <w:szCs w:val="18"/>
          <w:color w:val="auto"/>
        </w:rPr>
      </w:pPr>
      <w:r>
        <w:rPr>
          <w:rFonts w:ascii="Arial" w:cs="Arial" w:eastAsia="Arial" w:hAnsi="Arial"/>
          <w:sz w:val="18"/>
          <w:szCs w:val="18"/>
          <w:color w:val="auto"/>
        </w:rPr>
        <w:t>D    Form of Competitive Bid Accept/Reject Letter</w:t>
      </w:r>
    </w:p>
    <w:p>
      <w:pPr>
        <w:spacing w:after="0" w:line="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right="6859" w:firstLine="4"/>
        <w:spacing w:after="0" w:line="250"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Assignment and Assumption H [Reserved]</w:t>
      </w:r>
    </w:p>
    <w:p>
      <w:pPr>
        <w:ind w:right="4499"/>
        <w:spacing w:after="0" w:line="265" w:lineRule="auto"/>
        <w:rPr>
          <w:rFonts w:ascii="Arial" w:cs="Arial" w:eastAsia="Arial" w:hAnsi="Arial"/>
          <w:sz w:val="18"/>
          <w:szCs w:val="18"/>
          <w:color w:val="auto"/>
        </w:rPr>
      </w:pPr>
      <w:r>
        <w:rPr>
          <w:rFonts w:ascii="Arial" w:cs="Arial" w:eastAsia="Arial" w:hAnsi="Arial"/>
          <w:sz w:val="17"/>
          <w:szCs w:val="17"/>
          <w:color w:val="auto"/>
        </w:rPr>
        <w:t>I-1 Form of Exemption Certificate for Non-Partnership Non-U.S. Lenders I-2 Form of Exemption Certificate for Partnership Non-U.S. Lenders</w:t>
      </w:r>
    </w:p>
    <w:p>
      <w:pPr>
        <w:ind w:right="4219"/>
        <w:spacing w:after="0" w:line="265" w:lineRule="auto"/>
        <w:rPr>
          <w:rFonts w:ascii="Arial" w:cs="Arial" w:eastAsia="Arial" w:hAnsi="Arial"/>
          <w:sz w:val="18"/>
          <w:szCs w:val="18"/>
          <w:color w:val="auto"/>
        </w:rPr>
      </w:pPr>
      <w:r>
        <w:rPr>
          <w:rFonts w:ascii="Arial" w:cs="Arial" w:eastAsia="Arial" w:hAnsi="Arial"/>
          <w:sz w:val="17"/>
          <w:szCs w:val="17"/>
          <w:color w:val="auto"/>
        </w:rPr>
        <w:t>I-3 Form of Exemption Certificate for Non-Partnership Non-U.S. Participants I-4 Form of Exemption Certificate for Partnership Non-U.S. Participants</w:t>
      </w:r>
    </w:p>
    <w:p>
      <w:pPr>
        <w:ind w:right="7259"/>
        <w:spacing w:after="0" w:line="250" w:lineRule="auto"/>
        <w:rPr>
          <w:rFonts w:ascii="Arial" w:cs="Arial" w:eastAsia="Arial" w:hAnsi="Arial"/>
          <w:sz w:val="18"/>
          <w:szCs w:val="18"/>
          <w:color w:val="auto"/>
        </w:rPr>
      </w:pPr>
      <w:r>
        <w:rPr>
          <w:rFonts w:ascii="Arial" w:cs="Arial" w:eastAsia="Arial" w:hAnsi="Arial"/>
          <w:sz w:val="18"/>
          <w:szCs w:val="18"/>
          <w:color w:val="auto"/>
        </w:rPr>
        <w:t>J Form of Compliance Certificate K Form of Note</w:t>
      </w:r>
    </w:p>
    <w:p>
      <w:pPr>
        <w:ind w:right="7539"/>
        <w:spacing w:after="0" w:line="261" w:lineRule="auto"/>
        <w:rPr>
          <w:rFonts w:ascii="Arial" w:cs="Arial" w:eastAsia="Arial" w:hAnsi="Arial"/>
          <w:sz w:val="18"/>
          <w:szCs w:val="18"/>
          <w:color w:val="auto"/>
        </w:rPr>
      </w:pPr>
      <w:r>
        <w:rPr>
          <w:rFonts w:ascii="Arial" w:cs="Arial" w:eastAsia="Arial" w:hAnsi="Arial"/>
          <w:sz w:val="18"/>
          <w:szCs w:val="18"/>
          <w:color w:val="auto"/>
        </w:rPr>
        <w:t>L Form of Borrowing Request M Form of Company Consent</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19"/>
          </w:cols>
          <w:pgMar w:left="440" w:top="274" w:right="1440" w:bottom="1440" w:gutter="0" w:footer="0" w:header="0"/>
        </w:sectPr>
      </w:pPr>
    </w:p>
    <w:bookmarkStart w:id="8" w:name="page9"/>
    <w:bookmarkEnd w:id="8"/>
    <w:p>
      <w:pPr>
        <w:ind w:right="40"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3-YEAR REVOLVING CREDIT AGREEMENT, dated as of January 14,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and other financial institutions or entities from time to time parties 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w:t>
      </w:r>
    </w:p>
    <w:p>
      <w:pPr>
        <w:spacing w:after="0" w:line="188"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this Agreement shall be effective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terms listed in this Section 1.1 shall have the respective meanings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364-Day Revolving Credit Agreement</w:t>
      </w:r>
      <w:r>
        <w:rPr>
          <w:rFonts w:ascii="Arial" w:cs="Arial" w:eastAsia="Arial" w:hAnsi="Arial"/>
          <w:sz w:val="17"/>
          <w:szCs w:val="17"/>
          <w:color w:val="auto"/>
        </w:rPr>
        <w:t>” means (i) that certain 364-Day Revolving Credit Agreement, dated as of April 18, 2018, among the Company, GMF,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364-Day Revolving Credit Agreement referred to in clause (i) above or any other agreement or instrument referred to in this clause (ii) unless the Company notifies the Administrative Agent that it is not intended to be a “364-Day Revolving Credit Agreement” hereunder. All references to the “364-Day Revolving Credit Agreement” in this Agreement shall refer to any 364-Day Revolving Credit Agreement then extant.</w:t>
      </w:r>
    </w:p>
    <w:p>
      <w:pPr>
        <w:spacing w:after="0" w:line="178"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Total Available Commitments</w:t>
      </w:r>
      <w:r>
        <w:rPr>
          <w:rFonts w:ascii="Arial" w:cs="Arial" w:eastAsia="Arial" w:hAnsi="Arial"/>
          <w:sz w:val="18"/>
          <w:szCs w:val="18"/>
          <w:color w:val="auto"/>
        </w:rPr>
        <w:t>” means the “Total Available Commitments” (or equivalent term) under, and as defined in, the 364-Day Revolving Credit Agreement (it being understood that if there is more than one 364 Day Revolving Credit Agreement in effect at any time, references hereunder to “364-Day Total Available Commitments” shall be deemed to mean the sum of the “364-Day Total Available Commitments” (as defined above) under each such agreement).</w:t>
      </w:r>
    </w:p>
    <w:p>
      <w:pPr>
        <w:spacing w:after="0" w:line="187"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364-Day Total Commitments</w:t>
      </w:r>
      <w:r>
        <w:rPr>
          <w:rFonts w:ascii="Arial" w:cs="Arial" w:eastAsia="Arial" w:hAnsi="Arial"/>
          <w:sz w:val="16"/>
          <w:szCs w:val="16"/>
          <w:color w:val="auto"/>
        </w:rPr>
        <w:t>” means the “Total Commitments” (or equivalent term) under, and as defined in, the 364-Day Revolving Credit Agreement (it being understood that if there is more than one 364-Day Revolving Credit Agreement in effect at any time, references hereunder to “364-Day Total Commitments” shall be deemed to mean the sum of the “364-Day Total Commitments” (as defined above) under each such agreement).</w:t>
      </w:r>
    </w:p>
    <w:p>
      <w:pPr>
        <w:spacing w:after="0" w:line="147"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Total Extension of Credit</w:t>
      </w:r>
      <w:r>
        <w:rPr>
          <w:rFonts w:ascii="Arial" w:cs="Arial" w:eastAsia="Arial" w:hAnsi="Arial"/>
          <w:sz w:val="18"/>
          <w:szCs w:val="18"/>
          <w:color w:val="auto"/>
        </w:rPr>
        <w:t>” means the “Total Extensions of Credit” (or equivalent term) under, and as defined in, the 364-Day Revolving Credit Agreement (it being understood that if there is more than one 364-Day Revolving Credit Agreement in effect at any time, references hereunder to “364-Day Total Extensions of Credit” shall be deemed to mean the sum of the “364-Day Total Extensions of Credit” (as defined above) under each such agreement).</w:t>
      </w:r>
    </w:p>
    <w:p>
      <w:pPr>
        <w:sectPr>
          <w:pgSz w:w="11900" w:h="16838" w:orient="portrait"/>
          <w:cols w:equalWidth="0" w:num="1">
            <w:col w:w="11000"/>
          </w:cols>
          <w:pgMar w:left="440" w:top="274" w:right="459" w:bottom="1440" w:gutter="0" w:footer="0" w:header="0"/>
        </w:sectPr>
      </w:pPr>
    </w:p>
    <w:bookmarkStart w:id="9" w:name="page10"/>
    <w:bookmarkEnd w:id="9"/>
    <w:p>
      <w:pPr>
        <w:ind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3-Year Revolving Credit Agreement</w:t>
      </w:r>
      <w:r>
        <w:rPr>
          <w:rFonts w:ascii="Arial" w:cs="Arial" w:eastAsia="Arial" w:hAnsi="Arial"/>
          <w:sz w:val="16"/>
          <w:szCs w:val="16"/>
          <w:color w:val="auto"/>
        </w:rPr>
        <w:t>” means (i) that certain Third Amended and Restated Three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6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47"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Extensions of Credit</w:t>
      </w:r>
      <w:r>
        <w:rPr>
          <w:rFonts w:ascii="Arial" w:cs="Arial" w:eastAsia="Arial" w:hAnsi="Arial"/>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7" w:lineRule="exact"/>
        <w:rPr>
          <w:sz w:val="20"/>
          <w:szCs w:val="20"/>
          <w:color w:val="auto"/>
        </w:rPr>
      </w:pPr>
    </w:p>
    <w:p>
      <w:pPr>
        <w:ind w:right="4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Revolving Credit Agreement</w:t>
      </w:r>
      <w:r>
        <w:rPr>
          <w:rFonts w:ascii="Arial" w:cs="Arial" w:eastAsia="Arial" w:hAnsi="Arial"/>
          <w:sz w:val="16"/>
          <w:szCs w:val="16"/>
          <w:color w:val="auto"/>
        </w:rPr>
        <w:t>” means (i) that certain Third Amended and Restated Five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6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0" w:name="page11"/>
    <w:bookmarkEnd w:id="10"/>
    <w:p>
      <w:pPr>
        <w:ind w:right="60" w:firstLine="88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47"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firstLine="881"/>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Eurocurrency Rate, calculated as of such date in respect of a proposed Eurocurrency Loan with a one-month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then the ABR shall be the greater of clause (a) and (b) above and shall be determined without reference to clause (c) above.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jc w:val="both"/>
        <w:ind w:right="2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7" w:lineRule="exact"/>
        <w:rPr>
          <w:sz w:val="20"/>
          <w:szCs w:val="20"/>
          <w:color w:val="auto"/>
        </w:rPr>
      </w:pPr>
    </w:p>
    <w:p>
      <w:pPr>
        <w:ind w:right="16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ind w:right="28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means, on any date of determination with respect to any Lender, (a) such Lender’s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Extensions of Credit on such date.</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as a date on which the Company requests the relevant Lenders to make Loans 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Company for a Loan in substantially the form of Exhibit L.</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Eurocurrency Loan, the term “Business Day” shall also exclude any day on which banks are not open for dealings in Dollar deposits in the London Interbank market.</w:t>
      </w:r>
    </w:p>
    <w:p>
      <w:pPr>
        <w:spacing w:after="0" w:line="181"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 w:name="page13"/>
    <w:bookmarkEnd w:id="12"/>
    <w:p>
      <w:pPr>
        <w:ind w:right="8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1"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160" w:firstLine="88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54"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January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w:t>
      </w:r>
    </w:p>
    <w:p>
      <w:pPr>
        <w:spacing w:after="0" w:line="166"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 w:name="page14"/>
    <w:bookmarkEnd w:id="1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Commitment Reduction</w:t>
      </w:r>
      <w:r>
        <w:rPr>
          <w:rFonts w:ascii="Arial" w:cs="Arial" w:eastAsia="Arial" w:hAnsi="Arial"/>
          <w:sz w:val="18"/>
          <w:szCs w:val="18"/>
          <w:color w:val="auto"/>
        </w:rPr>
        <w:t>” has the meaning assigned to such term in Section 2.11(b).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Reduction Date</w:t>
      </w:r>
      <w:r>
        <w:rPr>
          <w:rFonts w:ascii="Arial" w:cs="Arial" w:eastAsia="Arial" w:hAnsi="Arial"/>
          <w:sz w:val="18"/>
          <w:szCs w:val="18"/>
          <w:color w:val="auto"/>
        </w:rPr>
        <w:t>” has the meaning assigned to such term in Section 2.11(b).</w:t>
      </w:r>
    </w:p>
    <w:p>
      <w:pPr>
        <w:spacing w:after="0" w:line="225"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Accept/Reject Letter</w:t>
      </w:r>
      <w:r>
        <w:rPr>
          <w:rFonts w:ascii="Arial" w:cs="Arial" w:eastAsia="Arial" w:hAnsi="Arial"/>
          <w:sz w:val="17"/>
          <w:szCs w:val="17"/>
          <w:color w:val="auto"/>
        </w:rPr>
        <w:t>” means a notification made by the Company pursuant to Section 2.9, substantially in the form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211"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364-Day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total available commitments (after giving effect to any applicable borrowing base limitations) under other then-effective committed credit facilities of the Company or any Domestic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7" w:lineRule="exact"/>
        <w:rPr>
          <w:sz w:val="20"/>
          <w:szCs w:val="20"/>
          <w:color w:val="auto"/>
        </w:rPr>
      </w:pPr>
    </w:p>
    <w:p>
      <w:pPr>
        <w:ind w:right="140"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Global Liquidity</w:t>
      </w:r>
      <w:r>
        <w:rPr>
          <w:rFonts w:ascii="Arial" w:cs="Arial" w:eastAsia="Arial" w:hAnsi="Arial"/>
          <w:sz w:val="17"/>
          <w:szCs w:val="17"/>
          <w:color w:val="auto"/>
        </w:rPr>
        <w:t xml:space="preserve">” means as of any date of determination, the sum of (a) the 3-Year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364-Day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total available commitments (after giving effect to any applicable borrowing base limitations) under other then-effective committed credit facilities of the Company or any of its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 w:name="page15"/>
    <w:bookmarkEnd w:id="14"/>
    <w:p>
      <w:pPr>
        <w:jc w:val="both"/>
        <w:ind w:right="60" w:firstLine="88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47"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5" w:name="page16"/>
    <w:bookmarkEnd w:id="15"/>
    <w:p>
      <w:pPr>
        <w:ind w:right="6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40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66" w:lineRule="exact"/>
        <w:rPr>
          <w:sz w:val="20"/>
          <w:szCs w:val="20"/>
          <w:color w:val="auto"/>
        </w:rPr>
      </w:pPr>
    </w:p>
    <w:p>
      <w:pPr>
        <w:ind w:right="3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right="320"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 w:name="page17"/>
    <w:bookmarkEnd w:id="1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79"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firstLine="88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means, with respect to each day during each Interest Period pertaining to a Eurocurrency Loan, the London Interbank offered rate as administered by the ICE Benchmark Administration (or any other Person that takes over the administration of such rate) for Dollars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as of 11:00 A.M., London time, on the Quotation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Screen Rate shall not be available at such time for such Interest Period (an “</w:t>
      </w:r>
      <w:r>
        <w:rPr>
          <w:rFonts w:ascii="Arial" w:cs="Arial" w:eastAsia="Arial" w:hAnsi="Arial"/>
          <w:sz w:val="17"/>
          <w:szCs w:val="17"/>
          <w:u w:val="single" w:color="auto"/>
          <w:color w:val="auto"/>
        </w:rPr>
        <w:t>Impacted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with respect to Dollars,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Dollars) that is shorter than the Impacted Interest Period and (b) the Screen Rate for the shortest period (for which that Screen Rate is available for Dollars)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Interpolated Rate shall be less than zero, such rate shall be deemed to be zero for purposes of this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9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Eurocurrency Base Rate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14605</wp:posOffset>
            </wp:positionV>
            <wp:extent cx="23755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2322195</wp:posOffset>
            </wp:positionH>
            <wp:positionV relativeFrom="paragraph">
              <wp:posOffset>-130810</wp:posOffset>
            </wp:positionV>
            <wp:extent cx="23755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 w:name="page18"/>
    <w:bookmarkEnd w:id="17"/>
    <w:p>
      <w:pPr>
        <w:ind w:right="20" w:firstLine="88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66" w:lineRule="exact"/>
        <w:rPr>
          <w:sz w:val="20"/>
          <w:szCs w:val="20"/>
          <w:color w:val="auto"/>
        </w:rPr>
      </w:pPr>
    </w:p>
    <w:p>
      <w:pPr>
        <w:ind w:right="22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1"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7"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contract, agreement, instrument, indenture or other Contractual Obligation shall not have been entered into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Finance Subsidiary of the Company, (g) each Subsidiary that is a dealership and (h) each Subsidiary acquired or formed after the Closing Date primarily to operate an Excluded Subsidiary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an amount equal to the aggregate principal amount of all Loans held by such Lender then outstanding.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Commitments and the extensions of credit made thereunder.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ind w:right="16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right="2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jc w:val="both"/>
        <w:ind w:right="1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jc w:val="both"/>
        <w:ind w:right="1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87"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9" w:name="page20"/>
    <w:bookmarkEnd w:id="19"/>
    <w:p>
      <w:pPr>
        <w:ind w:right="24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2018 10-Q</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1"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1"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Office</w:t>
      </w:r>
      <w:r>
        <w:rPr>
          <w:rFonts w:ascii="Arial" w:cs="Arial" w:eastAsia="Arial" w:hAnsi="Arial"/>
          <w:sz w:val="16"/>
          <w:szCs w:val="16"/>
          <w:color w:val="auto"/>
        </w:rPr>
        <w:t>” means the office of the Administrative Agent specified in Section 10.2 or such other office as may be specified from time to time by the Administrative Agent as its funding office with respect to the Facility by written notice to the Company and the applicable Lenders.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means General Motors do Brasil Ltda, a Brazilian limited liability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means General Motors Financial Company, Inc., a Texas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GMGTC</w:t>
      </w:r>
      <w:r>
        <w:rPr>
          <w:rFonts w:ascii="Arial" w:cs="Arial" w:eastAsia="Arial" w:hAnsi="Arial"/>
          <w:sz w:val="17"/>
          <w:szCs w:val="17"/>
          <w:color w:val="auto"/>
        </w:rPr>
        <w:t>” means GM Global Treasury Centre Limited, a private limited company incorporated under the laws of England and Wales</w:t>
      </w:r>
    </w:p>
    <w:p>
      <w:pPr>
        <w:spacing w:after="0" w:line="237" w:lineRule="exact"/>
        <w:rPr>
          <w:sz w:val="20"/>
          <w:szCs w:val="20"/>
          <w:color w:val="auto"/>
        </w:rPr>
      </w:pPr>
    </w:p>
    <w:p>
      <w:pPr>
        <w:ind w:right="14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47"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Agreement to be executed and delivered by each Subsidiary Guarantor on the applicable Guarantee Reinstatement Date, substantially in the form of Exhibit 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20" w:name="page21"/>
    <w:bookmarkEnd w:id="20"/>
    <w:p>
      <w:pPr>
        <w:ind w:firstLine="88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2"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Reinstatement Date</w:t>
      </w:r>
      <w:r>
        <w:rPr>
          <w:rFonts w:ascii="Arial" w:cs="Arial" w:eastAsia="Arial" w:hAnsi="Arial"/>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89" w:lineRule="exact"/>
        <w:rPr>
          <w:sz w:val="20"/>
          <w:szCs w:val="20"/>
          <w:color w:val="auto"/>
        </w:rPr>
      </w:pPr>
    </w:p>
    <w:p>
      <w:pPr>
        <w:ind w:right="80" w:firstLine="88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73"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during any Reinstated Guarantee Period, the Subsidiary Guarantors. For the avoidance of doubt, GM Holdings does not and shall not constitute a Guarantor.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1" w:name="page22"/>
    <w:bookmarkEnd w:id="21"/>
    <w:p>
      <w:pPr>
        <w:ind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22" w:name="page23"/>
    <w:bookmarkEnd w:id="22"/>
    <w:p>
      <w:pPr>
        <w:ind w:right="40"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73"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week or one, two, three or six (or, if agreed to by all Lenders under the Facility, twelve) months (or additionally, in the case of any Eurocurrency Competitive Loan, three weeks) thereafter, as selected by the Company in its notice of borrowing, Competitive Bid Request or notice of conversion, as the case may be, given with respect thereto; and (ii) thereafter, each period commencing on the last day of the next preceding Interest Period applicable to such Loan and ending one week or one, two, three or six (or, if agreed to by all Lenders under the Facility, twelve) months (or additionally, in the case of any Eurocurrency Competitive Loan, three weeks) thereafter, as selected by the Company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61" w:lineRule="exact"/>
        <w:rPr>
          <w:sz w:val="20"/>
          <w:szCs w:val="20"/>
          <w:color w:val="auto"/>
        </w:rPr>
      </w:pPr>
    </w:p>
    <w:p>
      <w:pPr>
        <w:ind w:left="880" w:right="60" w:firstLine="411"/>
        <w:spacing w:after="0" w:line="312" w:lineRule="auto"/>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8" w:lineRule="exact"/>
        <w:rPr>
          <w:rFonts w:ascii="Arial" w:cs="Arial" w:eastAsia="Arial" w:hAnsi="Arial"/>
          <w:sz w:val="16"/>
          <w:szCs w:val="16"/>
          <w:color w:val="auto"/>
        </w:rPr>
      </w:pPr>
    </w:p>
    <w:p>
      <w:pPr>
        <w:ind w:left="1580" w:hanging="289"/>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select an Interest Period under the Facility that would extend beyond the Termination Date;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 w:name="page24"/>
    <w:bookmarkEnd w:id="23"/>
    <w:p>
      <w:pPr>
        <w:jc w:val="both"/>
        <w:ind w:left="880" w:right="100" w:firstLine="411"/>
        <w:spacing w:after="0" w:line="264" w:lineRule="auto"/>
        <w:tabs>
          <w:tab w:leader="none" w:pos="157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Guarantee, the Notes, each Guarantee Joinder and any amendment, waiver, supplement or other modification to any of the foregoing.</w:t>
      </w:r>
    </w:p>
    <w:p>
      <w:pPr>
        <w:spacing w:after="0" w:line="170" w:lineRule="exact"/>
        <w:rPr>
          <w:sz w:val="20"/>
          <w:szCs w:val="20"/>
          <w:color w:val="auto"/>
        </w:rPr>
      </w:pPr>
    </w:p>
    <w:p>
      <w:pPr>
        <w:jc w:val="both"/>
        <w:ind w:right="40" w:firstLine="88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xml:space="preserve">” means, collectively, (a) the Company and (b) during any Reinstated Guarantee Period, each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225" w:lineRule="exact"/>
        <w:rPr>
          <w:sz w:val="20"/>
          <w:szCs w:val="20"/>
          <w:color w:val="auto"/>
        </w:rPr>
      </w:pPr>
    </w:p>
    <w:p>
      <w:pPr>
        <w:ind w:right="74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w:t>
      </w:r>
      <w:r>
        <w:rPr>
          <w:rFonts w:ascii="Arial" w:cs="Arial" w:eastAsia="Arial" w:hAnsi="Arial"/>
          <w:sz w:val="17"/>
          <w:szCs w:val="17"/>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7"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 w:name="page25"/>
    <w:bookmarkEnd w:id="24"/>
    <w:p>
      <w:pPr>
        <w:ind w:right="2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10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unpaid principal of and interest on the Loans and all other obligations and liabilities of the Company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or any of the Subsidiary Guarantors pursuant to the terms of any of the Loan Documents).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5" w:name="page26"/>
    <w:bookmarkEnd w:id="25"/>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right="280" w:firstLine="4"/>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4"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80" w:firstLine="411"/>
        <w:spacing w:after="0" w:line="302" w:lineRule="auto"/>
        <w:tabs>
          <w:tab w:leader="none" w:pos="15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26" w:name="page27"/>
    <w:bookmarkEnd w:id="26"/>
    <w:p>
      <w:pPr>
        <w:ind w:left="-120" w:right="180" w:firstLine="411"/>
        <w:spacing w:after="0" w:line="28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57" w:lineRule="exact"/>
        <w:rPr>
          <w:rFonts w:ascii="Arial" w:cs="Arial" w:eastAsia="Arial" w:hAnsi="Arial"/>
          <w:sz w:val="17"/>
          <w:szCs w:val="17"/>
          <w:color w:val="auto"/>
        </w:rPr>
      </w:pPr>
    </w:p>
    <w:p>
      <w:pPr>
        <w:ind w:left="540" w:hanging="249"/>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120" w:right="220" w:firstLine="411"/>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120" w:right="60" w:firstLine="411"/>
        <w:spacing w:after="0" w:line="276" w:lineRule="auto"/>
        <w:tabs>
          <w:tab w:leader="none" w:pos="5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64" w:lineRule="exact"/>
        <w:rPr>
          <w:rFonts w:ascii="Arial" w:cs="Arial" w:eastAsia="Arial" w:hAnsi="Arial"/>
          <w:sz w:val="17"/>
          <w:szCs w:val="17"/>
          <w:color w:val="auto"/>
        </w:rPr>
      </w:pPr>
    </w:p>
    <w:p>
      <w:pPr>
        <w:ind w:left="-120" w:right="40" w:firstLine="411"/>
        <w:spacing w:after="0" w:line="308" w:lineRule="auto"/>
        <w:tabs>
          <w:tab w:leader="none" w:pos="5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38" w:lineRule="exact"/>
        <w:rPr>
          <w:rFonts w:ascii="Arial" w:cs="Arial" w:eastAsia="Arial" w:hAnsi="Arial"/>
          <w:sz w:val="17"/>
          <w:szCs w:val="17"/>
          <w:color w:val="auto"/>
        </w:rPr>
      </w:pPr>
    </w:p>
    <w:p>
      <w:pPr>
        <w:ind w:left="-120" w:firstLine="411"/>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5" w:lineRule="exact"/>
        <w:rPr>
          <w:rFonts w:ascii="Arial" w:cs="Arial" w:eastAsia="Arial" w:hAnsi="Arial"/>
          <w:sz w:val="18"/>
          <w:szCs w:val="18"/>
          <w:color w:val="auto"/>
        </w:rPr>
      </w:pPr>
    </w:p>
    <w:p>
      <w:pPr>
        <w:ind w:left="-120" w:right="120" w:firstLine="411"/>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120" w:right="500" w:firstLine="411"/>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00"/>
          </w:cols>
          <w:pgMar w:left="1440" w:top="274" w:right="459" w:bottom="1440" w:gutter="0" w:footer="0" w:header="0"/>
        </w:sectPr>
      </w:pPr>
    </w:p>
    <w:bookmarkStart w:id="27" w:name="page28"/>
    <w:bookmarkEnd w:id="27"/>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39" w:lineRule="exact"/>
        <w:rPr>
          <w:sz w:val="20"/>
          <w:szCs w:val="20"/>
          <w:color w:val="auto"/>
        </w:rPr>
      </w:pPr>
    </w:p>
    <w:p>
      <w:pPr>
        <w:ind w:right="240" w:firstLine="411"/>
        <w:spacing w:after="0" w:line="286"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jc w:val="both"/>
        <w:ind w:right="100" w:firstLine="411"/>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78" w:lineRule="exact"/>
        <w:rPr>
          <w:rFonts w:ascii="Arial" w:cs="Arial" w:eastAsia="Arial" w:hAnsi="Arial"/>
          <w:sz w:val="18"/>
          <w:szCs w:val="18"/>
          <w:color w:val="auto"/>
        </w:rPr>
      </w:pPr>
    </w:p>
    <w:p>
      <w:pPr>
        <w:ind w:firstLine="411"/>
        <w:spacing w:after="0" w:line="279"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ind w:right="80" w:firstLine="411"/>
        <w:spacing w:after="0" w:line="264"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73" w:lineRule="exact"/>
        <w:rPr>
          <w:rFonts w:ascii="Arial" w:cs="Arial" w:eastAsia="Arial" w:hAnsi="Arial"/>
          <w:sz w:val="18"/>
          <w:szCs w:val="18"/>
          <w:color w:val="auto"/>
        </w:rPr>
      </w:pPr>
    </w:p>
    <w:p>
      <w:pPr>
        <w:ind w:right="220" w:firstLine="411"/>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60" w:hanging="249"/>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60" w:hanging="249"/>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right="20" w:firstLine="411"/>
        <w:spacing w:after="0" w:line="285"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w:t>
      </w:r>
    </w:p>
    <w:p>
      <w:pPr>
        <w:spacing w:after="0" w:line="2" w:lineRule="exact"/>
        <w:rPr>
          <w:rFonts w:ascii="Arial" w:cs="Arial" w:eastAsia="Arial" w:hAnsi="Arial"/>
          <w:sz w:val="16"/>
          <w:szCs w:val="16"/>
          <w:color w:val="auto"/>
        </w:rPr>
      </w:pPr>
    </w:p>
    <w:p>
      <w:pPr>
        <w:ind w:right="620" w:firstLine="5"/>
        <w:spacing w:after="0" w:line="261" w:lineRule="auto"/>
        <w:tabs>
          <w:tab w:leader="none" w:pos="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coverage of long term counterparty risk in respect of insurance companies, (vii) purchasing and supply agreements, (viii) rental deposits, (ix) judicial appeals and (x) service contracts;</w:t>
      </w:r>
    </w:p>
    <w:p>
      <w:pPr>
        <w:spacing w:after="0" w:line="1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100"/>
          </w:cols>
          <w:pgMar w:left="1320" w:top="274" w:right="479" w:bottom="1440" w:gutter="0" w:footer="0" w:header="0"/>
        </w:sectPr>
      </w:pPr>
    </w:p>
    <w:bookmarkStart w:id="28" w:name="page29"/>
    <w:bookmarkEnd w:id="28"/>
    <w:p>
      <w:pPr>
        <w:ind w:left="1520" w:hanging="229"/>
        <w:spacing w:after="0"/>
        <w:tabs>
          <w:tab w:leader="none" w:pos="1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securing Indebtedness or other obligations of a Subsidiary owing to the Company or any Principal Domestic Subsidiary;</w:t>
      </w:r>
    </w:p>
    <w:p>
      <w:pPr>
        <w:spacing w:after="0" w:line="128" w:lineRule="exact"/>
        <w:rPr>
          <w:rFonts w:ascii="Arial" w:cs="Arial" w:eastAsia="Arial" w:hAnsi="Arial"/>
          <w:sz w:val="17"/>
          <w:szCs w:val="17"/>
          <w:color w:val="auto"/>
        </w:rPr>
      </w:pPr>
    </w:p>
    <w:p>
      <w:pPr>
        <w:ind w:left="880" w:right="80" w:firstLine="411"/>
        <w:spacing w:after="0" w:line="264"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880" w:right="260" w:firstLine="411"/>
        <w:spacing w:after="0" w:line="302" w:lineRule="auto"/>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6" w:lineRule="exact"/>
        <w:rPr>
          <w:rFonts w:ascii="Arial" w:cs="Arial" w:eastAsia="Arial" w:hAnsi="Arial"/>
          <w:sz w:val="16"/>
          <w:szCs w:val="16"/>
          <w:color w:val="auto"/>
        </w:rPr>
      </w:pPr>
    </w:p>
    <w:p>
      <w:pPr>
        <w:ind w:left="1540" w:hanging="24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880" w:right="20" w:firstLine="411"/>
        <w:spacing w:after="0" w:line="264"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880" w:right="60" w:firstLine="411"/>
        <w:spacing w:after="0" w:line="308" w:lineRule="auto"/>
        <w:tabs>
          <w:tab w:leader="none" w:pos="1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38" w:lineRule="exact"/>
        <w:rPr>
          <w:rFonts w:ascii="Arial" w:cs="Arial" w:eastAsia="Arial" w:hAnsi="Arial"/>
          <w:sz w:val="17"/>
          <w:szCs w:val="17"/>
          <w:color w:val="auto"/>
        </w:rPr>
      </w:pPr>
    </w:p>
    <w:p>
      <w:pPr>
        <w:ind w:left="880" w:right="160" w:firstLine="41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880" w:right="520" w:firstLine="41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880" w:right="40" w:firstLine="411"/>
        <w:spacing w:after="0" w:line="259" w:lineRule="auto"/>
        <w:tabs>
          <w:tab w:leader="none" w:pos="15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 (b)</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9" w:name="page30"/>
    <w:bookmarkEnd w:id="29"/>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48"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right="12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for deposits in Dollars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0" w:name="page31"/>
    <w:bookmarkEnd w:id="3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jc w:val="both"/>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right="20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47"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4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and its successors.</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1" w:name="page32"/>
    <w:bookmarkEnd w:id="3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Second Quarter 2018 10-Q</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the Guarantee after such Guarantee Reinstatement Date pursuant to</w:t>
      </w:r>
    </w:p>
    <w:p>
      <w:pPr>
        <w:spacing w:after="0" w:line="302" w:lineRule="auto"/>
        <w:rPr>
          <w:sz w:val="20"/>
          <w:szCs w:val="20"/>
          <w:color w:val="auto"/>
        </w:rPr>
      </w:pPr>
      <w:r>
        <w:rPr>
          <w:rFonts w:ascii="Arial" w:cs="Arial" w:eastAsia="Arial" w:hAnsi="Arial"/>
          <w:sz w:val="16"/>
          <w:szCs w:val="16"/>
          <w:color w:val="auto"/>
        </w:rPr>
        <w:t xml:space="preserve">Section 6.6(a) or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January 14, 2022, which is the date that is three (3) years following the Closing Date.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Quarter 2018 10-Q</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$3.0 billion.</w:t>
      </w:r>
    </w:p>
    <w:p>
      <w:pPr>
        <w:spacing w:after="0" w:line="170"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or a Eurocurrency Loan and (b) as to any Competitive Loan, its nature as a Eurocurrency Competitive Loan or a Fixed Rate Loan.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2" w:name="page33"/>
    <w:bookmarkEnd w:id="3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600" w:firstLine="881"/>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24" w:lineRule="exact"/>
        <w:rPr>
          <w:sz w:val="20"/>
          <w:szCs w:val="20"/>
          <w:color w:val="auto"/>
        </w:rPr>
      </w:pPr>
    </w:p>
    <w:p>
      <w:pPr>
        <w:ind w:left="1140" w:hanging="255"/>
        <w:spacing w:after="0"/>
        <w:tabs>
          <w:tab w:leader="none" w:pos="11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6" w:lineRule="exact"/>
        <w:rPr>
          <w:rFonts w:ascii="Arial" w:cs="Arial" w:eastAsia="Arial" w:hAnsi="Arial"/>
          <w:sz w:val="16"/>
          <w:szCs w:val="16"/>
          <w:color w:val="auto"/>
        </w:rPr>
      </w:pPr>
    </w:p>
    <w:p>
      <w:pPr>
        <w:ind w:right="20" w:firstLine="4"/>
        <w:spacing w:after="0" w:line="267" w:lineRule="auto"/>
        <w:tabs>
          <w:tab w:leader="none" w:pos="2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86" w:lineRule="exact"/>
        <w:rPr>
          <w:rFonts w:ascii="Arial" w:cs="Arial" w:eastAsia="Arial" w:hAnsi="Arial"/>
          <w:sz w:val="17"/>
          <w:szCs w:val="17"/>
          <w:color w:val="auto"/>
        </w:rPr>
      </w:pPr>
    </w:p>
    <w:p>
      <w:pPr>
        <w:ind w:right="60" w:firstLine="885"/>
        <w:spacing w:after="0" w:line="264" w:lineRule="auto"/>
        <w:tabs>
          <w:tab w:leader="none" w:pos="112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59" w:lineRule="auto"/>
        <w:tabs>
          <w:tab w:leader="none" w:pos="1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33" w:name="page34"/>
    <w:bookmarkEnd w:id="33"/>
    <w:p>
      <w:pPr>
        <w:ind w:right="180" w:firstLine="885"/>
        <w:spacing w:after="0" w:line="264" w:lineRule="auto"/>
        <w:tabs>
          <w:tab w:leader="none" w:pos="113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81" w:lineRule="exact"/>
        <w:rPr>
          <w:rFonts w:ascii="Arial" w:cs="Arial" w:eastAsia="Arial" w:hAnsi="Arial"/>
          <w:sz w:val="18"/>
          <w:szCs w:val="18"/>
          <w:color w:val="auto"/>
        </w:rPr>
      </w:pPr>
    </w:p>
    <w:p>
      <w:pPr>
        <w:jc w:val="both"/>
        <w:ind w:right="260" w:firstLine="885"/>
        <w:spacing w:after="0" w:line="264" w:lineRule="auto"/>
        <w:tabs>
          <w:tab w:leader="none" w:pos="11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81"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COMMITMENTS</w:t>
      </w:r>
    </w:p>
    <w:p>
      <w:pPr>
        <w:spacing w:after="0" w:line="117"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Commitments</w:t>
      </w:r>
      <w:r>
        <w:rPr>
          <w:rFonts w:ascii="Arial" w:cs="Arial" w:eastAsia="Arial" w:hAnsi="Arial"/>
          <w:sz w:val="16"/>
          <w:szCs w:val="16"/>
          <w:color w:val="auto"/>
        </w:rPr>
        <w:t>. (a) Subject to the terms and conditions hereof, each Lender severally agrees to make (or cause its Applicable Lending Office to make) revolving loans (“</w:t>
      </w:r>
      <w:r>
        <w:rPr>
          <w:rFonts w:ascii="Arial" w:cs="Arial" w:eastAsia="Arial" w:hAnsi="Arial"/>
          <w:sz w:val="16"/>
          <w:szCs w:val="16"/>
          <w:u w:val="single" w:color="auto"/>
          <w:color w:val="auto"/>
        </w:rPr>
        <w:t>Loans</w:t>
      </w:r>
      <w:r>
        <w:rPr>
          <w:rFonts w:ascii="Arial" w:cs="Arial" w:eastAsia="Arial" w:hAnsi="Arial"/>
          <w:sz w:val="16"/>
          <w:szCs w:val="16"/>
          <w:color w:val="auto"/>
        </w:rPr>
        <w:t xml:space="preserve">”) in Dollars to the Company from time to time during the Commitment Period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may use the Commitments by borrowing, prepaying the Loans in whole or in part, and reborrowing, all in accordance with the terms and conditions hereof. The Loans may from time to time be Eurocurrency Loans, ABR Loans or any combination of the foregoing, as determined by the Company and notified to the Administrative Agent in accordance with Section 2.2 and 2.14.</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The Company shall repay all outstanding Loans of a Lender on the Termination Date.</w:t>
      </w:r>
    </w:p>
    <w:p>
      <w:pPr>
        <w:spacing w:after="0" w:line="225" w:lineRule="exact"/>
        <w:rPr>
          <w:sz w:val="20"/>
          <w:szCs w:val="20"/>
          <w:color w:val="auto"/>
        </w:rPr>
      </w:pPr>
    </w:p>
    <w:p>
      <w:pPr>
        <w:ind w:right="20" w:firstLine="881"/>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a written Borrowing Request (or telephonic notice promptly confirmed with a written Borrowing Request) prior to (a) in the case of Eurocurrency Loans, 1:00 P.M., New York City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If no election as to the Type of a Loan is specified in any such notice, then the requested borrowing shall be an ABR Loan. If no Interest Period with respect to a Eurocurrency Loan is specified in any such notice, then the Company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at the Funding Office prior to 1:00 P.M. (or, in the case of an ABR Loan requested on the proposed Borrowing Date, 3:00 P.M.), New York City time, on the Borrowing Date requested (or deemed requested) by the Company in funds immediately available to the Administrative Agent. Such borrowing will then be made available to the Company by the Administrative Agent crediting the account of the Company on the books of such office or such other account as the Company may specify to the Administrative Agent with the aggregate of the amounts made available to the Administrative Agent by the Lenders and in like funds as received by the Administrative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80" w:firstLine="881"/>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from time to time during the Commitment Period, the Company may request Competitive Bids under the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the Total Extensions of Credit shall not exceed the Total Commitments then in effect. To request Competitive Bids under the Facility, the Company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Facility, (2) the amount (which shall be a minimum of $50 million) and Type of the requested Competitive Loans, (3) the requested Borrowing Date and (4)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may request offers to make Competitive Loans under the Facility for more than one Interest Period or for multiple Types of Competitive Loans under the Facility in a single Competitive Bid Request.</w:t>
      </w:r>
    </w:p>
    <w:p>
      <w:pPr>
        <w:spacing w:after="0" w:line="169" w:lineRule="exact"/>
        <w:rPr>
          <w:sz w:val="20"/>
          <w:szCs w:val="20"/>
          <w:color w:val="auto"/>
        </w:rPr>
      </w:pPr>
    </w:p>
    <w:p>
      <w:pPr>
        <w:ind w:right="40" w:firstLine="885"/>
        <w:spacing w:after="0" w:line="264" w:lineRule="auto"/>
        <w:tabs>
          <w:tab w:leader="none" w:pos="11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181" w:lineRule="exact"/>
        <w:rPr>
          <w:rFonts w:ascii="Arial" w:cs="Arial" w:eastAsia="Arial" w:hAnsi="Arial"/>
          <w:sz w:val="18"/>
          <w:szCs w:val="18"/>
          <w:color w:val="auto"/>
        </w:rPr>
      </w:pPr>
    </w:p>
    <w:p>
      <w:pPr>
        <w:ind w:firstLine="885"/>
        <w:spacing w:after="0" w:line="269" w:lineRule="auto"/>
        <w:tabs>
          <w:tab w:leader="none" w:pos="11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9:30 A.M., New York City time, three Business Days before the proposed Borrowing Date, in the case of Eurocurrency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and which may equal the entire principal amount of the Competitive Loans requested by the Company)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 w:name="page36"/>
    <w:bookmarkEnd w:id="35"/>
    <w:p>
      <w:pPr>
        <w:ind w:right="40" w:firstLine="885"/>
        <w:spacing w:after="0" w:line="257" w:lineRule="auto"/>
        <w:tabs>
          <w:tab w:leader="none" w:pos="113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promptly (and, in any event, by no later than 10:00 A.M., New York City time (i) three Business Days before the proposed Borrowing Date, in the case of Eurocurrency Competitive Loans, and (ii) on the proposed Borrowing Date, in the case of Fixed Rate Loans) notify the Company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88" w:lineRule="exact"/>
        <w:rPr>
          <w:rFonts w:ascii="Arial" w:cs="Arial" w:eastAsia="Arial" w:hAnsi="Arial"/>
          <w:sz w:val="18"/>
          <w:szCs w:val="18"/>
          <w:color w:val="auto"/>
        </w:rPr>
      </w:pPr>
    </w:p>
    <w:p>
      <w:pPr>
        <w:ind w:right="120" w:firstLine="885"/>
        <w:spacing w:after="0" w:line="268" w:lineRule="auto"/>
        <w:tabs>
          <w:tab w:leader="none" w:pos="11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Subject only to the provisions of this paragraph, the Company may accept or reject any Competitive Bid. The Company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Eurocurrency Competitive Loans, and (ii) on the proposed Borrowing Date, in the case of Fixed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failure of the Company to give such notice shall be deemed to be a rejection of each Competitive Bid, (B) the Company shall not accept a Competitive Bid of a particular Type for a particular Interest Period made at a particular Competitive Bid Rate if the Company rejects a Competitive Bid for Loans of such Type and for such Interest Period made at a lower Competitive Bid Rate, (C) the aggregate amount of the Competitive Bids accepted by the Company shall not exceed the aggregate amount of the requested Competitive Loans specified in the related Competitive Bid Request, (D) to the extent necessary to comply with clause (C) above, the Company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in a manner determined by the Company, and (E) except pursuant to clause (D) above, no Competitive Bid shall be accepted for a Competitive Loan made by a Lender unless such Competitive Loan is in a minimum principal amount of $5 million. A notice given by the Company pursuant to this paragraph shall be irrevocable.</w:t>
      </w:r>
    </w:p>
    <w:p>
      <w:pPr>
        <w:spacing w:after="0" w:line="185" w:lineRule="exact"/>
        <w:rPr>
          <w:rFonts w:ascii="Arial" w:cs="Arial" w:eastAsia="Arial" w:hAnsi="Arial"/>
          <w:sz w:val="17"/>
          <w:szCs w:val="17"/>
          <w:color w:val="auto"/>
        </w:rPr>
      </w:pPr>
    </w:p>
    <w:p>
      <w:pPr>
        <w:ind w:right="180" w:firstLine="885"/>
        <w:spacing w:after="0" w:line="257" w:lineRule="auto"/>
        <w:tabs>
          <w:tab w:leader="none" w:pos="11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11:00 A.M., New York City time (i) three Business Days before the proposed Borrowing Date, in the case of Eurocurrency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8"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at least one half of an hour earlier than the time by which the other Lenders are required to submit their Competitive Bids to the Administrative Agent pursuant to paragraph (c) of this Section 2.9.</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or shall repay each outstanding Competitive Loan on the last day of the Interest Period therefor.</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6" w:name="page37"/>
    <w:bookmarkEnd w:id="36"/>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Commitments of such Lender (whether used or unused) under the Facility, or, if such Commitments have been terminated, on the daily average Extensions of Credit and Competitive Loans of such Lender under the Facility during the related Fee Payment Period for which payment is made, payable in arrears on each Fee Payment Date, commencing on the first such date to occur after the Closing Date. For the avoidance of doubt, upon the occurrence of the Commitment Reduction Date, the Facility Fee shall be calculated based upon the reduced amount of Commitments available to the Company after giving effect to the Commitment Reduction.</w:t>
      </w:r>
    </w:p>
    <w:p>
      <w:pPr>
        <w:spacing w:after="0" w:line="188" w:lineRule="exact"/>
        <w:rPr>
          <w:sz w:val="20"/>
          <w:szCs w:val="20"/>
          <w:color w:val="auto"/>
        </w:rPr>
      </w:pPr>
    </w:p>
    <w:p>
      <w:pPr>
        <w:ind w:right="480" w:firstLine="885"/>
        <w:spacing w:after="0" w:line="277" w:lineRule="auto"/>
        <w:tabs>
          <w:tab w:leader="none" w:pos="11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November 26, 2018 between the Company and the Administrative Agent.</w:t>
      </w:r>
    </w:p>
    <w:p>
      <w:pPr>
        <w:spacing w:after="0" w:line="170" w:lineRule="exact"/>
        <w:rPr>
          <w:sz w:val="20"/>
          <w:szCs w:val="20"/>
          <w:color w:val="auto"/>
        </w:rPr>
      </w:pPr>
    </w:p>
    <w:p>
      <w:pPr>
        <w:ind w:right="100" w:firstLine="881"/>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xml:space="preserve">. (a) The Company shall have the right, upon not less than three Business Days’ notice to the Administrative Agent, to terminate the Commitments under the Facility or, from time to time, to reduce the amount of Commitments under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termination or reduction of such Commitments shall be permitted if, after giving effect thereto and to any prepayments of the Loans (if applicable) made on the effective date thereof, (x) the Total Extensions of Credit would exceed the Total Commitments then in effect or</w:t>
      </w:r>
    </w:p>
    <w:p>
      <w:pPr>
        <w:spacing w:after="0" w:line="2" w:lineRule="exact"/>
        <w:rPr>
          <w:sz w:val="20"/>
          <w:szCs w:val="20"/>
          <w:color w:val="auto"/>
        </w:rPr>
      </w:pPr>
    </w:p>
    <w:p>
      <w:pPr>
        <w:ind w:right="40" w:firstLine="4"/>
        <w:spacing w:after="0" w:line="287"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 minimum amount equal to $25 million or a whole multiple of $10 million in excess thereof and shall reduce permanently the Commitments then in effect under the Facility. Each notice delivered by the Company pursuant to this Section 2.11(a)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70" w:lineRule="exact"/>
        <w:rPr>
          <w:rFonts w:ascii="Arial" w:cs="Arial" w:eastAsia="Arial" w:hAnsi="Arial"/>
          <w:sz w:val="16"/>
          <w:szCs w:val="16"/>
          <w:color w:val="auto"/>
        </w:rPr>
      </w:pPr>
    </w:p>
    <w:p>
      <w:pPr>
        <w:ind w:right="200" w:firstLine="885"/>
        <w:spacing w:after="0" w:line="297" w:lineRule="auto"/>
        <w:tabs>
          <w:tab w:leader="none" w:pos="113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on the date that is 18 months after the Closing Date (such date, the “</w:t>
      </w:r>
      <w:r>
        <w:rPr>
          <w:rFonts w:ascii="Arial" w:cs="Arial" w:eastAsia="Arial" w:hAnsi="Arial"/>
          <w:sz w:val="16"/>
          <w:szCs w:val="16"/>
          <w:u w:val="single" w:color="auto"/>
          <w:color w:val="auto"/>
        </w:rPr>
        <w:t>Commitment Reduction Date</w:t>
      </w:r>
      <w:r>
        <w:rPr>
          <w:rFonts w:ascii="Arial" w:cs="Arial" w:eastAsia="Arial" w:hAnsi="Arial"/>
          <w:sz w:val="16"/>
          <w:szCs w:val="16"/>
          <w:color w:val="auto"/>
        </w:rPr>
        <w:t xml:space="preserve">”), the sum of (i) the aggregate principal amount of Commitments that are undrawn and available hereunder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principal amount of Loans outstanding hereunder exceeds $2.0 billion, then the Commitments shall automatically and permanently be reduced (the “</w:t>
      </w:r>
      <w:r>
        <w:rPr>
          <w:rFonts w:ascii="Arial" w:cs="Arial" w:eastAsia="Arial" w:hAnsi="Arial"/>
          <w:sz w:val="16"/>
          <w:szCs w:val="16"/>
          <w:u w:val="single" w:color="auto"/>
          <w:color w:val="auto"/>
        </w:rPr>
        <w:t>Commitment Reduction</w:t>
      </w:r>
      <w:r>
        <w:rPr>
          <w:rFonts w:ascii="Arial" w:cs="Arial" w:eastAsia="Arial" w:hAnsi="Arial"/>
          <w:sz w:val="16"/>
          <w:szCs w:val="16"/>
          <w:color w:val="auto"/>
        </w:rPr>
        <w:t>”) to an aggregate principal amount of $2.0 billion and, in connection therewith, any Loans outstanding under this Agreement on the Commitment Reduction Date in an aggregate principal amount in excess of $2.0 billion shall be immediately due and payable on the Commitment Reduction Date.</w:t>
      </w:r>
    </w:p>
    <w:p>
      <w:pPr>
        <w:spacing w:after="0" w:line="158"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may at any time and from time to time prepay the Loans, in whole or in 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2" w:lineRule="exact"/>
        <w:rPr>
          <w:sz w:val="20"/>
          <w:szCs w:val="20"/>
          <w:color w:val="auto"/>
        </w:rPr>
      </w:pPr>
    </w:p>
    <w:p>
      <w:pPr>
        <w:ind w:right="180" w:firstLine="4"/>
        <w:spacing w:after="0" w:line="253"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if a Eurocurrency Loan is prepaid on any day other than the last day of the Interest Period applicable thereto, the Company shall also pay any amounts owing pursuant to Section 2.22 and (b) unless otherwise agreed to between the Company,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notice to prepay the Loans delivered by the Company may state that such notice is conditioned upon the effectiveness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7" w:name="page38"/>
    <w:bookmarkEnd w:id="3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 xml:space="preserve">. (a) The Company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Eurocurrency Loans that is not made on the last day of an Interest Period with respect thereto shall be subject to Section 2.22. The Company may elect from time to time to convert ABR Loans to Eurocurrency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thereof.</w:t>
      </w:r>
    </w:p>
    <w:p>
      <w:pPr>
        <w:spacing w:after="0" w:line="178" w:lineRule="exact"/>
        <w:rPr>
          <w:sz w:val="20"/>
          <w:szCs w:val="20"/>
          <w:color w:val="auto"/>
        </w:rPr>
      </w:pPr>
    </w:p>
    <w:p>
      <w:pPr>
        <w:ind w:right="120" w:firstLine="885"/>
        <w:spacing w:after="0" w:line="270" w:lineRule="auto"/>
        <w:tabs>
          <w:tab w:leader="none" w:pos="1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Any Eurocurrency Loan may be continued as such upon the expiration of the then current Interest Period with respect thereto by the Company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and the Company thereof.</w:t>
      </w:r>
    </w:p>
    <w:p>
      <w:pPr>
        <w:spacing w:after="0" w:line="178" w:lineRule="exact"/>
        <w:rPr>
          <w:sz w:val="20"/>
          <w:szCs w:val="20"/>
          <w:color w:val="auto"/>
        </w:rPr>
      </w:pPr>
    </w:p>
    <w:p>
      <w:pPr>
        <w:jc w:val="both"/>
        <w:ind w:right="220" w:firstLine="881"/>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ten (10) Eurocurrency Tranches shall be outstanding at any one time.</w:t>
      </w:r>
    </w:p>
    <w:p>
      <w:pPr>
        <w:spacing w:after="0" w:line="181"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 xml:space="preserve">. (a) Each Eurocurrency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8" w:name="page39"/>
    <w:bookmarkEnd w:id="38"/>
    <w:p>
      <w:pPr>
        <w:ind w:right="20" w:firstLine="885"/>
        <w:spacing w:after="0" w:line="277" w:lineRule="auto"/>
        <w:tabs>
          <w:tab w:leader="none" w:pos="113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5" w:lineRule="exact"/>
        <w:rPr>
          <w:rFonts w:ascii="Arial" w:cs="Arial" w:eastAsia="Arial" w:hAnsi="Arial"/>
          <w:sz w:val="18"/>
          <w:szCs w:val="18"/>
          <w:color w:val="auto"/>
        </w:rPr>
      </w:pPr>
    </w:p>
    <w:p>
      <w:pPr>
        <w:ind w:right="80" w:firstLine="885"/>
        <w:spacing w:after="0" w:line="273" w:lineRule="auto"/>
        <w:tabs>
          <w:tab w:leader="none" w:pos="11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178" w:lineRule="exact"/>
        <w:rPr>
          <w:rFonts w:ascii="Arial" w:cs="Arial" w:eastAsia="Arial" w:hAnsi="Arial"/>
          <w:sz w:val="17"/>
          <w:szCs w:val="17"/>
          <w:color w:val="auto"/>
        </w:rPr>
      </w:pPr>
    </w:p>
    <w:p>
      <w:pPr>
        <w:ind w:right="280" w:firstLine="885"/>
        <w:spacing w:after="0" w:line="277" w:lineRule="auto"/>
        <w:tabs>
          <w:tab w:leader="none" w:pos="11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2.16(e) shall be payable from time to time on demand.</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interest hereunder shall be paid in Dollars.</w:t>
      </w:r>
    </w:p>
    <w:p>
      <w:pPr>
        <w:spacing w:after="0" w:line="225"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and the relevant Lenders of the effective date and the amount of each such change in interest rate.</w:t>
      </w:r>
    </w:p>
    <w:p>
      <w:pPr>
        <w:spacing w:after="0" w:line="178" w:lineRule="exact"/>
        <w:rPr>
          <w:sz w:val="20"/>
          <w:szCs w:val="20"/>
          <w:color w:val="auto"/>
        </w:rPr>
      </w:pPr>
    </w:p>
    <w:p>
      <w:pPr>
        <w:ind w:right="180" w:firstLine="885"/>
        <w:spacing w:after="0" w:line="259" w:lineRule="auto"/>
        <w:tabs>
          <w:tab w:leader="none" w:pos="11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or any other Loan Document shall be conclusive and binding on the Company and the Lenders in the absence of manifest error. The Administrative Agent shall, at the request of the Company, deliver to the Company a statement showing the quotations used by the Administrative Agent in determining any interest rate pursuant to Section 2.17(a).</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225" w:lineRule="exact"/>
        <w:rPr>
          <w:sz w:val="20"/>
          <w:szCs w:val="20"/>
          <w:color w:val="auto"/>
        </w:rPr>
      </w:pPr>
    </w:p>
    <w:p>
      <w:pPr>
        <w:jc w:val="both"/>
        <w:ind w:right="460" w:firstLine="885"/>
        <w:spacing w:after="0" w:line="264" w:lineRule="auto"/>
        <w:tabs>
          <w:tab w:leader="none" w:pos="10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that, by reason of circumstances affecting the relevant market, adequate and reasonable means do not exist for ascertaining the Eurocurrency Rate for such Interest Period; or</w:t>
      </w:r>
    </w:p>
    <w:p>
      <w:pPr>
        <w:spacing w:after="0" w:line="181" w:lineRule="exact"/>
        <w:rPr>
          <w:rFonts w:ascii="Arial" w:cs="Arial" w:eastAsia="Arial" w:hAnsi="Arial"/>
          <w:sz w:val="18"/>
          <w:szCs w:val="18"/>
          <w:color w:val="auto"/>
        </w:rPr>
      </w:pPr>
    </w:p>
    <w:p>
      <w:pPr>
        <w:ind w:right="100" w:firstLine="885"/>
        <w:spacing w:after="0" w:line="264" w:lineRule="auto"/>
        <w:tabs>
          <w:tab w:leader="none" w:pos="11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Eurocurrency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9" w:name="page40"/>
    <w:bookmarkEnd w:id="3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give notice thereof to the Company and the relevant Lenders as soon as practicable thereafter. If any such notice is given pursuant to clause (i) or (ii) of this Section 2.18(a) in respect of Eurocurrency Loans,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under the Facility requested to be made on the first day of such Interest Period shall be made as ABR Loans, (2) any ABR Loans that were to have been converted on the first day of such Interest Period to Eurocurrency Loans shall be continued as ABR Loans and (3) any outstanding Eurocurrency Loans shall be converted, on the last day of the then-current Interest Period, to ABR Loans.</w:t>
      </w:r>
    </w:p>
    <w:p>
      <w:pPr>
        <w:spacing w:after="0" w:line="189" w:lineRule="exact"/>
        <w:rPr>
          <w:sz w:val="20"/>
          <w:szCs w:val="20"/>
          <w:color w:val="auto"/>
        </w:rPr>
      </w:pPr>
    </w:p>
    <w:p>
      <w:pPr>
        <w:ind w:firstLine="885"/>
        <w:spacing w:after="0" w:line="270" w:lineRule="auto"/>
        <w:tabs>
          <w:tab w:leader="none" w:pos="1136"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and the Company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continue such Eurocurrency Loans as such and convert ABR Loans to Eurocurrency Loans shall forthwith be cancelled and (ii) such Lender’s outstanding Eurocurrency Loans shall be converted automatically on the last day of the then current Interest Periods with respect to such Loans (or within such earlier period as shall be required by law) to ABR Loans. If any such conversion or prepayment of a Eurocurrency Loan occurs on a day which is not the last day of the then current Interest Period with respect thereto, the Company shall pay to any Lender whose Loan is converted or prepaid such amounts, if any, as may be required pursuant to Section 2.22.</w:t>
      </w:r>
    </w:p>
    <w:p>
      <w:pPr>
        <w:spacing w:after="0" w:line="177" w:lineRule="exact"/>
        <w:rPr>
          <w:rFonts w:ascii="Arial" w:cs="Arial" w:eastAsia="Arial" w:hAnsi="Arial"/>
          <w:sz w:val="17"/>
          <w:szCs w:val="17"/>
          <w:color w:val="auto"/>
        </w:rPr>
      </w:pPr>
    </w:p>
    <w:p>
      <w:pPr>
        <w:ind w:right="60" w:firstLine="885"/>
        <w:spacing w:after="0" w:line="291" w:lineRule="auto"/>
        <w:tabs>
          <w:tab w:leader="none" w:pos="1126"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at any time the Administrative Agent determines (which determination shall be conclusive and binding upon the Company) that (i) the circumstances set forth in clause (a)(i) have arisen and such circumstances are unlikely to be temporary or (ii) the circumstances set forth in clause (a)</w:t>
      </w:r>
    </w:p>
    <w:p>
      <w:pPr>
        <w:ind w:firstLine="4"/>
        <w:spacing w:after="0" w:line="281" w:lineRule="auto"/>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 any request by the Company for a Eurocurrency Competitive Loan shall be ineffective.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0" w:name="page41"/>
    <w:bookmarkEnd w:id="40"/>
    <w:p>
      <w:pPr>
        <w:ind w:right="180" w:firstLine="88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the Facility by the Company from the Lenders under the Facility, each payment by the Company on account of any Facility Fee and any reduction of the Commitments of the Lenders under the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the Facility (including in connection with a Commitment Reduction), of the relevant Lenders in the Facility except to the extent required or permitted pursuant to Sections 2.9, 2.11, 2.24 and 2.25.</w:t>
      </w:r>
    </w:p>
    <w:p>
      <w:pPr>
        <w:spacing w:after="0" w:line="171" w:lineRule="exact"/>
        <w:rPr>
          <w:sz w:val="20"/>
          <w:szCs w:val="20"/>
          <w:color w:val="auto"/>
        </w:rPr>
      </w:pPr>
    </w:p>
    <w:p>
      <w:pPr>
        <w:ind w:right="40" w:firstLine="885"/>
        <w:spacing w:after="0" w:line="259" w:lineRule="auto"/>
        <w:tabs>
          <w:tab w:leader="none" w:pos="1136"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Company on account of principal of and interest on the Loans under the Facility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Lenders under the Facility (including in connection with a Commitment Reduction) according to the respective outstanding principal amounts of the Loans under the Facility then held by the Lenders under the Facility except to the extent required or permitted pursuant to Sections 2.9, 2.11, 2.24 and 2.25. Each such payment shall be paid in Dollars.</w:t>
      </w:r>
    </w:p>
    <w:p>
      <w:pPr>
        <w:spacing w:after="0" w:line="186" w:lineRule="exact"/>
        <w:rPr>
          <w:rFonts w:ascii="Arial" w:cs="Arial" w:eastAsia="Arial" w:hAnsi="Arial"/>
          <w:sz w:val="18"/>
          <w:szCs w:val="18"/>
          <w:color w:val="auto"/>
        </w:rPr>
      </w:pPr>
    </w:p>
    <w:p>
      <w:pPr>
        <w:ind w:firstLine="885"/>
        <w:spacing w:after="0" w:line="288" w:lineRule="auto"/>
        <w:tabs>
          <w:tab w:leader="none" w:pos="1116"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Company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9" w:lineRule="exact"/>
        <w:rPr>
          <w:rFonts w:ascii="Arial" w:cs="Arial" w:eastAsia="Arial" w:hAnsi="Arial"/>
          <w:sz w:val="16"/>
          <w:szCs w:val="16"/>
          <w:color w:val="auto"/>
        </w:rPr>
      </w:pPr>
    </w:p>
    <w:p>
      <w:pPr>
        <w:ind w:right="40" w:firstLine="885"/>
        <w:spacing w:after="0" w:line="285" w:lineRule="auto"/>
        <w:tabs>
          <w:tab w:leader="none" w:pos="1136" w:val="left"/>
        </w:tabs>
        <w:numPr>
          <w:ilvl w:val="1"/>
          <w:numId w:val="31"/>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a corresponding amount. If such amount is not made available to the Administrative Agent by the required time on the Borrowing Date therefor, such Lender shall pay to the Administrative Agent, on demand, such amount with interest thereon, at a rate up to the greater of</w:t>
      </w:r>
    </w:p>
    <w:p>
      <w:pPr>
        <w:spacing w:after="0" w:line="2" w:lineRule="exact"/>
        <w:rPr>
          <w:rFonts w:ascii="Arial" w:cs="Arial" w:eastAsia="Arial" w:hAnsi="Arial"/>
          <w:sz w:val="16"/>
          <w:szCs w:val="16"/>
          <w:color w:val="auto"/>
        </w:rPr>
      </w:pPr>
    </w:p>
    <w:p>
      <w:pPr>
        <w:ind w:right="80" w:firstLine="4"/>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w:t>
      </w:r>
    </w:p>
    <w:p>
      <w:pPr>
        <w:spacing w:after="0" w:line="194" w:lineRule="exact"/>
        <w:rPr>
          <w:rFonts w:ascii="Arial" w:cs="Arial" w:eastAsia="Arial" w:hAnsi="Arial"/>
          <w:sz w:val="18"/>
          <w:szCs w:val="18"/>
          <w:color w:val="auto"/>
        </w:rPr>
      </w:pPr>
    </w:p>
    <w:p>
      <w:pPr>
        <w:jc w:val="both"/>
        <w:ind w:firstLine="885"/>
        <w:spacing w:after="0" w:line="257" w:lineRule="auto"/>
        <w:tabs>
          <w:tab w:leader="none" w:pos="11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the Company prior to the date of any payment due to be made by the Company under the Facility that the Company will not make such payment to the Administrative Agent, the Administrative Agent may assume that the Company is making such payment, and the Administrative Agent may, but shall not be required to, in reliance upon such assumption, make available to the Lenders under the Facility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1" w:name="page42"/>
    <w:bookmarkEnd w:id="4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w:t>
      </w:r>
    </w:p>
    <w:p>
      <w:pPr>
        <w:spacing w:after="0" w:line="187" w:lineRule="exact"/>
        <w:rPr>
          <w:sz w:val="20"/>
          <w:szCs w:val="20"/>
          <w:color w:val="auto"/>
        </w:rPr>
      </w:pPr>
    </w:p>
    <w:p>
      <w:pPr>
        <w:ind w:right="120" w:firstLine="885"/>
        <w:spacing w:after="0" w:line="286" w:lineRule="auto"/>
        <w:tabs>
          <w:tab w:leader="none" w:pos="11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65" w:lineRule="exact"/>
        <w:rPr>
          <w:rFonts w:ascii="Arial" w:cs="Arial" w:eastAsia="Arial" w:hAnsi="Arial"/>
          <w:sz w:val="17"/>
          <w:szCs w:val="17"/>
          <w:color w:val="auto"/>
        </w:rPr>
      </w:pPr>
    </w:p>
    <w:p>
      <w:pPr>
        <w:ind w:right="20" w:firstLine="885"/>
        <w:spacing w:after="0" w:line="264" w:lineRule="auto"/>
        <w:tabs>
          <w:tab w:leader="none" w:pos="11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agrees that, upon the request to the Administrative Agent by any Lender, the Company shall promptly execute and deliver to such Lender a promissory note of the Company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If any Change in Law shall:</w:t>
      </w:r>
    </w:p>
    <w:p>
      <w:pPr>
        <w:spacing w:after="0" w:line="225" w:lineRule="exact"/>
        <w:rPr>
          <w:sz w:val="20"/>
          <w:szCs w:val="20"/>
          <w:color w:val="auto"/>
        </w:rPr>
      </w:pPr>
    </w:p>
    <w:p>
      <w:pPr>
        <w:ind w:firstLine="885"/>
        <w:spacing w:after="0" w:line="264" w:lineRule="auto"/>
        <w:tabs>
          <w:tab w:leader="none" w:pos="10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1" w:lineRule="exact"/>
        <w:rPr>
          <w:rFonts w:ascii="Arial" w:cs="Arial" w:eastAsia="Arial" w:hAnsi="Arial"/>
          <w:sz w:val="18"/>
          <w:szCs w:val="18"/>
          <w:color w:val="auto"/>
        </w:rPr>
      </w:pPr>
    </w:p>
    <w:p>
      <w:pPr>
        <w:ind w:left="1160" w:hanging="275"/>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(with a copy to the Administrative Agent) of the event by reason of which it has become so entitled (including a reasonably detailed calculation of such amounts).</w:t>
      </w:r>
    </w:p>
    <w:p>
      <w:pPr>
        <w:spacing w:after="0" w:line="182" w:lineRule="exact"/>
        <w:rPr>
          <w:sz w:val="20"/>
          <w:szCs w:val="20"/>
          <w:color w:val="auto"/>
        </w:rPr>
      </w:pPr>
    </w:p>
    <w:p>
      <w:pPr>
        <w:ind w:right="20" w:firstLine="885"/>
        <w:spacing w:after="0" w:line="271" w:lineRule="auto"/>
        <w:tabs>
          <w:tab w:leader="none" w:pos="11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(with a copy to the Administrative Agent) of a written request therefor (together with a reasonably detailed description and calculation of such amounts), the Company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2" w:name="page43"/>
    <w:bookmarkEnd w:id="42"/>
    <w:p>
      <w:pPr>
        <w:ind w:firstLine="885"/>
        <w:spacing w:after="0" w:line="269" w:lineRule="auto"/>
        <w:tabs>
          <w:tab w:leader="none" w:pos="1126"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as to any additional amounts payable pursuant to this Section 2.20 submitted by the Administrative Agent or any Lender to the Company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under any obligation to verify any such request of a Lender) and (ii) the Company shall not be required to compensate the Administrative Agent or a Lender pursuant to this Section 2.20 for any amounts incurred more than 90 days prior to the date that the Administrative Agent or such Lender notifies the Company of the Administrative Agent’s or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if any. The obligations of the Company pursuant to this Section 2.20 shall survive the termination of this Agreement and the payment of the Loans and all interest thereon and fees payable hereunder.</w:t>
      </w:r>
    </w:p>
    <w:p>
      <w:pPr>
        <w:spacing w:after="0" w:line="180" w:lineRule="exact"/>
        <w:rPr>
          <w:sz w:val="20"/>
          <w:szCs w:val="20"/>
          <w:color w:val="auto"/>
        </w:rPr>
      </w:pPr>
    </w:p>
    <w:p>
      <w:pPr>
        <w:ind w:firstLine="881"/>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Taxes imposed by reason of FATCA (any such non-excluded Taxes,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If any Taxes are required to be withheld from any amounts payable to the Administrative Agent or any Lender under any Loan Document, as determined in good faith by the applicable withholding agent or by the Company, to the extent there is no withholding agent, the applicable withholding agent or the Company shall make such deductions and shall pay the full amount deducted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the Company shall not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3" w:name="page44"/>
    <w:bookmarkEnd w:id="43"/>
    <w:p>
      <w:pPr>
        <w:ind w:left="1140" w:hanging="255"/>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each Loan Party shall pay any Other Taxes over to the relevant Governmental Authority in accordance with applicable law.</w:t>
      </w:r>
    </w:p>
    <w:p>
      <w:pPr>
        <w:spacing w:after="0" w:line="248" w:lineRule="exact"/>
        <w:rPr>
          <w:rFonts w:ascii="Arial" w:cs="Arial" w:eastAsia="Arial" w:hAnsi="Arial"/>
          <w:sz w:val="16"/>
          <w:szCs w:val="16"/>
          <w:color w:val="auto"/>
        </w:rPr>
      </w:pPr>
    </w:p>
    <w:p>
      <w:pPr>
        <w:ind w:firstLine="885"/>
        <w:spacing w:after="0" w:line="288" w:lineRule="auto"/>
        <w:tabs>
          <w:tab w:leader="none" w:pos="11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169" w:lineRule="exact"/>
        <w:rPr>
          <w:rFonts w:ascii="Arial" w:cs="Arial" w:eastAsia="Arial" w:hAnsi="Arial"/>
          <w:sz w:val="16"/>
          <w:szCs w:val="16"/>
          <w:color w:val="auto"/>
        </w:rPr>
      </w:pPr>
    </w:p>
    <w:p>
      <w:pPr>
        <w:ind w:firstLine="885"/>
        <w:spacing w:after="0" w:line="285" w:lineRule="auto"/>
        <w:tabs>
          <w:tab w:leader="none" w:pos="11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Each Lender shall deliver to the Company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and the Administrative Agent to determine the withholding or deduction required to be made. Each Lender shall promptly notify the Company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4" w:name="page45"/>
    <w:bookmarkEnd w:id="4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92" w:lineRule="exact"/>
        <w:rPr>
          <w:sz w:val="20"/>
          <w:szCs w:val="20"/>
          <w:color w:val="auto"/>
        </w:rPr>
      </w:pPr>
    </w:p>
    <w:p>
      <w:pPr>
        <w:ind w:left="1140" w:hanging="25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20" w:hanging="23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885"/>
        <w:spacing w:after="0" w:line="286" w:lineRule="auto"/>
        <w:tabs>
          <w:tab w:leader="none" w:pos="11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71" w:lineRule="exact"/>
        <w:rPr>
          <w:rFonts w:ascii="Arial" w:cs="Arial" w:eastAsia="Arial" w:hAnsi="Arial"/>
          <w:sz w:val="16"/>
          <w:szCs w:val="16"/>
          <w:color w:val="auto"/>
        </w:rPr>
      </w:pPr>
    </w:p>
    <w:p>
      <w:pPr>
        <w:ind w:right="100" w:firstLine="885"/>
        <w:spacing w:after="0" w:line="273" w:lineRule="auto"/>
        <w:tabs>
          <w:tab w:leader="none" w:pos="11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78" w:lineRule="exact"/>
        <w:rPr>
          <w:rFonts w:ascii="Arial" w:cs="Arial" w:eastAsia="Arial" w:hAnsi="Arial"/>
          <w:sz w:val="17"/>
          <w:szCs w:val="17"/>
          <w:color w:val="auto"/>
        </w:rPr>
      </w:pPr>
    </w:p>
    <w:p>
      <w:pPr>
        <w:ind w:left="1100" w:hanging="215"/>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5" w:lineRule="exact"/>
        <w:rPr>
          <w:rFonts w:ascii="Arial" w:cs="Arial" w:eastAsia="Arial" w:hAnsi="Arial"/>
          <w:sz w:val="18"/>
          <w:szCs w:val="18"/>
          <w:color w:val="auto"/>
        </w:rPr>
      </w:pPr>
    </w:p>
    <w:p>
      <w:pPr>
        <w:ind w:right="120" w:firstLine="885"/>
        <w:spacing w:after="0" w:line="277" w:lineRule="auto"/>
        <w:tabs>
          <w:tab w:leader="none" w:pos="10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5" w:name="page46"/>
    <w:bookmarkEnd w:id="45"/>
    <w:p>
      <w:pPr>
        <w:ind w:right="20" w:firstLine="88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Lender for, and to hold each Lender harmless from, any actual loss or expense that such Lender may sustain or incur as a consequence of (a) default by the Company in making a borrowing of, conversion into or continuation of Eurocurrency Loans after the Company has given a notice requesting the same in accordance with the provisions of this Agreement, (b) default by the Company in making any prepayment of or conversion from Eurocurrency Loans after the Company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78"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firstLine="881"/>
        <w:spacing w:after="0" w:line="284"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to which the Required Lenders have consented;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6" w:name="page47"/>
    <w:bookmarkEnd w:id="46"/>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140" w:hanging="255"/>
        <w:spacing w:after="0"/>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236" w:lineRule="exact"/>
        <w:rPr>
          <w:rFonts w:ascii="Arial" w:cs="Arial" w:eastAsia="Arial" w:hAnsi="Arial"/>
          <w:sz w:val="17"/>
          <w:szCs w:val="17"/>
          <w:color w:val="auto"/>
        </w:rPr>
      </w:pPr>
    </w:p>
    <w:p>
      <w:pPr>
        <w:ind w:right="80" w:firstLine="885"/>
        <w:spacing w:after="0" w:line="253" w:lineRule="auto"/>
        <w:tabs>
          <w:tab w:leader="none" w:pos="11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7"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a Loan Party as a result of any judgment of a court of competent jurisdiction obtained by such Loan Party against such Defaulting Lender as a result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7" w:name="page48"/>
    <w:bookmarkEnd w:id="4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[RESERVED]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induce the Lenders to enter into this Agreement and to make the Loans the Company hereby represents and warrants to each Lender that:</w:t>
      </w:r>
    </w:p>
    <w:p>
      <w:pPr>
        <w:spacing w:after="0" w:line="140"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consolidated financial statements of the Company included in its Annual Report on Form 10-K, for the twelve-month period ended December 31, 2017 (the “</w:t>
      </w:r>
      <w:r>
        <w:rPr>
          <w:rFonts w:ascii="Arial" w:cs="Arial" w:eastAsia="Arial" w:hAnsi="Arial"/>
          <w:sz w:val="16"/>
          <w:szCs w:val="16"/>
          <w:u w:val="single" w:color="auto"/>
          <w:color w:val="auto"/>
        </w:rPr>
        <w:t>2017 10-K</w:t>
      </w:r>
      <w:r>
        <w:rPr>
          <w:rFonts w:ascii="Arial" w:cs="Arial" w:eastAsia="Arial" w:hAnsi="Arial"/>
          <w:sz w:val="16"/>
          <w:szCs w:val="16"/>
          <w:color w:val="auto"/>
        </w:rPr>
        <w:t>”), in its Quarterly Report on Form 10-Q for the three-month period ended March 31, 2018 (the “</w:t>
      </w:r>
      <w:r>
        <w:rPr>
          <w:rFonts w:ascii="Arial" w:cs="Arial" w:eastAsia="Arial" w:hAnsi="Arial"/>
          <w:sz w:val="16"/>
          <w:szCs w:val="16"/>
          <w:u w:val="single" w:color="auto"/>
          <w:color w:val="auto"/>
        </w:rPr>
        <w:t>First Quarter 2018 10-Q</w:t>
      </w:r>
      <w:r>
        <w:rPr>
          <w:rFonts w:ascii="Arial" w:cs="Arial" w:eastAsia="Arial" w:hAnsi="Arial"/>
          <w:sz w:val="16"/>
          <w:szCs w:val="16"/>
          <w:color w:val="auto"/>
        </w:rPr>
        <w:t>”), in its Quarterly Report on Form 10-Q for the three-month period ended June 30, 2018 (the “</w:t>
      </w:r>
      <w:r>
        <w:rPr>
          <w:rFonts w:ascii="Arial" w:cs="Arial" w:eastAsia="Arial" w:hAnsi="Arial"/>
          <w:sz w:val="16"/>
          <w:szCs w:val="16"/>
          <w:u w:val="single" w:color="auto"/>
          <w:color w:val="auto"/>
        </w:rPr>
        <w:t>Second Quarter 2018 10-Q</w:t>
      </w:r>
      <w:r>
        <w:rPr>
          <w:rFonts w:ascii="Arial" w:cs="Arial" w:eastAsia="Arial" w:hAnsi="Arial"/>
          <w:sz w:val="16"/>
          <w:szCs w:val="16"/>
          <w:color w:val="auto"/>
        </w:rPr>
        <w:t>”) and in its Quarterly Report on Form 10-Q for the three-month period ended September 30, 2018 (the “</w:t>
      </w:r>
      <w:r>
        <w:rPr>
          <w:rFonts w:ascii="Arial" w:cs="Arial" w:eastAsia="Arial" w:hAnsi="Arial"/>
          <w:sz w:val="16"/>
          <w:szCs w:val="16"/>
          <w:u w:val="single" w:color="auto"/>
          <w:color w:val="auto"/>
        </w:rPr>
        <w:t>Third Quarter 2018 10-Q</w:t>
      </w:r>
      <w:r>
        <w:rPr>
          <w:rFonts w:ascii="Arial" w:cs="Arial" w:eastAsia="Arial" w:hAnsi="Arial"/>
          <w:sz w:val="16"/>
          <w:szCs w:val="16"/>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2017, (b) the three-month period ended March 31, 2018, (c) the three-month period ended June 30, 2018 and (d) the three-month period ended September 30, 2018,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6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Third Quarter 2018 10-Q and the Closing Date, there has been no development or event which has had a Material Adverse Effect.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Existence</w:t>
      </w:r>
      <w:r>
        <w:rPr>
          <w:rFonts w:ascii="Arial" w:cs="Arial" w:eastAsia="Arial" w:hAnsi="Arial"/>
          <w:sz w:val="16"/>
          <w:szCs w:val="16"/>
          <w:color w:val="auto"/>
        </w:rPr>
        <w:t>. Each Loan Party (a) is duly organized, validly existing and in good standing under the laws of its jurisdiction of organization,</w:t>
      </w:r>
    </w:p>
    <w:p>
      <w:pPr>
        <w:spacing w:after="0" w:line="46" w:lineRule="exact"/>
        <w:rPr>
          <w:sz w:val="20"/>
          <w:szCs w:val="20"/>
          <w:color w:val="auto"/>
        </w:rPr>
      </w:pPr>
    </w:p>
    <w:p>
      <w:pPr>
        <w:ind w:right="80" w:firstLine="4"/>
        <w:spacing w:after="0" w:line="281"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would not, in the aggregate, reasonably be expected to have a Material Adverse Effect.</w:t>
      </w:r>
    </w:p>
    <w:p>
      <w:pPr>
        <w:spacing w:after="0" w:line="21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8" w:name="page49"/>
    <w:bookmarkEnd w:id="4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7" w:lineRule="exact"/>
        <w:rPr>
          <w:sz w:val="20"/>
          <w:szCs w:val="20"/>
          <w:color w:val="auto"/>
        </w:rPr>
      </w:pPr>
    </w:p>
    <w:p>
      <w:pPr>
        <w:ind w:right="300" w:firstLine="881"/>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4"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on Schedule 4.6 and except as set forth in the 2017 10-K, the First Quarter 2018 10-Q, the Second Quarter 2018 10-Q, the Third Quarter 2018 10-Q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79" w:lineRule="exact"/>
        <w:rPr>
          <w:sz w:val="20"/>
          <w:szCs w:val="20"/>
          <w:color w:val="auto"/>
        </w:rPr>
      </w:pPr>
    </w:p>
    <w:p>
      <w:pPr>
        <w:ind w:right="280" w:firstLine="881"/>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500" w:firstLine="881"/>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9" w:name="page50"/>
    <w:bookmarkEnd w:id="49"/>
    <w:p>
      <w:pPr>
        <w:ind w:right="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20" w:firstLine="881"/>
        <w:spacing w:after="0" w:line="26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7"/>
          <w:szCs w:val="17"/>
          <w:u w:val="single" w:color="auto"/>
          <w:color w:val="auto"/>
        </w:rPr>
        <w:t>Sanctions Lists</w:t>
      </w:r>
      <w:r>
        <w:rPr>
          <w:rFonts w:ascii="Arial" w:cs="Arial" w:eastAsia="Arial" w:hAnsi="Arial"/>
          <w:sz w:val="17"/>
          <w:szCs w:val="17"/>
          <w:color w:val="auto"/>
        </w:rPr>
        <w:t>”). Neither the Company nor any of its Subsidiaries has a physical place of business, or is organized or resident, in (a) Cuba, Iran, North Korea, Syria or Crimea or (b) in any other Sanctioned Country in violation of U.S. law. The Company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right="160" w:firstLine="881"/>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Conditions to Closing Date</w:t>
      </w:r>
      <w:r>
        <w:rPr>
          <w:rFonts w:ascii="Arial" w:cs="Arial" w:eastAsia="Arial" w:hAnsi="Arial"/>
          <w:sz w:val="16"/>
          <w:szCs w:val="16"/>
          <w:color w:val="auto"/>
        </w:rPr>
        <w:t>. This Agreement and the obligation of each Lender to make extensions of credit requested to be made by it hereunder shall be effective upon (1) the execution and delivery of this Agreement by each of the Administrative Agent, the Syndication Agent, the Company,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54" w:lineRule="exact"/>
        <w:rPr>
          <w:sz w:val="20"/>
          <w:szCs w:val="20"/>
          <w:color w:val="auto"/>
        </w:rPr>
      </w:pPr>
    </w:p>
    <w:p>
      <w:pPr>
        <w:ind w:left="1140" w:hanging="255"/>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885"/>
        <w:spacing w:after="0" w:line="277" w:lineRule="auto"/>
        <w:tabs>
          <w:tab w:leader="none" w:pos="113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70" w:lineRule="exact"/>
        <w:rPr>
          <w:rFonts w:ascii="Arial" w:cs="Arial" w:eastAsia="Arial" w:hAnsi="Arial"/>
          <w:sz w:val="18"/>
          <w:szCs w:val="18"/>
          <w:color w:val="auto"/>
        </w:rPr>
      </w:pPr>
    </w:p>
    <w:p>
      <w:pPr>
        <w:ind w:left="1120" w:hanging="235"/>
        <w:spacing w:after="0"/>
        <w:tabs>
          <w:tab w:leader="none" w:pos="11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w:t>
      </w:r>
    </w:p>
    <w:p>
      <w:pPr>
        <w:spacing w:after="0" w:line="34" w:lineRule="exact"/>
        <w:rPr>
          <w:rFonts w:ascii="Arial" w:cs="Arial" w:eastAsia="Arial" w:hAnsi="Arial"/>
          <w:sz w:val="17"/>
          <w:szCs w:val="17"/>
          <w:color w:val="auto"/>
        </w:rPr>
      </w:pPr>
    </w:p>
    <w:p>
      <w:pPr>
        <w:ind w:firstLine="4"/>
        <w:spacing w:after="0" w:line="253"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certificate of the Company, dated the Closing Date, substantially in the form of Exhibit F, with appropriate insertions and attachments, including the certificate of incorporation (or equivalent organizational document) of the Company, certified by the relevant authority of the jurisdiction of organization of the Company, (ii) a long form good standing certificate (or equivalent thereof in the relevant jurisdiction) for the Company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0" w:name="page51"/>
    <w:bookmarkEnd w:id="50"/>
    <w:p>
      <w:pPr>
        <w:ind w:left="1140" w:hanging="255"/>
        <w:spacing w:after="0"/>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Opinions</w:t>
      </w:r>
      <w:r>
        <w:rPr>
          <w:rFonts w:ascii="Arial" w:cs="Arial" w:eastAsia="Arial" w:hAnsi="Arial"/>
          <w:sz w:val="16"/>
          <w:szCs w:val="16"/>
          <w:color w:val="auto"/>
        </w:rPr>
        <w:t>. The Administrative Agent shall have received the executed legal opinion of (i) in-house counsel to the Company and</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Mayer Brown LLP, counsel to the Company, each in form and substance reasonably acceptable to the Administrative Agent.</w:t>
      </w:r>
    </w:p>
    <w:p>
      <w:pPr>
        <w:spacing w:after="0" w:line="210" w:lineRule="exact"/>
        <w:rPr>
          <w:rFonts w:ascii="Arial" w:cs="Arial" w:eastAsia="Arial" w:hAnsi="Arial"/>
          <w:sz w:val="18"/>
          <w:szCs w:val="18"/>
          <w:color w:val="auto"/>
        </w:rPr>
      </w:pPr>
    </w:p>
    <w:p>
      <w:pPr>
        <w:ind w:right="40" w:firstLine="885"/>
        <w:spacing w:after="0" w:line="264" w:lineRule="auto"/>
        <w:tabs>
          <w:tab w:leader="none" w:pos="112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under applicable “know your customer” and anti-money-laundering rules and regulations, including the USA PATRIOT Act.</w:t>
      </w:r>
    </w:p>
    <w:p>
      <w:pPr>
        <w:spacing w:after="0" w:line="181"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187" w:lineRule="exact"/>
        <w:rPr>
          <w:sz w:val="20"/>
          <w:szCs w:val="20"/>
          <w:color w:val="auto"/>
        </w:rPr>
      </w:pPr>
    </w:p>
    <w:p>
      <w:pPr>
        <w:ind w:firstLine="885"/>
        <w:spacing w:after="0" w:line="259" w:lineRule="auto"/>
        <w:tabs>
          <w:tab w:leader="none" w:pos="112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and 4.9, in which case, such representations and warranties shall have been true and correct in all material respects on and as of such earlier date).</w:t>
      </w:r>
    </w:p>
    <w:p>
      <w:pPr>
        <w:spacing w:after="0" w:line="186" w:lineRule="exact"/>
        <w:rPr>
          <w:rFonts w:ascii="Arial" w:cs="Arial" w:eastAsia="Arial" w:hAnsi="Arial"/>
          <w:sz w:val="18"/>
          <w:szCs w:val="18"/>
          <w:color w:val="auto"/>
        </w:rPr>
      </w:pPr>
    </w:p>
    <w:p>
      <w:pPr>
        <w:ind w:right="20" w:firstLine="885"/>
        <w:spacing w:after="0" w:line="277" w:lineRule="auto"/>
        <w:tabs>
          <w:tab w:leader="none" w:pos="113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sz w:val="20"/>
          <w:szCs w:val="20"/>
          <w:color w:val="auto"/>
        </w:rPr>
      </w:pPr>
    </w:p>
    <w:p>
      <w:pPr>
        <w:ind w:right="300" w:firstLine="881"/>
        <w:spacing w:after="0" w:line="342" w:lineRule="auto"/>
        <w:rPr>
          <w:sz w:val="20"/>
          <w:szCs w:val="20"/>
          <w:color w:val="auto"/>
        </w:rPr>
      </w:pPr>
      <w:r>
        <w:rPr>
          <w:rFonts w:ascii="Arial" w:cs="Arial" w:eastAsia="Arial" w:hAnsi="Arial"/>
          <w:sz w:val="16"/>
          <w:szCs w:val="16"/>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1" w:name="page52"/>
    <w:bookmarkEnd w:id="51"/>
    <w:p>
      <w:pPr>
        <w:ind w:right="100"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Reinstated Guarantors, etc.</w:t>
      </w:r>
      <w:r>
        <w:rPr>
          <w:rFonts w:ascii="Arial" w:cs="Arial" w:eastAsia="Arial" w:hAnsi="Arial"/>
          <w:sz w:val="17"/>
          <w:szCs w:val="17"/>
          <w:color w:val="auto"/>
        </w:rPr>
        <w:t xml:space="preserve">. (a) Within 30 days after any Guarantee Reinstatement Date, the Company shall deliver, or cause to be delivered to the Administrative Agent the Guarantee and/or a Guarantee Joinder, as applicable,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requirements shall not apply to GM Holdings.</w:t>
      </w:r>
    </w:p>
    <w:p>
      <w:pPr>
        <w:spacing w:after="0" w:line="171" w:lineRule="exact"/>
        <w:rPr>
          <w:sz w:val="20"/>
          <w:szCs w:val="20"/>
          <w:color w:val="auto"/>
        </w:rPr>
      </w:pPr>
    </w:p>
    <w:p>
      <w:pPr>
        <w:ind w:left="1140" w:hanging="255"/>
        <w:spacing w:after="0"/>
        <w:tabs>
          <w:tab w:leader="none" w:pos="11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46" w:lineRule="exact"/>
        <w:rPr>
          <w:rFonts w:ascii="Arial" w:cs="Arial" w:eastAsia="Arial" w:hAnsi="Arial"/>
          <w:sz w:val="16"/>
          <w:szCs w:val="16"/>
          <w:color w:val="auto"/>
        </w:rPr>
      </w:pPr>
    </w:p>
    <w:p>
      <w:pPr>
        <w:ind w:right="40" w:firstLine="4"/>
        <w:spacing w:after="0" w:line="286" w:lineRule="auto"/>
        <w:tabs>
          <w:tab w:leader="none" w:pos="2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enter into the Guarantee and/or become a party to the Guarantee pursuant to a Guarantee Joinder, as applicable, and to deliver customary secretary’s certificates, resolutions and legal opinions in connection therewith.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52" w:name="page53"/>
    <w:bookmarkEnd w:id="52"/>
    <w:p>
      <w:pPr>
        <w:ind w:right="80" w:firstLine="885"/>
        <w:spacing w:after="0" w:line="277" w:lineRule="auto"/>
        <w:tabs>
          <w:tab w:leader="none" w:pos="112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jc w:val="both"/>
        <w:ind w:right="300" w:firstLine="881"/>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66"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72" w:lineRule="auto"/>
        <w:tabs>
          <w:tab w:leader="none" w:pos="112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77" w:lineRule="exact"/>
        <w:rPr>
          <w:rFonts w:ascii="Arial" w:cs="Arial" w:eastAsia="Arial" w:hAnsi="Arial"/>
          <w:sz w:val="17"/>
          <w:szCs w:val="17"/>
          <w:color w:val="auto"/>
        </w:rPr>
      </w:pPr>
    </w:p>
    <w:p>
      <w:pPr>
        <w:ind w:right="20" w:firstLine="885"/>
        <w:spacing w:after="0" w:line="255" w:lineRule="auto"/>
        <w:tabs>
          <w:tab w:leader="none" w:pos="113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3" w:name="page54"/>
    <w:bookmarkEnd w:id="5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left="1140" w:hanging="255"/>
        <w:spacing w:after="0"/>
        <w:tabs>
          <w:tab w:leader="none" w:pos="11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shall not merge or consolidate with any other Person or Dispose of all or substantially all of its assets to any Person unless</w:t>
      </w:r>
    </w:p>
    <w:p>
      <w:pPr>
        <w:spacing w:after="0" w:line="46" w:lineRule="exact"/>
        <w:rPr>
          <w:rFonts w:ascii="Arial" w:cs="Arial" w:eastAsia="Arial" w:hAnsi="Arial"/>
          <w:sz w:val="16"/>
          <w:szCs w:val="16"/>
          <w:color w:val="auto"/>
        </w:rPr>
      </w:pPr>
    </w:p>
    <w:p>
      <w:pPr>
        <w:ind w:right="100" w:firstLine="4"/>
        <w:spacing w:after="0" w:line="269" w:lineRule="auto"/>
        <w:tabs>
          <w:tab w:leader="none" w:pos="2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Event of Default shall be continuing after giving effect to such transaction and (B)(x) the Company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the Company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the Company.</w:t>
      </w:r>
    </w:p>
    <w:p>
      <w:pPr>
        <w:spacing w:after="0" w:line="180" w:lineRule="exact"/>
        <w:rPr>
          <w:rFonts w:ascii="Arial" w:cs="Arial" w:eastAsia="Arial" w:hAnsi="Arial"/>
          <w:sz w:val="17"/>
          <w:szCs w:val="17"/>
          <w:color w:val="auto"/>
        </w:rPr>
      </w:pPr>
    </w:p>
    <w:p>
      <w:pPr>
        <w:ind w:firstLine="885"/>
        <w:spacing w:after="0" w:line="289" w:lineRule="auto"/>
        <w:tabs>
          <w:tab w:leader="none" w:pos="1136" w:val="left"/>
        </w:tabs>
        <w:numPr>
          <w:ilvl w:val="1"/>
          <w:numId w:val="51"/>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67" w:lineRule="exact"/>
        <w:rPr>
          <w:sz w:val="20"/>
          <w:szCs w:val="20"/>
          <w:color w:val="auto"/>
        </w:rPr>
      </w:pPr>
    </w:p>
    <w:p>
      <w:pPr>
        <w:ind w:right="80" w:firstLine="88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7" w:lineRule="exact"/>
        <w:rPr>
          <w:sz w:val="20"/>
          <w:szCs w:val="20"/>
          <w:color w:val="auto"/>
        </w:rPr>
      </w:pPr>
    </w:p>
    <w:p>
      <w:pPr>
        <w:ind w:right="280" w:firstLine="885"/>
        <w:spacing w:after="0" w:line="279" w:lineRule="auto"/>
        <w:tabs>
          <w:tab w:leader="none" w:pos="112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shall fail to pay (i) any principal of any Loan at maturity, (ii) any interest or Facility Fee hereunder for a period of five Business Days after receipt of notice of such failure by the Company from the Administrative Agent or (iii) any other amount due and payable under any Loan Document for 30 days after receipt of notice of such failure by the Company from the Administrative Agent (other than, in the case of amounts in this clause (iii), any such amount being disputed by the Company in good faith);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4" w:name="page55"/>
    <w:bookmarkEnd w:id="54"/>
    <w:p>
      <w:pPr>
        <w:ind w:right="40" w:firstLine="885"/>
        <w:spacing w:after="0" w:line="342" w:lineRule="auto"/>
        <w:tabs>
          <w:tab w:leader="none" w:pos="1136"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firstLine="885"/>
        <w:spacing w:after="0" w:line="259" w:lineRule="auto"/>
        <w:tabs>
          <w:tab w:leader="none" w:pos="11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6" w:lineRule="exact"/>
        <w:rPr>
          <w:rFonts w:ascii="Arial" w:cs="Arial" w:eastAsia="Arial" w:hAnsi="Arial"/>
          <w:sz w:val="18"/>
          <w:szCs w:val="18"/>
          <w:color w:val="auto"/>
        </w:rPr>
      </w:pPr>
    </w:p>
    <w:p>
      <w:pPr>
        <w:ind w:right="100" w:firstLine="885"/>
        <w:spacing w:after="0" w:line="272" w:lineRule="auto"/>
        <w:tabs>
          <w:tab w:leader="none" w:pos="11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77" w:lineRule="exact"/>
        <w:rPr>
          <w:rFonts w:ascii="Arial" w:cs="Arial" w:eastAsia="Arial" w:hAnsi="Arial"/>
          <w:sz w:val="17"/>
          <w:szCs w:val="17"/>
          <w:color w:val="auto"/>
        </w:rPr>
      </w:pPr>
    </w:p>
    <w:p>
      <w:pPr>
        <w:ind w:firstLine="885"/>
        <w:spacing w:after="0" w:line="291" w:lineRule="auto"/>
        <w:tabs>
          <w:tab w:leader="none" w:pos="1126"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67" w:lineRule="exact"/>
        <w:rPr>
          <w:rFonts w:ascii="Arial" w:cs="Arial" w:eastAsia="Arial" w:hAnsi="Arial"/>
          <w:sz w:val="16"/>
          <w:szCs w:val="16"/>
          <w:color w:val="auto"/>
        </w:rPr>
      </w:pPr>
    </w:p>
    <w:p>
      <w:pPr>
        <w:ind w:left="1120" w:hanging="235"/>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5" w:lineRule="exact"/>
        <w:rPr>
          <w:rFonts w:ascii="Arial" w:cs="Arial" w:eastAsia="Arial" w:hAnsi="Arial"/>
          <w:sz w:val="18"/>
          <w:szCs w:val="18"/>
          <w:color w:val="auto"/>
        </w:rPr>
      </w:pPr>
    </w:p>
    <w:p>
      <w:pPr>
        <w:ind w:firstLine="885"/>
        <w:spacing w:after="0" w:line="259" w:lineRule="auto"/>
        <w:tabs>
          <w:tab w:leader="none" w:pos="11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240" w:firstLine="885"/>
        <w:spacing w:after="0" w:line="277" w:lineRule="auto"/>
        <w:tabs>
          <w:tab w:leader="none" w:pos="11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any Reinstated Guarantee Period, any Guarantee of a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100" w:hanging="215"/>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and (B) if such event is any other Event of Default, either or both of the following actions may be taken: (i) with the consent of the Required Lenders, the Administrative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5" w:name="page56"/>
    <w:bookmarkEnd w:id="5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Company.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80" w:firstLine="881"/>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79" w:lineRule="exact"/>
        <w:rPr>
          <w:sz w:val="20"/>
          <w:szCs w:val="20"/>
          <w:color w:val="auto"/>
        </w:rPr>
      </w:pPr>
    </w:p>
    <w:p>
      <w:pPr>
        <w:ind w:right="140" w:firstLine="881"/>
        <w:spacing w:after="0" w:line="31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7" w:lineRule="exact"/>
        <w:rPr>
          <w:sz w:val="20"/>
          <w:szCs w:val="20"/>
          <w:color w:val="auto"/>
        </w:rPr>
      </w:pPr>
    </w:p>
    <w:p>
      <w:pPr>
        <w:ind w:right="180" w:firstLine="881"/>
        <w:spacing w:after="0" w:line="28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ind w:firstLine="4"/>
        <w:spacing w:after="0" w:line="269"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1" w:lineRule="exact"/>
        <w:rPr>
          <w:sz w:val="20"/>
          <w:szCs w:val="20"/>
          <w:color w:val="auto"/>
        </w:rPr>
      </w:pPr>
    </w:p>
    <w:p>
      <w:pPr>
        <w:ind w:right="120" w:firstLine="881"/>
        <w:spacing w:after="0" w:line="29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6" w:name="page57"/>
    <w:bookmarkEnd w:id="56"/>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79"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79" w:lineRule="exact"/>
        <w:rPr>
          <w:sz w:val="20"/>
          <w:szCs w:val="20"/>
          <w:color w:val="auto"/>
        </w:rPr>
      </w:pPr>
    </w:p>
    <w:p>
      <w:pPr>
        <w:ind w:right="20" w:firstLine="881"/>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6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82" w:lineRule="exact"/>
        <w:rPr>
          <w:sz w:val="20"/>
          <w:szCs w:val="20"/>
          <w:color w:val="auto"/>
        </w:rPr>
      </w:pPr>
    </w:p>
    <w:p>
      <w:pPr>
        <w:ind w:right="120" w:firstLine="881"/>
        <w:spacing w:after="0" w:line="27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73" w:lineRule="exact"/>
        <w:rPr>
          <w:sz w:val="20"/>
          <w:szCs w:val="20"/>
          <w:color w:val="auto"/>
        </w:rPr>
      </w:pPr>
    </w:p>
    <w:p>
      <w:pPr>
        <w:ind w:right="40" w:firstLine="881"/>
        <w:spacing w:after="0" w:line="267"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8" w:name="page59"/>
    <w:bookmarkEnd w:id="58"/>
    <w:p>
      <w:pPr>
        <w:ind w:right="200" w:firstLine="88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9.11 </w:t>
      </w:r>
      <w:r>
        <w:rPr>
          <w:rFonts w:ascii="Arial" w:cs="Arial" w:eastAsia="Arial" w:hAnsi="Arial"/>
          <w:sz w:val="17"/>
          <w:szCs w:val="17"/>
          <w:u w:val="single" w:color="auto"/>
          <w:color w:val="auto"/>
        </w:rPr>
        <w:t>Bookrunners, Lead Arrangers, Global and Regional Coordinators, Documentation Agents and Syndication Agent</w:t>
      </w:r>
      <w:r>
        <w:rPr>
          <w:rFonts w:ascii="Arial" w:cs="Arial" w:eastAsia="Arial" w:hAnsi="Arial"/>
          <w:sz w:val="17"/>
          <w:szCs w:val="17"/>
          <w:color w:val="auto"/>
        </w:rPr>
        <w:t>. None of the 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7"/>
          <w:szCs w:val="17"/>
          <w:u w:val="single" w:color="auto"/>
          <w:color w:val="auto"/>
        </w:rPr>
        <w:t>Arrangers</w:t>
      </w:r>
      <w:r>
        <w:rPr>
          <w:rFonts w:ascii="Arial" w:cs="Arial" w:eastAsia="Arial" w:hAnsi="Arial"/>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 Lender party hereto, to, and</w:t>
      </w:r>
    </w:p>
    <w:p>
      <w:pPr>
        <w:spacing w:after="0" w:line="46" w:lineRule="exact"/>
        <w:rPr>
          <w:sz w:val="20"/>
          <w:szCs w:val="20"/>
          <w:color w:val="auto"/>
        </w:rPr>
      </w:pPr>
    </w:p>
    <w:p>
      <w:pPr>
        <w:ind w:right="40" w:firstLine="4"/>
        <w:spacing w:after="0" w:line="255"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Company or any other Loan Party, that at least one of the following is and will be true:</w:t>
      </w:r>
    </w:p>
    <w:p>
      <w:pPr>
        <w:spacing w:after="0" w:line="82" w:lineRule="exact"/>
        <w:rPr>
          <w:rFonts w:ascii="Arial" w:cs="Arial" w:eastAsia="Arial" w:hAnsi="Arial"/>
          <w:sz w:val="18"/>
          <w:szCs w:val="18"/>
          <w:color w:val="auto"/>
        </w:rPr>
      </w:pPr>
    </w:p>
    <w:p>
      <w:pPr>
        <w:ind w:left="880" w:right="740" w:firstLine="411"/>
        <w:spacing w:after="0" w:line="277" w:lineRule="auto"/>
        <w:tabs>
          <w:tab w:leader="none" w:pos="15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62" w:lineRule="exact"/>
        <w:rPr>
          <w:rFonts w:ascii="Arial" w:cs="Arial" w:eastAsia="Arial" w:hAnsi="Arial"/>
          <w:sz w:val="18"/>
          <w:szCs w:val="18"/>
          <w:color w:val="auto"/>
        </w:rPr>
      </w:pPr>
    </w:p>
    <w:p>
      <w:pPr>
        <w:ind w:left="880" w:right="60" w:firstLine="411"/>
        <w:spacing w:after="0" w:line="273" w:lineRule="auto"/>
        <w:tabs>
          <w:tab w:leader="none" w:pos="155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0" w:lineRule="exact"/>
        <w:rPr>
          <w:rFonts w:ascii="Arial" w:cs="Arial" w:eastAsia="Arial" w:hAnsi="Arial"/>
          <w:sz w:val="17"/>
          <w:szCs w:val="17"/>
          <w:color w:val="auto"/>
        </w:rPr>
      </w:pPr>
    </w:p>
    <w:p>
      <w:pPr>
        <w:ind w:left="880" w:firstLine="411"/>
        <w:spacing w:after="0" w:line="293" w:lineRule="auto"/>
        <w:tabs>
          <w:tab w:leader="none" w:pos="160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56" w:lineRule="exact"/>
        <w:rPr>
          <w:rFonts w:ascii="Arial" w:cs="Arial" w:eastAsia="Arial" w:hAnsi="Arial"/>
          <w:sz w:val="16"/>
          <w:szCs w:val="16"/>
          <w:color w:val="auto"/>
        </w:rPr>
      </w:pPr>
    </w:p>
    <w:p>
      <w:pPr>
        <w:ind w:left="880" w:right="540" w:firstLine="411"/>
        <w:spacing w:after="0" w:line="277" w:lineRule="auto"/>
        <w:tabs>
          <w:tab w:leader="none" w:pos="159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firstLine="885"/>
        <w:spacing w:after="0" w:line="276" w:lineRule="auto"/>
        <w:tabs>
          <w:tab w:leader="none" w:pos="1136" w:val="left"/>
        </w:tabs>
        <w:numPr>
          <w:ilvl w:val="1"/>
          <w:numId w:val="55"/>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Company or any other Loan Party,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59" w:name="page60"/>
    <w:bookmarkEnd w:id="59"/>
    <w:p>
      <w:pPr>
        <w:jc w:val="both"/>
        <w:ind w:left="880" w:right="400" w:firstLine="411"/>
        <w:spacing w:after="0" w:line="264"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73" w:lineRule="exact"/>
        <w:rPr>
          <w:rFonts w:ascii="Arial" w:cs="Arial" w:eastAsia="Arial" w:hAnsi="Arial"/>
          <w:sz w:val="18"/>
          <w:szCs w:val="18"/>
          <w:color w:val="auto"/>
        </w:rPr>
      </w:pPr>
    </w:p>
    <w:p>
      <w:pPr>
        <w:ind w:left="880" w:right="320" w:firstLine="411"/>
        <w:spacing w:after="0" w:line="286" w:lineRule="auto"/>
        <w:tabs>
          <w:tab w:leader="none" w:pos="155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w:t>
      </w:r>
    </w:p>
    <w:p>
      <w:pPr>
        <w:spacing w:after="0" w:line="1" w:lineRule="exact"/>
        <w:rPr>
          <w:rFonts w:ascii="Arial" w:cs="Arial" w:eastAsia="Arial" w:hAnsi="Arial"/>
          <w:sz w:val="16"/>
          <w:szCs w:val="16"/>
          <w:color w:val="auto"/>
        </w:rPr>
      </w:pPr>
    </w:p>
    <w:p>
      <w:pPr>
        <w:ind w:left="1020" w:hanging="135"/>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2510.3-21(c)(1)(i)(A)-(E),</w:t>
      </w:r>
    </w:p>
    <w:p>
      <w:pPr>
        <w:spacing w:after="0" w:line="102" w:lineRule="exact"/>
        <w:rPr>
          <w:rFonts w:ascii="Arial" w:cs="Arial" w:eastAsia="Arial" w:hAnsi="Arial"/>
          <w:sz w:val="18"/>
          <w:szCs w:val="18"/>
          <w:color w:val="auto"/>
        </w:rPr>
      </w:pPr>
    </w:p>
    <w:p>
      <w:pPr>
        <w:jc w:val="both"/>
        <w:ind w:left="880" w:right="160" w:firstLine="411"/>
        <w:spacing w:after="0" w:line="312" w:lineRule="auto"/>
        <w:tabs>
          <w:tab w:leader="none" w:pos="16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38" w:lineRule="exact"/>
        <w:rPr>
          <w:rFonts w:ascii="Arial" w:cs="Arial" w:eastAsia="Arial" w:hAnsi="Arial"/>
          <w:sz w:val="16"/>
          <w:szCs w:val="16"/>
          <w:color w:val="auto"/>
        </w:rPr>
      </w:pPr>
    </w:p>
    <w:p>
      <w:pPr>
        <w:ind w:left="880" w:right="220" w:firstLine="411"/>
        <w:spacing w:after="0" w:line="259" w:lineRule="auto"/>
        <w:tabs>
          <w:tab w:leader="none" w:pos="15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880" w:right="160" w:firstLine="41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Agents, or any Arranger or any their respective affiliates for investment advice (as opposed to other services) in connection with the Loans, the Commitments or this Agreement.</w:t>
      </w:r>
    </w:p>
    <w:p>
      <w:pPr>
        <w:spacing w:after="0" w:line="170" w:lineRule="exact"/>
        <w:rPr>
          <w:sz w:val="20"/>
          <w:szCs w:val="20"/>
          <w:color w:val="auto"/>
        </w:rPr>
      </w:pPr>
    </w:p>
    <w:p>
      <w:pPr>
        <w:ind w:firstLine="885"/>
        <w:spacing w:after="0" w:line="270" w:lineRule="auto"/>
        <w:tabs>
          <w:tab w:leader="none" w:pos="11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220" w:firstLine="881"/>
        <w:spacing w:after="0" w:line="29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Subject to Section 2.18,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0" w:name="page61"/>
    <w:bookmarkEnd w:id="6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w:t>
      </w:r>
    </w:p>
    <w:p>
      <w:pPr>
        <w:spacing w:after="0" w:line="89" w:lineRule="exact"/>
        <w:rPr>
          <w:sz w:val="20"/>
          <w:szCs w:val="20"/>
          <w:color w:val="auto"/>
        </w:rPr>
      </w:pPr>
    </w:p>
    <w:p>
      <w:pPr>
        <w:ind w:left="880" w:firstLine="411"/>
        <w:spacing w:after="0" w:line="276" w:lineRule="auto"/>
        <w:tabs>
          <w:tab w:leader="none" w:pos="1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forgive or reduce any principal amount or extend the final scheduled date of maturity of any Loan (for the purpose of clarity each of the foregoing not to include any waiver of a mandatory prepayment), reduce the stated rate of any interest or fee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64" w:lineRule="exact"/>
        <w:rPr>
          <w:rFonts w:ascii="Arial" w:cs="Arial" w:eastAsia="Arial" w:hAnsi="Arial"/>
          <w:sz w:val="17"/>
          <w:szCs w:val="17"/>
          <w:color w:val="auto"/>
        </w:rPr>
      </w:pPr>
    </w:p>
    <w:p>
      <w:pPr>
        <w:ind w:left="1580" w:hanging="289"/>
        <w:spacing w:after="0"/>
        <w:tabs>
          <w:tab w:leader="none" w:pos="1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ind w:left="880" w:right="200" w:firstLine="411"/>
        <w:spacing w:after="0" w:line="312" w:lineRule="auto"/>
        <w:tabs>
          <w:tab w:leader="none" w:pos="15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the Company of any of its rights and obligations under this Agreement and the other Loan Documents, release all or substantially all of the Subsidiary Guarantors from the obligations under the Guarantee (in each case, except as otherwise provided in the Loan Documents), in each case without the written consent of all Lenders;</w:t>
      </w:r>
    </w:p>
    <w:p>
      <w:pPr>
        <w:spacing w:after="0" w:line="38" w:lineRule="exact"/>
        <w:rPr>
          <w:rFonts w:ascii="Arial" w:cs="Arial" w:eastAsia="Arial" w:hAnsi="Arial"/>
          <w:sz w:val="16"/>
          <w:szCs w:val="16"/>
          <w:color w:val="auto"/>
        </w:rPr>
      </w:pPr>
    </w:p>
    <w:p>
      <w:pPr>
        <w:ind w:left="1580" w:hanging="289"/>
        <w:spacing w:after="0"/>
        <w:tabs>
          <w:tab w:leader="none" w:pos="1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880" w:firstLine="411"/>
        <w:spacing w:after="0" w:line="277" w:lineRule="auto"/>
        <w:tabs>
          <w:tab w:leader="none" w:pos="15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amend, modify or waive any provision of Section 2.19(a) or (b) without the written consent of each Lender adversely affected</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thereby;</w:t>
      </w:r>
    </w:p>
    <w:p>
      <w:pPr>
        <w:spacing w:after="0" w:line="102" w:lineRule="exact"/>
        <w:rPr>
          <w:rFonts w:ascii="Arial" w:cs="Arial" w:eastAsia="Arial" w:hAnsi="Arial"/>
          <w:sz w:val="17"/>
          <w:szCs w:val="17"/>
          <w:color w:val="auto"/>
        </w:rPr>
      </w:pPr>
    </w:p>
    <w:p>
      <w:pPr>
        <w:ind w:left="1520" w:hanging="229"/>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520" w:hanging="229"/>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additional available currencies to the Facility without the written consent of all Lenders directly affected thereby; or</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modify, or waive any provision of Section 2.11(b) without the written consent of all Lenders.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61" w:name="page62"/>
    <w:bookmarkEnd w:id="6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8" w:lineRule="exact"/>
        <w:rPr>
          <w:sz w:val="20"/>
          <w:szCs w:val="20"/>
          <w:color w:val="auto"/>
        </w:rPr>
      </w:pPr>
    </w:p>
    <w:p>
      <w:pPr>
        <w:ind w:right="20" w:firstLine="885"/>
        <w:spacing w:after="0" w:line="270" w:lineRule="auto"/>
        <w:tabs>
          <w:tab w:leader="none" w:pos="11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Notwithstanding the foregoing paragraph (a), without the consent of the Required Lenders, but subject to any consent required by paragraphs (A) through (K)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shall notify the Lenders of any such amendment, modification, supplement or waiver consummated in accordance with this clause (ii) promptly after consummation thereof.</w:t>
      </w:r>
    </w:p>
    <w:p>
      <w:pPr>
        <w:spacing w:after="0" w:line="181" w:lineRule="exact"/>
        <w:rPr>
          <w:rFonts w:ascii="Arial" w:cs="Arial" w:eastAsia="Arial" w:hAnsi="Arial"/>
          <w:sz w:val="17"/>
          <w:szCs w:val="17"/>
          <w:color w:val="auto"/>
        </w:rPr>
      </w:pPr>
    </w:p>
    <w:p>
      <w:pPr>
        <w:ind w:right="260" w:firstLine="885"/>
        <w:spacing w:after="0" w:line="308" w:lineRule="auto"/>
        <w:tabs>
          <w:tab w:leader="none" w:pos="1126" w:val="left"/>
        </w:tabs>
        <w:numPr>
          <w:ilvl w:val="0"/>
          <w:numId w:val="60"/>
        </w:numPr>
        <w:rPr>
          <w:rFonts w:ascii="Arial" w:cs="Arial" w:eastAsia="Arial" w:hAnsi="Arial"/>
          <w:sz w:val="17"/>
          <w:szCs w:val="17"/>
          <w:color w:val="auto"/>
        </w:rPr>
      </w:pPr>
      <w:r>
        <w:rPr>
          <w:rFonts w:ascii="Arial" w:cs="Arial" w:eastAsia="Arial" w:hAnsi="Arial"/>
          <w:sz w:val="17"/>
          <w:szCs w:val="17"/>
          <w:color w:val="auto"/>
        </w:rPr>
        <w:t>For the avoidance of doubt it is understood that the delivery of a Guarantee Joinder shall not constitute an amendment, supplement or modification for purposes of this Section 10.1 and shall be effective upon the delivery thereof to the Administrative Agent.</w:t>
      </w:r>
    </w:p>
    <w:p>
      <w:pPr>
        <w:spacing w:after="0" w:line="147"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the Company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4"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166" w:lineRule="exact"/>
        <w:rPr>
          <w:sz w:val="20"/>
          <w:szCs w:val="20"/>
          <w:color w:val="auto"/>
        </w:rPr>
      </w:pPr>
    </w:p>
    <w:p>
      <w:pPr>
        <w:sectPr>
          <w:pgSz w:w="11900" w:h="16838" w:orient="portrait"/>
          <w:cols w:equalWidth="0" w:num="2">
            <w:col w:w="2240" w:space="640"/>
            <w:col w:w="8120"/>
          </w:cols>
          <w:pgMar w:left="440" w:top="274"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00"/>
          </w:cols>
          <w:pgMar w:left="440" w:top="274" w:right="4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-201295</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03" w:lineRule="exact"/>
        <w:rPr>
          <w:sz w:val="20"/>
          <w:szCs w:val="20"/>
          <w:color w:val="auto"/>
        </w:rPr>
      </w:pPr>
    </w:p>
    <w:p>
      <w:pPr>
        <w:sectPr>
          <w:pgSz w:w="11900" w:h="16838" w:orient="portrait"/>
          <w:cols w:equalWidth="0" w:num="2">
            <w:col w:w="2160" w:space="720"/>
            <w:col w:w="7139"/>
          </w:cols>
          <w:pgMar w:left="440" w:top="274" w:right="1440" w:bottom="1440" w:gutter="0" w:footer="0" w:header="0"/>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126" w:lineRule="exact"/>
        <w:rPr>
          <w:sz w:val="20"/>
          <w:szCs w:val="20"/>
          <w:color w:val="auto"/>
        </w:rPr>
      </w:pPr>
    </w:p>
    <w:p>
      <w:pPr>
        <w:sectPr>
          <w:pgSz w:w="11900" w:h="16838" w:orient="portrait"/>
          <w:cols w:equalWidth="0" w:num="2">
            <w:col w:w="2500" w:space="380"/>
            <w:col w:w="7139"/>
          </w:cols>
          <w:pgMar w:left="440" w:top="274" w:right="1440"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126" w:lineRule="exact"/>
        <w:rPr>
          <w:sz w:val="20"/>
          <w:szCs w:val="20"/>
          <w:color w:val="auto"/>
        </w:rPr>
      </w:pPr>
    </w:p>
    <w:p>
      <w:pPr>
        <w:sectPr>
          <w:pgSz w:w="11900" w:h="16838" w:orient="portrait"/>
          <w:cols w:equalWidth="0" w:num="2">
            <w:col w:w="2500" w:space="380"/>
            <w:col w:w="7139"/>
          </w:cols>
          <w:pgMar w:left="440" w:top="274" w:right="1440"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26" w:lineRule="exact"/>
        <w:rPr>
          <w:sz w:val="20"/>
          <w:szCs w:val="20"/>
          <w:color w:val="auto"/>
        </w:rPr>
      </w:pPr>
    </w:p>
    <w:p>
      <w:pPr>
        <w:sectPr>
          <w:pgSz w:w="11900" w:h="16838" w:orient="portrait"/>
          <w:cols w:equalWidth="0" w:num="2">
            <w:col w:w="2500" w:space="380"/>
            <w:col w:w="7139"/>
          </w:cols>
          <w:pgMar w:left="440" w:top="274" w:right="1440"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482-C24-A68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General Counsel &amp;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rick.hansen@gm.com</w:t>
      </w:r>
    </w:p>
    <w:p>
      <w:pPr>
        <w:spacing w:after="0" w:line="103" w:lineRule="exact"/>
        <w:rPr>
          <w:sz w:val="20"/>
          <w:szCs w:val="20"/>
          <w:color w:val="auto"/>
        </w:rPr>
      </w:pPr>
    </w:p>
    <w:p>
      <w:pPr>
        <w:sectPr>
          <w:pgSz w:w="11900" w:h="16838" w:orient="portrait"/>
          <w:cols w:equalWidth="0" w:num="2">
            <w:col w:w="2500" w:space="380"/>
            <w:col w:w="7139"/>
          </w:cols>
          <w:pgMar w:left="440" w:top="274" w:right="1440"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57" w:lineRule="exact"/>
        <w:rPr>
          <w:sz w:val="20"/>
          <w:szCs w:val="20"/>
          <w:color w:val="auto"/>
        </w:rPr>
      </w:pPr>
    </w:p>
    <w:p>
      <w:pPr>
        <w:sectPr>
          <w:pgSz w:w="11900" w:h="16838" w:orient="portrait"/>
          <w:cols w:equalWidth="0" w:num="2">
            <w:col w:w="2160" w:space="720"/>
            <w:col w:w="7139"/>
          </w:cols>
          <w:pgMar w:left="440" w:top="274"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019"/>
          </w:cols>
          <w:pgMar w:left="440" w:top="274"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-201295</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16" w:lineRule="exact"/>
        <w:rPr>
          <w:sz w:val="20"/>
          <w:szCs w:val="20"/>
          <w:color w:val="auto"/>
        </w:rPr>
      </w:pPr>
    </w:p>
    <w:p>
      <w:pPr>
        <w:sectPr>
          <w:pgSz w:w="11900" w:h="16838" w:orient="portrait"/>
          <w:cols w:equalWidth="0" w:num="2">
            <w:col w:w="2160" w:space="720"/>
            <w:col w:w="8080"/>
          </w:cols>
          <w:pgMar w:left="440" w:top="274" w:right="499" w:bottom="1440" w:gutter="0" w:footer="0" w:header="0"/>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gene.r.riegodedios@jpmorgan.com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212 270 2348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 R. Riego De Dios</w:t>
      </w:r>
    </w:p>
    <w:p>
      <w:pPr>
        <w:spacing w:after="0" w:line="200" w:lineRule="exact"/>
        <w:rPr>
          <w:sz w:val="20"/>
          <w:szCs w:val="20"/>
          <w:color w:val="auto"/>
        </w:rPr>
      </w:pPr>
    </w:p>
    <w:p>
      <w:pPr>
        <w:sectPr>
          <w:pgSz w:w="11900" w:h="16838" w:orient="portrait"/>
          <w:cols w:equalWidth="0" w:num="2">
            <w:col w:w="2160" w:space="720"/>
            <w:col w:w="8080"/>
          </w:cols>
          <w:pgMar w:left="440" w:top="274" w:right="49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2.9, 2.11(a), 2.12, or 2.14 shall not be effective until received.</w:t>
      </w:r>
    </w:p>
    <w:p>
      <w:pPr>
        <w:spacing w:after="0" w:line="170" w:lineRule="exact"/>
        <w:rPr>
          <w:sz w:val="20"/>
          <w:szCs w:val="20"/>
          <w:color w:val="auto"/>
        </w:rPr>
      </w:pPr>
    </w:p>
    <w:p>
      <w:pPr>
        <w:ind w:right="60" w:firstLine="885"/>
        <w:spacing w:after="0" w:line="264"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885"/>
        <w:spacing w:after="0" w:line="271" w:lineRule="auto"/>
        <w:tabs>
          <w:tab w:leader="none" w:pos="1126"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60" w:firstLine="885"/>
        <w:spacing w:after="0" w:line="254"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2" w:lineRule="exact"/>
        <w:rPr>
          <w:rFonts w:ascii="Arial" w:cs="Arial" w:eastAsia="Arial" w:hAnsi="Arial"/>
          <w:sz w:val="18"/>
          <w:szCs w:val="18"/>
          <w:color w:val="auto"/>
        </w:rPr>
      </w:pPr>
    </w:p>
    <w:p>
      <w:pPr>
        <w:ind w:right="400" w:firstLine="885"/>
        <w:spacing w:after="0" w:line="264"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type w:val="continuous"/>
        </w:sectPr>
      </w:pPr>
    </w:p>
    <w:bookmarkStart w:id="64" w:name="page65"/>
    <w:bookmarkEnd w:id="64"/>
    <w:p>
      <w:pPr>
        <w:ind w:right="60"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220" w:firstLine="881"/>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1" w:lineRule="exact"/>
        <w:rPr>
          <w:sz w:val="20"/>
          <w:szCs w:val="20"/>
          <w:color w:val="auto"/>
        </w:rPr>
      </w:pPr>
    </w:p>
    <w:p>
      <w:pPr>
        <w:ind w:firstLine="881"/>
        <w:spacing w:after="0" w:line="28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in the event of a conflict, one separate counsel (and one local counsel in each relevant jurisdiction) for all persons similarly situated as required to address such conflict,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5" w:name="page66"/>
    <w:bookmarkEnd w:id="6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6"/>
          <w:szCs w:val="16"/>
          <w:u w:val="single" w:color="auto"/>
          <w:color w:val="auto"/>
        </w:rPr>
        <w:t>provided</w:t>
      </w:r>
      <w:r>
        <w:rPr>
          <w:rFonts w:ascii="Arial" w:cs="Arial" w:eastAsia="Arial" w:hAnsi="Arial"/>
          <w:sz w:val="16"/>
          <w:szCs w:val="16"/>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77"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except that (i) other than pursuant to Section 7.4,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this Section 10.6.</w:t>
      </w:r>
    </w:p>
    <w:p>
      <w:pPr>
        <w:spacing w:after="0" w:line="188" w:lineRule="exact"/>
        <w:rPr>
          <w:sz w:val="20"/>
          <w:szCs w:val="20"/>
          <w:color w:val="auto"/>
        </w:rPr>
      </w:pPr>
    </w:p>
    <w:p>
      <w:pPr>
        <w:jc w:val="both"/>
        <w:ind w:firstLine="885"/>
        <w:spacing w:after="0" w:line="259" w:lineRule="auto"/>
        <w:tabs>
          <w:tab w:leader="none" w:pos="11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6" w:name="page67"/>
    <w:bookmarkEnd w:id="66"/>
    <w:p>
      <w:pPr>
        <w:jc w:val="both"/>
        <w:ind w:left="880" w:right="200" w:firstLine="411"/>
        <w:spacing w:after="0" w:line="264"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73" w:lineRule="exact"/>
        <w:rPr>
          <w:rFonts w:ascii="Arial" w:cs="Arial" w:eastAsia="Arial" w:hAnsi="Arial"/>
          <w:sz w:val="18"/>
          <w:szCs w:val="18"/>
          <w:color w:val="auto"/>
        </w:rPr>
      </w:pPr>
    </w:p>
    <w:p>
      <w:pPr>
        <w:ind w:left="1540" w:hanging="249"/>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w:t>
      </w:r>
    </w:p>
    <w:p>
      <w:pPr>
        <w:spacing w:after="0" w:line="46" w:lineRule="exact"/>
        <w:rPr>
          <w:sz w:val="20"/>
          <w:szCs w:val="20"/>
          <w:color w:val="auto"/>
        </w:rPr>
      </w:pPr>
    </w:p>
    <w:p>
      <w:pPr>
        <w:ind w:left="880" w:right="540" w:firstLine="5"/>
        <w:spacing w:after="0" w:line="261" w:lineRule="auto"/>
        <w:tabs>
          <w:tab w:leader="none" w:pos="11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consent of the Company provided for in clause (1) above shall be required if an Event of Default under Section 8(a) or (e) has occurred and is continuing.</w:t>
      </w:r>
    </w:p>
    <w:p>
      <w:pPr>
        <w:spacing w:after="0" w:line="184"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140" w:hanging="272"/>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880" w:right="80" w:firstLine="411"/>
        <w:spacing w:after="0" w:line="293" w:lineRule="auto"/>
        <w:tabs>
          <w:tab w:leader="none" w:pos="15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6" w:lineRule="exact"/>
        <w:rPr>
          <w:rFonts w:ascii="Arial" w:cs="Arial" w:eastAsia="Arial" w:hAnsi="Arial"/>
          <w:sz w:val="16"/>
          <w:szCs w:val="16"/>
          <w:color w:val="auto"/>
        </w:rPr>
      </w:pPr>
    </w:p>
    <w:p>
      <w:pPr>
        <w:ind w:left="880" w:firstLine="411"/>
        <w:spacing w:after="0" w:line="257" w:lineRule="auto"/>
        <w:tabs>
          <w:tab w:leader="none" w:pos="15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0" w:lineRule="exact"/>
        <w:rPr>
          <w:rFonts w:ascii="Arial" w:cs="Arial" w:eastAsia="Arial" w:hAnsi="Arial"/>
          <w:sz w:val="18"/>
          <w:szCs w:val="18"/>
          <w:color w:val="auto"/>
        </w:rPr>
      </w:pPr>
    </w:p>
    <w:p>
      <w:pPr>
        <w:ind w:left="880" w:right="920" w:firstLine="411"/>
        <w:spacing w:after="0" w:line="277" w:lineRule="auto"/>
        <w:tabs>
          <w:tab w:leader="none" w:pos="15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2" w:lineRule="exact"/>
        <w:rPr>
          <w:rFonts w:ascii="Arial" w:cs="Arial" w:eastAsia="Arial" w:hAnsi="Arial"/>
          <w:sz w:val="18"/>
          <w:szCs w:val="18"/>
          <w:color w:val="auto"/>
        </w:rPr>
      </w:pPr>
    </w:p>
    <w:p>
      <w:pPr>
        <w:ind w:left="440" w:right="60" w:firstLine="428"/>
        <w:spacing w:after="0" w:line="270" w:lineRule="auto"/>
        <w:tabs>
          <w:tab w:leader="none" w:pos="1178"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67" w:name="page68"/>
    <w:bookmarkEnd w:id="67"/>
    <w:p>
      <w:pPr>
        <w:ind w:left="420" w:right="40" w:firstLine="428"/>
        <w:spacing w:after="0" w:line="271" w:lineRule="auto"/>
        <w:tabs>
          <w:tab w:leader="none" w:pos="1148"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70" w:lineRule="exact"/>
        <w:rPr>
          <w:rFonts w:ascii="Arial" w:cs="Arial" w:eastAsia="Arial" w:hAnsi="Arial"/>
          <w:sz w:val="17"/>
          <w:szCs w:val="17"/>
          <w:color w:val="auto"/>
        </w:rPr>
      </w:pPr>
    </w:p>
    <w:p>
      <w:pPr>
        <w:ind w:left="420" w:firstLine="428"/>
        <w:spacing w:after="0" w:line="293" w:lineRule="auto"/>
        <w:tabs>
          <w:tab w:leader="none" w:pos="10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4" w:lineRule="exact"/>
        <w:rPr>
          <w:rFonts w:ascii="Arial" w:cs="Arial" w:eastAsia="Arial" w:hAnsi="Arial"/>
          <w:sz w:val="16"/>
          <w:szCs w:val="16"/>
          <w:color w:val="auto"/>
        </w:rPr>
      </w:pPr>
    </w:p>
    <w:p>
      <w:pPr>
        <w:ind w:left="-20" w:right="20" w:firstLine="885"/>
        <w:spacing w:after="0" w:line="285" w:lineRule="auto"/>
        <w:tabs>
          <w:tab w:leader="none" w:pos="110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60" w:top="274" w:right="439" w:bottom="1440" w:gutter="0" w:footer="0" w:header="0"/>
        </w:sectPr>
      </w:pPr>
    </w:p>
    <w:bookmarkStart w:id="68" w:name="page69"/>
    <w:bookmarkEnd w:id="68"/>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50" w:lineRule="exact"/>
        <w:rPr>
          <w:sz w:val="20"/>
          <w:szCs w:val="20"/>
          <w:color w:val="auto"/>
        </w:rPr>
      </w:pPr>
    </w:p>
    <w:p>
      <w:pPr>
        <w:ind w:left="440" w:right="20" w:firstLine="428"/>
        <w:spacing w:after="0" w:line="255" w:lineRule="auto"/>
        <w:tabs>
          <w:tab w:leader="none" w:pos="11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and 2.21(d) as though it were a Lender.</w:t>
      </w:r>
    </w:p>
    <w:p>
      <w:pPr>
        <w:spacing w:after="0" w:line="193" w:lineRule="exact"/>
        <w:rPr>
          <w:rFonts w:ascii="Arial" w:cs="Arial" w:eastAsia="Arial" w:hAnsi="Arial"/>
          <w:sz w:val="18"/>
          <w:szCs w:val="18"/>
          <w:color w:val="auto"/>
        </w:rPr>
      </w:pPr>
    </w:p>
    <w:p>
      <w:pPr>
        <w:ind w:right="40" w:firstLine="885"/>
        <w:spacing w:after="0" w:line="276" w:lineRule="auto"/>
        <w:tabs>
          <w:tab w:leader="none" w:pos="11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72" w:lineRule="exact"/>
        <w:rPr>
          <w:rFonts w:ascii="Arial" w:cs="Arial" w:eastAsia="Arial" w:hAnsi="Arial"/>
          <w:sz w:val="17"/>
          <w:szCs w:val="17"/>
          <w:color w:val="auto"/>
        </w:rPr>
      </w:pPr>
    </w:p>
    <w:p>
      <w:pPr>
        <w:ind w:firstLine="885"/>
        <w:spacing w:after="0" w:line="255" w:lineRule="auto"/>
        <w:tabs>
          <w:tab w:leader="none" w:pos="11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3"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69" w:name="page70"/>
    <w:bookmarkEnd w:id="69"/>
    <w:p>
      <w:pPr>
        <w:ind w:right="200" w:firstLine="88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1" w:lineRule="exact"/>
        <w:rPr>
          <w:sz w:val="20"/>
          <w:szCs w:val="20"/>
          <w:color w:val="auto"/>
        </w:rPr>
      </w:pPr>
    </w:p>
    <w:p>
      <w:pPr>
        <w:ind w:right="200" w:firstLine="881"/>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Company,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7"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1"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of the Administrative Agent, the Lenders, the Company and each other Loan Party hereby irrevocably and unconditionally:</w:t>
      </w:r>
    </w:p>
    <w:p>
      <w:pPr>
        <w:spacing w:after="0" w:line="62" w:lineRule="exact"/>
        <w:rPr>
          <w:sz w:val="20"/>
          <w:szCs w:val="20"/>
          <w:color w:val="auto"/>
        </w:rPr>
      </w:pPr>
    </w:p>
    <w:p>
      <w:pPr>
        <w:jc w:val="both"/>
        <w:ind w:left="440" w:right="80" w:firstLine="428"/>
        <w:spacing w:after="0" w:line="259" w:lineRule="auto"/>
        <w:tabs>
          <w:tab w:leader="none" w:pos="10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78" w:lineRule="exact"/>
        <w:rPr>
          <w:rFonts w:ascii="Arial" w:cs="Arial" w:eastAsia="Arial" w:hAnsi="Arial"/>
          <w:sz w:val="18"/>
          <w:szCs w:val="18"/>
          <w:color w:val="auto"/>
        </w:rPr>
      </w:pPr>
    </w:p>
    <w:p>
      <w:pPr>
        <w:ind w:left="440" w:firstLine="428"/>
        <w:spacing w:after="0" w:line="264" w:lineRule="auto"/>
        <w:tabs>
          <w:tab w:leader="none" w:pos="11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40" w:right="520" w:firstLine="428"/>
        <w:spacing w:after="0" w:line="277" w:lineRule="auto"/>
        <w:tabs>
          <w:tab w:leader="none" w:pos="11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0"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0" w:name="page71"/>
    <w:bookmarkEnd w:id="7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Company hereby acknowledges that:</w:t>
      </w:r>
    </w:p>
    <w:p>
      <w:pPr>
        <w:spacing w:after="0" w:line="225" w:lineRule="exact"/>
        <w:rPr>
          <w:sz w:val="20"/>
          <w:szCs w:val="20"/>
          <w:color w:val="auto"/>
        </w:rPr>
      </w:pPr>
    </w:p>
    <w:p>
      <w:pPr>
        <w:ind w:left="1140" w:hanging="25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jc w:val="both"/>
        <w:ind w:right="180" w:firstLine="885"/>
        <w:spacing w:after="0" w:line="312" w:lineRule="auto"/>
        <w:tabs>
          <w:tab w:leader="none" w:pos="1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46" w:lineRule="exact"/>
        <w:rPr>
          <w:rFonts w:ascii="Arial" w:cs="Arial" w:eastAsia="Arial" w:hAnsi="Arial"/>
          <w:sz w:val="16"/>
          <w:szCs w:val="16"/>
          <w:color w:val="auto"/>
        </w:rPr>
      </w:pPr>
    </w:p>
    <w:p>
      <w:pPr>
        <w:ind w:right="80" w:firstLine="885"/>
        <w:spacing w:after="0" w:line="277" w:lineRule="auto"/>
        <w:tabs>
          <w:tab w:leader="none" w:pos="11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 xml:space="preserve"> .</w:t>
      </w:r>
    </w:p>
    <w:p>
      <w:pPr>
        <w:spacing w:after="0" w:line="225" w:lineRule="exact"/>
        <w:rPr>
          <w:sz w:val="20"/>
          <w:szCs w:val="20"/>
          <w:color w:val="auto"/>
        </w:rPr>
      </w:pPr>
    </w:p>
    <w:p>
      <w:pPr>
        <w:ind w:right="60" w:firstLine="885"/>
        <w:spacing w:after="0" w:line="297" w:lineRule="auto"/>
        <w:tabs>
          <w:tab w:leader="none" w:pos="1126"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58" w:lineRule="exact"/>
        <w:rPr>
          <w:rFonts w:ascii="Arial" w:cs="Arial" w:eastAsia="Arial" w:hAnsi="Arial"/>
          <w:sz w:val="16"/>
          <w:szCs w:val="16"/>
          <w:color w:val="auto"/>
        </w:rPr>
      </w:pPr>
    </w:p>
    <w:p>
      <w:pPr>
        <w:ind w:right="240" w:firstLine="885"/>
        <w:spacing w:after="0" w:line="264" w:lineRule="auto"/>
        <w:tabs>
          <w:tab w:leader="none" w:pos="1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81" w:lineRule="exact"/>
        <w:rPr>
          <w:rFonts w:ascii="Arial" w:cs="Arial" w:eastAsia="Arial" w:hAnsi="Arial"/>
          <w:sz w:val="18"/>
          <w:szCs w:val="18"/>
          <w:color w:val="auto"/>
        </w:rPr>
      </w:pPr>
    </w:p>
    <w:p>
      <w:pPr>
        <w:ind w:firstLine="885"/>
        <w:spacing w:after="0" w:line="255" w:lineRule="auto"/>
        <w:tabs>
          <w:tab w:leader="none" w:pos="11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93" w:lineRule="exact"/>
        <w:rPr>
          <w:rFonts w:ascii="Arial" w:cs="Arial" w:eastAsia="Arial" w:hAnsi="Arial"/>
          <w:sz w:val="18"/>
          <w:szCs w:val="18"/>
          <w:color w:val="auto"/>
        </w:rPr>
      </w:pPr>
    </w:p>
    <w:p>
      <w:pPr>
        <w:ind w:right="460" w:firstLine="885"/>
        <w:spacing w:after="0" w:line="264" w:lineRule="auto"/>
        <w:tabs>
          <w:tab w:leader="none" w:pos="1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1"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each Lender and each Transferee (each a “</w:t>
      </w:r>
      <w:r>
        <w:rPr>
          <w:rFonts w:ascii="Arial" w:cs="Arial" w:eastAsia="Arial" w:hAnsi="Arial"/>
          <w:sz w:val="18"/>
          <w:szCs w:val="18"/>
          <w:u w:val="single" w:color="auto"/>
          <w:color w:val="auto"/>
        </w:rPr>
        <w:t>Receiving Party</w:t>
      </w:r>
      <w:r>
        <w:rPr>
          <w:rFonts w:ascii="Arial" w:cs="Arial" w:eastAsia="Arial" w:hAnsi="Arial"/>
          <w:sz w:val="18"/>
          <w:szCs w:val="18"/>
          <w:color w:val="auto"/>
        </w:rPr>
        <w:t>”) agrees to keep confidential all non-public information provided to it by or on behalf of any Loan Party or any of its respective Subsidiaries, the Administrative Agent or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1" w:name="page72"/>
    <w:bookmarkEnd w:id="7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w:t>
      </w:r>
    </w:p>
    <w:p>
      <w:pPr>
        <w:spacing w:after="0" w:line="4" w:lineRule="exact"/>
        <w:rPr>
          <w:sz w:val="20"/>
          <w:szCs w:val="20"/>
          <w:color w:val="auto"/>
        </w:rPr>
      </w:pPr>
    </w:p>
    <w:p>
      <w:pPr>
        <w:ind w:right="40" w:firstLine="4"/>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90" w:lineRule="exact"/>
        <w:rPr>
          <w:sz w:val="20"/>
          <w:szCs w:val="20"/>
          <w:color w:val="auto"/>
        </w:rPr>
      </w:pPr>
    </w:p>
    <w:p>
      <w:pPr>
        <w:ind w:right="420" w:firstLine="881"/>
        <w:spacing w:after="0" w:line="264"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THE ADMINISTRATIVE AGENT AND THE LENDERS HEREBY IRREVOCABLY AND UNCONDITIONALLY WAIVE TRIAL BY JURY IN ANY LEGAL ACTION OR PROCEEDING RELATING TO THIS AGREEMENT OR ANY OTHER LOAN DOCUMENT AND FOR ANY COUNTERCLAIM THEREIN.</w:t>
      </w:r>
    </w:p>
    <w:p>
      <w:pPr>
        <w:spacing w:after="0" w:line="18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Company that pursuant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it is required to obtain, verify and record information that identifies the Company, which information includes the name and address of the Company and other information that will allow such Lender to identify the Company in accordance with the USA PATRIOT Act.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340" w:firstLine="885"/>
        <w:spacing w:after="0" w:line="277" w:lineRule="auto"/>
        <w:tabs>
          <w:tab w:leader="none" w:pos="112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2" w:name="page73"/>
    <w:bookmarkEnd w:id="72"/>
    <w:p>
      <w:pPr>
        <w:ind w:firstLine="428"/>
        <w:spacing w:after="0" w:line="312" w:lineRule="auto"/>
        <w:tabs>
          <w:tab w:leader="none" w:pos="688"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right="380" w:firstLine="428"/>
        <w:spacing w:after="0" w:line="277" w:lineRule="auto"/>
        <w:tabs>
          <w:tab w:leader="none" w:pos="7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320"/>
          </w:cols>
          <w:pgMar w:left="880" w:top="274" w:right="699" w:bottom="1440" w:gutter="0" w:footer="0" w:header="0"/>
        </w:sectPr>
      </w:pPr>
    </w:p>
    <w:bookmarkStart w:id="73" w:name="page74"/>
    <w:bookmarkEnd w:id="73"/>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Rakesh K. Gupta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Rakesh K. Gupta</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460"/>
          </w:cols>
          <w:pgMar w:left="440" w:top="274" w:right="999" w:bottom="1440" w:gutter="0" w:footer="0" w:header="0"/>
        </w:sectPr>
      </w:pPr>
    </w:p>
    <w:bookmarkStart w:id="74" w:name="page75"/>
    <w:bookmarkEnd w:id="74"/>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Joint Lead Arranger, Joint Bookrunner and a Lender</w:t>
      </w:r>
    </w:p>
    <w:p>
      <w:pPr>
        <w:spacing w:after="0" w:line="211"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Gene R Riego De Dios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Gene R Riego De Dios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60"/>
          </w:cols>
          <w:pgMar w:left="1440" w:top="274" w:right="899" w:bottom="1440" w:gutter="0" w:footer="0" w:header="0"/>
        </w:sectPr>
      </w:pPr>
    </w:p>
    <w:bookmarkStart w:id="75" w:name="page76"/>
    <w:bookmarkEnd w:id="75"/>
    <w:p>
      <w:pPr>
        <w:ind w:left="5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Joint Lead Arranger</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Joint Bookrunner and a Lender</w:t>
      </w:r>
    </w:p>
    <w:p>
      <w:pPr>
        <w:spacing w:after="0" w:line="211"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Susan Olsen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Susan Olsen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40"/>
          </w:cols>
          <w:pgMar w:left="1440" w:top="274" w:right="919" w:bottom="1440" w:gutter="0" w:footer="0" w:header="0"/>
        </w:sectPr>
      </w:pPr>
    </w:p>
    <w:bookmarkStart w:id="76" w:name="page77"/>
    <w:bookmarkEnd w:id="76"/>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Lender</w:t>
      </w:r>
    </w:p>
    <w:p>
      <w:pPr>
        <w:spacing w:after="0" w:line="237"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Lukehart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Brian Lukehart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77" w:name="page78"/>
    <w:bookmarkEnd w:id="77"/>
    <w:p>
      <w:pPr>
        <w:ind w:left="5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a Lender</w:t>
      </w:r>
    </w:p>
    <w:p>
      <w:pPr>
        <w:spacing w:after="0" w:line="24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Craig Malloy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Craig Malloy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78" w:name="page79"/>
    <w:bookmarkEnd w:id="78"/>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BILBAO VIZCAYA ARGENTINA, S.A., NEW</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YORK BRANCH, as a Lender</w:t>
      </w:r>
    </w:p>
    <w:p>
      <w:pPr>
        <w:spacing w:after="0" w:line="211"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Crowley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Brian Crowley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Nurys Maleki</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Nurys Maleki</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240"/>
          </w:cols>
          <w:pgMar w:left="1440" w:top="274" w:right="1219" w:bottom="1440" w:gutter="0" w:footer="0" w:header="0"/>
        </w:sectPr>
      </w:pPr>
    </w:p>
    <w:bookmarkStart w:id="79" w:name="page80"/>
    <w:bookmarkEnd w:id="79"/>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a Lender</w:t>
      </w:r>
    </w:p>
    <w:p>
      <w:pPr>
        <w:spacing w:after="0" w:line="225"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Kirk Hoffman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Kirk Hoffman</w:t>
      </w:r>
    </w:p>
    <w:p>
      <w:pPr>
        <w:spacing w:after="0" w:line="9" w:lineRule="exact"/>
        <w:rPr>
          <w:sz w:val="20"/>
          <w:szCs w:val="20"/>
          <w:color w:val="auto"/>
        </w:rPr>
      </w:pPr>
    </w:p>
    <w:p>
      <w:pPr>
        <w:jc w:val="right"/>
        <w:ind w:right="1739"/>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Pace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Richard Pace</w:t>
      </w:r>
    </w:p>
    <w:p>
      <w:pPr>
        <w:spacing w:after="0" w:line="9" w:lineRule="exact"/>
        <w:rPr>
          <w:sz w:val="20"/>
          <w:szCs w:val="20"/>
          <w:color w:val="auto"/>
        </w:rPr>
      </w:pPr>
    </w:p>
    <w:p>
      <w:pPr>
        <w:jc w:val="right"/>
        <w:ind w:right="1739"/>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80" w:name="page81"/>
    <w:bookmarkEnd w:id="80"/>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COMMERZBANK AG, NEW YORK BRANCH, as a Lender</w:t>
      </w:r>
    </w:p>
    <w:p>
      <w:pPr>
        <w:spacing w:after="0" w:line="237"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Ignacio Campillo</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Ignacio Campillo</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Ravelo</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Michael Ravelo</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60"/>
          </w:cols>
          <w:pgMar w:left="1440" w:top="274" w:right="899" w:bottom="1440" w:gutter="0" w:footer="0" w:header="0"/>
        </w:sectPr>
      </w:pPr>
    </w:p>
    <w:bookmarkStart w:id="81" w:name="page82"/>
    <w:bookmarkEnd w:id="81"/>
    <w:p>
      <w:pPr>
        <w:ind w:left="5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 Bank, as a Lender</w:t>
      </w:r>
    </w:p>
    <w:p>
      <w:pPr>
        <w:spacing w:after="0" w:line="24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Gary Herzog</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Gary Herzog</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Wong</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Jill Wong</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460"/>
          </w:cols>
          <w:pgMar w:left="1440" w:top="274" w:right="999" w:bottom="1440" w:gutter="0" w:footer="0" w:header="0"/>
        </w:sectPr>
      </w:pPr>
    </w:p>
    <w:bookmarkStart w:id="82" w:name="page83"/>
    <w:bookmarkEnd w:id="82"/>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a Lender</w:t>
      </w:r>
    </w:p>
    <w:p>
      <w:pPr>
        <w:spacing w:after="0" w:line="237"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K. Chu</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Ming K. Chu</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Darman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Douglas Darman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600"/>
          </w:cols>
          <w:pgMar w:left="1440" w:top="274" w:right="859" w:bottom="1440" w:gutter="0" w:footer="0" w:header="0"/>
        </w:sectPr>
      </w:pPr>
    </w:p>
    <w:bookmarkStart w:id="83" w:name="page84"/>
    <w:bookmarkEnd w:id="8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Durkin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Durkin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40"/>
          </w:cols>
          <w:pgMar w:left="1440" w:top="274" w:right="1419" w:bottom="1440" w:gutter="0" w:footer="0" w:header="0"/>
        </w:sectPr>
      </w:pPr>
    </w:p>
    <w:bookmarkStart w:id="84" w:name="page85"/>
    <w:bookmarkEnd w:id="84"/>
    <w:p>
      <w:pPr>
        <w:ind w:left="5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 China Limited, New York</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Branch, as a Lender</w:t>
      </w:r>
    </w:p>
    <w:p>
      <w:pPr>
        <w:spacing w:after="0" w:line="211"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Kan Chen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Kan Chen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Gang Duan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Gang Duan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40"/>
          </w:cols>
          <w:pgMar w:left="1440" w:top="274" w:right="919" w:bottom="1440" w:gutter="0" w:footer="0" w:header="0"/>
        </w:sectPr>
      </w:pPr>
    </w:p>
    <w:bookmarkStart w:id="85" w:name="page86"/>
    <w:bookmarkEnd w:id="85"/>
    <w:p>
      <w:pPr>
        <w:ind w:left="5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INTESA SANPAOLO S.P.A. – NEW YORK BRANCH, as a</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Jordan Schweon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Jordan Schweon</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Global Relationship Manager</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Francesco Di Mario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Francesco Di Mario</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Head of Credit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820"/>
          </w:cols>
          <w:pgMar w:left="1440" w:top="274" w:right="639" w:bottom="1440" w:gutter="0" w:footer="0" w:header="0"/>
        </w:sectPr>
      </w:pPr>
    </w:p>
    <w:bookmarkStart w:id="86" w:name="page87"/>
    <w:bookmarkEnd w:id="8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Tracy Rahn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Tracy Rahn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87" w:name="page88"/>
    <w:bookmarkEnd w:id="8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640"/>
          </w:cols>
          <w:pgMar w:left="1440" w:top="274" w:right="819" w:bottom="1440" w:gutter="0" w:footer="0" w:header="0"/>
        </w:sectPr>
      </w:pPr>
    </w:p>
    <w:bookmarkStart w:id="88" w:name="page89"/>
    <w:bookmarkEnd w:id="8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Benjamin Lennon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Benjamin Lennon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89" w:name="page90"/>
    <w:bookmarkEnd w:id="8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NatWest Markets Plc,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Sinead Collister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Sinead Collister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90" w:name="page91"/>
    <w:bookmarkEnd w:id="9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Westminster Bank plc,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Eady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Jonathan Eady</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91" w:name="page92"/>
    <w:bookmarkEnd w:id="9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D. Weinstein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D. Weinstein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800"/>
          </w:cols>
          <w:pgMar w:left="1440" w:top="274" w:right="659" w:bottom="1440" w:gutter="0" w:footer="0" w:header="0"/>
        </w:sectPr>
      </w:pPr>
    </w:p>
    <w:bookmarkStart w:id="92" w:name="page93"/>
    <w:bookmarkEnd w:id="9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SOCIETE GENERALE,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Hogan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Hogan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93" w:name="page94"/>
    <w:bookmarkEnd w:id="93"/>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TORONTO-DOMINION BANK, NEW YORK BRANCH,</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0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Annie Dorval</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Annie Dorval</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760"/>
          </w:cols>
          <w:pgMar w:left="1440" w:top="274" w:right="699" w:bottom="1440" w:gutter="0" w:footer="0" w:header="0"/>
        </w:sectPr>
      </w:pPr>
    </w:p>
    <w:bookmarkStart w:id="94" w:name="page95"/>
    <w:bookmarkEnd w:id="9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Bradley Walker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Bradley Walker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95" w:name="page96"/>
    <w:bookmarkEnd w:id="9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Perrizo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Perrizo</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96" w:name="page97"/>
    <w:bookmarkEnd w:id="96"/>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5"/>
              </w:rPr>
              <w:t>SCHEDULE 1.1A</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to</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4"/>
              </w:rPr>
              <w:t>Credit Agreement</w:t>
            </w: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OMMITMENTS</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ENDER</w:t>
            </w:r>
          </w:p>
        </w:tc>
        <w:tc>
          <w:tcPr>
            <w:tcW w:w="12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3120" w:type="dxa"/>
            <w:vAlign w:val="bottom"/>
            <w:gridSpan w:val="3"/>
          </w:tcPr>
          <w:p>
            <w:pPr>
              <w:jc w:val="center"/>
              <w:ind w:left="1231"/>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1"/>
                <w:szCs w:val="11"/>
                <w:b w:val="1"/>
                <w:bCs w:val="1"/>
                <w:color w:val="auto"/>
              </w:rPr>
              <w:t>OMMITMENT</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17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Barclays Bank PLC</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BNP Paribas</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Commerzbank Capital Markets AG, New York Branch</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Credit Agricole Corporate and Investment Bank</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Goldman Sachs Bank USA</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Intesa Sanpaolo S.p.A. – New York Branch</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Mizuho Bank, Ltd.</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Morgan Stanley Senior Funding, Inc.</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Royal Bank of Canada</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NatWest Markets Plc</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National Westminster Bank plc</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Société Générale</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Toronto-Dominion Bank, New York Branch</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The Bank of Nova Scotia</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Wells Fargo Bank, N.A.</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2680" w:type="dxa"/>
            <w:vAlign w:val="bottom"/>
            <w:gridSpan w:val="2"/>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OTAL</w:t>
            </w:r>
            <w:r>
              <w:rPr>
                <w:rFonts w:ascii="Arial" w:cs="Arial" w:eastAsia="Arial" w:hAnsi="Arial"/>
                <w:sz w:val="18"/>
                <w:szCs w:val="18"/>
                <w:b w:val="1"/>
                <w:bCs w:val="1"/>
                <w:color w:val="auto"/>
              </w:rPr>
              <w:t>:</w:t>
            </w:r>
          </w:p>
        </w:tc>
        <w:tc>
          <w:tcPr>
            <w:tcW w:w="2680" w:type="dxa"/>
            <w:vAlign w:val="bottom"/>
            <w:gridSpan w:val="2"/>
            <w:shd w:val="clear" w:color="auto" w:fill="CCEEFF"/>
          </w:tcPr>
          <w:p>
            <w:pPr>
              <w:jc w:val="center"/>
              <w:ind w:left="16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131" w:lineRule="exact"/>
        <w:rPr>
          <w:sz w:val="20"/>
          <w:szCs w:val="20"/>
          <w:color w:val="auto"/>
        </w:rPr>
      </w:pPr>
    </w:p>
    <w:p>
      <w:pPr>
        <w:ind w:left="440" w:right="480" w:hanging="436"/>
        <w:spacing w:after="0" w:line="277"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020"/>
          </w:cols>
          <w:pgMar w:left="440" w:top="274" w:right="439" w:bottom="1440" w:gutter="0" w:footer="0" w:header="0"/>
        </w:sectPr>
      </w:pPr>
    </w:p>
    <w:bookmarkStart w:id="97" w:name="page98"/>
    <w:bookmarkEnd w:id="97"/>
    <w:p>
      <w:pPr>
        <w:ind w:left="97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1.1B</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Credit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r>
      <w:tr>
        <w:trPr>
          <w:trHeight w:val="432"/>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Name of Entity</w:t>
            </w:r>
          </w:p>
        </w:tc>
        <w:tc>
          <w:tcPr>
            <w:tcW w:w="324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91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GM Cruise LLC</w:t>
            </w: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20" w:type="dxa"/>
            <w:vAlign w:val="bottom"/>
          </w:tcPr>
          <w:p>
            <w:pPr>
              <w:jc w:val="center"/>
              <w:ind w:right="891"/>
              <w:spacing w:after="0" w:line="189" w:lineRule="exact"/>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20" w:type="dxa"/>
            <w:vAlign w:val="bottom"/>
          </w:tcPr>
          <w:p>
            <w:pPr>
              <w:jc w:val="center"/>
              <w:ind w:right="891"/>
              <w:spacing w:after="0"/>
              <w:rPr>
                <w:sz w:val="20"/>
                <w:szCs w:val="20"/>
                <w:color w:val="auto"/>
              </w:rPr>
            </w:pPr>
            <w:r>
              <w:rPr>
                <w:rFonts w:ascii="Arial" w:cs="Arial" w:eastAsia="Arial" w:hAnsi="Arial"/>
                <w:sz w:val="18"/>
                <w:szCs w:val="18"/>
                <w:color w:val="auto"/>
                <w:w w:val="89"/>
              </w:rPr>
              <w:t>Delaware</w:t>
            </w:r>
          </w:p>
        </w:tc>
      </w:tr>
      <w:tr>
        <w:trPr>
          <w:trHeight w:val="446"/>
        </w:trPr>
        <w:tc>
          <w:tcPr>
            <w:tcW w:w="42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ind w:right="473"/>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90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1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S&amp;P / Moody’s / Fitch</w:t>
            </w:r>
          </w:p>
        </w:tc>
        <w:tc>
          <w:tcPr>
            <w:tcW w:w="2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Facility Fee Rate</w:t>
            </w:r>
          </w:p>
        </w:tc>
        <w:tc>
          <w:tcPr>
            <w:tcW w:w="160" w:type="dxa"/>
            <w:vAlign w:val="bottom"/>
          </w:tcPr>
          <w:p>
            <w:pPr>
              <w:spacing w:after="0"/>
              <w:rPr>
                <w:sz w:val="24"/>
                <w:szCs w:val="24"/>
                <w:color w:val="auto"/>
              </w:rPr>
            </w:pPr>
          </w:p>
        </w:tc>
        <w:tc>
          <w:tcPr>
            <w:tcW w:w="2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Applicable Margin</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Applicable Margin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All-in Spread for</w:t>
            </w:r>
          </w:p>
        </w:tc>
        <w:tc>
          <w:tcPr>
            <w:tcW w:w="0" w:type="dxa"/>
            <w:vAlign w:val="bottom"/>
          </w:tcPr>
          <w:p>
            <w:pPr>
              <w:spacing w:after="0"/>
              <w:rPr>
                <w:sz w:val="1"/>
                <w:szCs w:val="1"/>
                <w:color w:val="auto"/>
              </w:rPr>
            </w:pPr>
          </w:p>
        </w:tc>
      </w:tr>
      <w:tr>
        <w:trPr>
          <w:trHeight w:val="191"/>
        </w:trPr>
        <w:tc>
          <w:tcPr>
            <w:tcW w:w="2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Company’s Rating</w:t>
            </w:r>
          </w:p>
        </w:tc>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for Eurocurrency Loans</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ABR Loans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Eurocurrency Loans</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³ A/A2/A</w:t>
            </w:r>
          </w:p>
        </w:tc>
        <w:tc>
          <w:tcPr>
            <w:tcW w:w="80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300" w:type="dxa"/>
            <w:vAlign w:val="bottom"/>
            <w:tcBorders>
              <w:top w:val="single" w:sz="8" w:color="auto"/>
            </w:tcBorders>
            <w:gridSpan w:val="2"/>
          </w:tcPr>
          <w:p>
            <w:pPr>
              <w:jc w:val="center"/>
              <w:ind w:left="570"/>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color w:val="auto"/>
              </w:rPr>
              <w:t>A-/A3/A-</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BBB+ / Baa1 / BBB+</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BBB / Baa2 / BBB</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gridSpan w:val="3"/>
          </w:tcPr>
          <w:p>
            <w:pPr>
              <w:jc w:val="center"/>
              <w:ind w:right="600"/>
              <w:spacing w:after="0"/>
              <w:rPr>
                <w:sz w:val="20"/>
                <w:szCs w:val="20"/>
                <w:color w:val="auto"/>
              </w:rPr>
            </w:pPr>
            <w:r>
              <w:rPr>
                <w:rFonts w:ascii="Arial" w:cs="Arial" w:eastAsia="Arial" w:hAnsi="Arial"/>
                <w:sz w:val="18"/>
                <w:szCs w:val="18"/>
                <w:color w:val="auto"/>
                <w:w w:val="96"/>
              </w:rPr>
              <w:t>BBB- / Baa3 / BBB-</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gridSpan w:val="3"/>
          </w:tcPr>
          <w:p>
            <w:pPr>
              <w:jc w:val="center"/>
              <w:ind w:right="600"/>
              <w:spacing w:after="0"/>
              <w:rPr>
                <w:sz w:val="20"/>
                <w:szCs w:val="20"/>
                <w:color w:val="auto"/>
              </w:rPr>
            </w:pPr>
            <w:r>
              <w:rPr>
                <w:rFonts w:ascii="Arial" w:cs="Arial" w:eastAsia="Arial" w:hAnsi="Arial"/>
                <w:sz w:val="18"/>
                <w:szCs w:val="18"/>
                <w:color w:val="auto"/>
                <w:w w:val="96"/>
              </w:rPr>
              <w:t>BB+ / Ba1 / BB+</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 BB / Ba2 / BB</w:t>
            </w: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Changes in the Applicable Margin and Facility Fee Rate shall become effective on the date on which S&amp;P, Moody’s and/or Fitch changes the rating it has issued with respect to the Company’s facility rating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In the event a rating is provided by any two of S&amp;P, Moody’s and Fitch, (a) in the case of a split rating of one level, the higher rating will apply, and (b) in the case of a split rating by more than one level, the rating that is one level higher than the lower rating will apply. In the event a rating is provided by all of S&amp;P, Moody’s and Fitch, in the case of a split rating, (i) if any two ratings are at the same level, such rating will apply or (ii) if no two ratings are at the same level, the rating level which is in the middle of the distribution of the three ratings will apply.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131" w:lineRule="exact"/>
        <w:rPr>
          <w:sz w:val="20"/>
          <w:szCs w:val="20"/>
          <w:color w:val="auto"/>
        </w:rPr>
      </w:pPr>
    </w:p>
    <w:p>
      <w:pPr>
        <w:ind w:left="440" w:right="500" w:hanging="436"/>
        <w:spacing w:after="0" w:line="277"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040"/>
          </w:cols>
          <w:pgMar w:left="440" w:top="274" w:right="419" w:bottom="1440" w:gutter="0" w:footer="0" w:header="0"/>
        </w:sectPr>
      </w:pPr>
    </w:p>
    <w:bookmarkStart w:id="99" w:name="page100"/>
    <w:bookmarkEnd w:id="99"/>
    <w:p>
      <w:pPr>
        <w:ind w:left="9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Liens reflected in the lien search results, dated as of January 14, 2019 delivered to the Administrative Agent prior to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ectPr>
          <w:pgSz w:w="11900" w:h="16838" w:orient="portrait"/>
          <w:cols w:equalWidth="0" w:num="1">
            <w:col w:w="11020"/>
          </w:cols>
          <w:pgMar w:left="440" w:top="274" w:right="439" w:bottom="1440" w:gutter="0" w:footer="0" w:header="0"/>
        </w:sectPr>
      </w:pPr>
    </w:p>
    <w:bookmarkStart w:id="100" w:name="page101"/>
    <w:bookmarkEnd w:id="100"/>
    <w:p>
      <w:pPr>
        <w:ind w:left="9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E</w:t>
      </w:r>
    </w:p>
    <w:p>
      <w:pPr>
        <w:spacing w:after="0" w:line="46"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pacing w:after="0" w:line="131" w:lineRule="exact"/>
        <w:rPr>
          <w:sz w:val="20"/>
          <w:szCs w:val="20"/>
          <w:color w:val="auto"/>
        </w:rPr>
      </w:pPr>
    </w:p>
    <w:p>
      <w:pPr>
        <w:ind w:left="440" w:right="480" w:hanging="436"/>
        <w:spacing w:after="0" w:line="277"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020"/>
          </w:cols>
          <w:pgMar w:left="440" w:top="274" w:right="439" w:bottom="1440" w:gutter="0" w:footer="0" w:header="0"/>
        </w:sectPr>
      </w:pPr>
    </w:p>
    <w:bookmarkStart w:id="101" w:name="page102"/>
    <w:bookmarkEnd w:id="101"/>
    <w:p>
      <w:pPr>
        <w:ind w:left="9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4.6</w:t>
      </w:r>
    </w:p>
    <w:p>
      <w:pPr>
        <w:spacing w:after="0" w:line="46"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020"/>
          </w:cols>
          <w:pgMar w:left="440" w:top="274" w:right="439" w:bottom="1440" w:gutter="0" w:footer="0" w:header="0"/>
        </w:sectPr>
      </w:pPr>
    </w:p>
    <w:bookmarkStart w:id="102" w:name="page103"/>
    <w:bookmarkEnd w:id="102"/>
    <w:p>
      <w:pPr>
        <w:ind w:left="9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 xml:space="preserve">THE SUBSIDIARY GUARANTORS FROM TIME TO TIME PARTIES HERETO, </w:t>
      </w:r>
      <w:r>
        <w:rPr>
          <w:rFonts w:ascii="Arial" w:cs="Arial" w:eastAsia="Arial" w:hAnsi="Arial"/>
          <w:sz w:val="17"/>
          <w:szCs w:val="17"/>
          <w:i w:val="1"/>
          <w:iCs w:val="1"/>
          <w:color w:val="auto"/>
        </w:rPr>
        <w:t>as the Guarantors</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900"/>
        <w:spacing w:after="0"/>
        <w:tabs>
          <w:tab w:leader="none" w:pos="5040" w:val="left"/>
        </w:tabs>
        <w:rPr>
          <w:sz w:val="20"/>
          <w:szCs w:val="20"/>
          <w:color w:val="auto"/>
        </w:rPr>
      </w:pPr>
      <w:r>
        <w:rPr>
          <w:rFonts w:ascii="Arial" w:cs="Arial" w:eastAsia="Arial" w:hAnsi="Arial"/>
          <w:sz w:val="18"/>
          <w:szCs w:val="18"/>
          <w:color w:val="auto"/>
        </w:rPr>
        <w:t>Dated as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7740" w:type="dxa"/>
            <w:vAlign w:val="bottom"/>
          </w:tcPr>
          <w:p>
            <w:pPr>
              <w:ind w:left="378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vMerge w:val="restart"/>
          </w:tcPr>
          <w:p>
            <w:pPr>
              <w:spacing w:after="0"/>
              <w:rPr>
                <w:sz w:val="20"/>
                <w:szCs w:val="20"/>
                <w:color w:val="auto"/>
              </w:rPr>
            </w:pPr>
            <w:r>
              <w:rPr>
                <w:rFonts w:ascii="Arial" w:cs="Arial" w:eastAsia="Arial" w:hAnsi="Arial"/>
                <w:sz w:val="18"/>
                <w:szCs w:val="18"/>
                <w:color w:val="auto"/>
                <w:w w:val="99"/>
              </w:rPr>
              <w:t>Section 1.</w:t>
            </w:r>
          </w:p>
        </w:tc>
        <w:tc>
          <w:tcPr>
            <w:tcW w:w="7740" w:type="dxa"/>
            <w:vAlign w:val="bottom"/>
            <w:vMerge w:val="restart"/>
          </w:tcPr>
          <w:p>
            <w:pPr>
              <w:ind w:left="120"/>
              <w:spacing w:after="0"/>
              <w:rPr>
                <w:sz w:val="20"/>
                <w:szCs w:val="20"/>
                <w:color w:val="auto"/>
              </w:rPr>
            </w:pPr>
            <w:r>
              <w:rPr>
                <w:rFonts w:ascii="Arial" w:cs="Arial" w:eastAsia="Arial" w:hAnsi="Arial"/>
                <w:sz w:val="18"/>
                <w:szCs w:val="18"/>
                <w:color w:val="auto"/>
              </w:rPr>
              <w:t>DEFINED TERMS</w:t>
            </w: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20" w:type="dxa"/>
            <w:vAlign w:val="bottom"/>
            <w:vMerge w:val="continue"/>
          </w:tcPr>
          <w:p>
            <w:pPr>
              <w:spacing w:after="0"/>
              <w:rPr>
                <w:sz w:val="19"/>
                <w:szCs w:val="19"/>
                <w:color w:val="auto"/>
              </w:rPr>
            </w:pPr>
          </w:p>
        </w:tc>
        <w:tc>
          <w:tcPr>
            <w:tcW w:w="77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820" w:type="dxa"/>
            <w:vAlign w:val="bottom"/>
          </w:tcPr>
          <w:p>
            <w:pPr>
              <w:ind w:left="360"/>
              <w:spacing w:after="0"/>
              <w:rPr>
                <w:sz w:val="20"/>
                <w:szCs w:val="20"/>
                <w:color w:val="auto"/>
              </w:rPr>
            </w:pPr>
            <w:r>
              <w:rPr>
                <w:rFonts w:ascii="Arial" w:cs="Arial" w:eastAsia="Arial" w:hAnsi="Arial"/>
                <w:sz w:val="18"/>
                <w:szCs w:val="18"/>
                <w:color w:val="auto"/>
              </w:rPr>
              <w:t>1.1</w:t>
            </w:r>
          </w:p>
        </w:tc>
        <w:tc>
          <w:tcPr>
            <w:tcW w:w="77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1.2</w:t>
            </w:r>
          </w:p>
        </w:tc>
        <w:tc>
          <w:tcPr>
            <w:tcW w:w="774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 2.</w:t>
            </w:r>
          </w:p>
        </w:tc>
        <w:tc>
          <w:tcPr>
            <w:tcW w:w="774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2.1</w:t>
            </w:r>
          </w:p>
        </w:tc>
        <w:tc>
          <w:tcPr>
            <w:tcW w:w="774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w:t>
            </w:r>
          </w:p>
        </w:tc>
        <w:tc>
          <w:tcPr>
            <w:tcW w:w="7740" w:type="dxa"/>
            <w:vAlign w:val="bottom"/>
          </w:tcPr>
          <w:p>
            <w:pPr>
              <w:ind w:left="120"/>
              <w:spacing w:after="0"/>
              <w:rPr>
                <w:sz w:val="20"/>
                <w:szCs w:val="20"/>
                <w:color w:val="auto"/>
              </w:rPr>
            </w:pPr>
            <w:r>
              <w:rPr>
                <w:rFonts w:ascii="Arial" w:cs="Arial" w:eastAsia="Arial" w:hAnsi="Arial"/>
                <w:sz w:val="18"/>
                <w:szCs w:val="18"/>
                <w:color w:val="auto"/>
              </w:rPr>
              <w:t>Right of Contribution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w:t>
            </w:r>
          </w:p>
        </w:tc>
        <w:tc>
          <w:tcPr>
            <w:tcW w:w="7740" w:type="dxa"/>
            <w:vAlign w:val="bottom"/>
          </w:tcPr>
          <w:p>
            <w:pPr>
              <w:ind w:left="120"/>
              <w:spacing w:after="0"/>
              <w:rPr>
                <w:sz w:val="20"/>
                <w:szCs w:val="20"/>
                <w:color w:val="auto"/>
              </w:rPr>
            </w:pPr>
            <w:r>
              <w:rPr>
                <w:rFonts w:ascii="Arial" w:cs="Arial" w:eastAsia="Arial" w:hAnsi="Arial"/>
                <w:sz w:val="18"/>
                <w:szCs w:val="18"/>
                <w:color w:val="auto"/>
              </w:rPr>
              <w:t>No Subrogation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w:t>
            </w:r>
          </w:p>
        </w:tc>
        <w:tc>
          <w:tcPr>
            <w:tcW w:w="7740" w:type="dxa"/>
            <w:vAlign w:val="bottom"/>
          </w:tcPr>
          <w:p>
            <w:pPr>
              <w:ind w:left="120"/>
              <w:spacing w:after="0"/>
              <w:rPr>
                <w:sz w:val="20"/>
                <w:szCs w:val="20"/>
                <w:color w:val="auto"/>
              </w:rPr>
            </w:pPr>
            <w:r>
              <w:rPr>
                <w:rFonts w:ascii="Arial" w:cs="Arial" w:eastAsia="Arial" w:hAnsi="Arial"/>
                <w:sz w:val="18"/>
                <w:szCs w:val="18"/>
                <w:color w:val="auto"/>
              </w:rPr>
              <w:t>Amendments, etc. with respect to the Guaranteed Obligations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2.5</w:t>
            </w:r>
          </w:p>
        </w:tc>
        <w:tc>
          <w:tcPr>
            <w:tcW w:w="7740" w:type="dxa"/>
            <w:vAlign w:val="bottom"/>
          </w:tcPr>
          <w:p>
            <w:pPr>
              <w:ind w:left="120"/>
              <w:spacing w:after="0"/>
              <w:rPr>
                <w:sz w:val="20"/>
                <w:szCs w:val="20"/>
                <w:color w:val="auto"/>
              </w:rPr>
            </w:pPr>
            <w:r>
              <w:rPr>
                <w:rFonts w:ascii="Arial" w:cs="Arial" w:eastAsia="Arial" w:hAnsi="Arial"/>
                <w:sz w:val="18"/>
                <w:szCs w:val="18"/>
                <w:color w:val="auto"/>
              </w:rPr>
              <w:t>Guarantee Absolute and Unconditional</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2.6</w:t>
            </w:r>
          </w:p>
        </w:tc>
        <w:tc>
          <w:tcPr>
            <w:tcW w:w="774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2.7</w:t>
            </w:r>
          </w:p>
        </w:tc>
        <w:tc>
          <w:tcPr>
            <w:tcW w:w="774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 3.</w:t>
            </w:r>
          </w:p>
        </w:tc>
        <w:tc>
          <w:tcPr>
            <w:tcW w:w="774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3.1</w:t>
            </w:r>
          </w:p>
        </w:tc>
        <w:tc>
          <w:tcPr>
            <w:tcW w:w="7740" w:type="dxa"/>
            <w:vAlign w:val="bottom"/>
          </w:tcPr>
          <w:p>
            <w:pPr>
              <w:ind w:left="120"/>
              <w:spacing w:after="0"/>
              <w:rPr>
                <w:sz w:val="20"/>
                <w:szCs w:val="20"/>
                <w:color w:val="auto"/>
              </w:rPr>
            </w:pPr>
            <w:r>
              <w:rPr>
                <w:rFonts w:ascii="Arial" w:cs="Arial" w:eastAsia="Arial" w:hAnsi="Arial"/>
                <w:sz w:val="18"/>
                <w:szCs w:val="18"/>
                <w:color w:val="auto"/>
              </w:rPr>
              <w:t>Authority of Administrative Agent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3.2</w:t>
            </w:r>
          </w:p>
        </w:tc>
        <w:tc>
          <w:tcPr>
            <w:tcW w:w="7740" w:type="dxa"/>
            <w:vAlign w:val="bottom"/>
          </w:tcPr>
          <w:p>
            <w:pPr>
              <w:ind w:left="120"/>
              <w:spacing w:after="0"/>
              <w:rPr>
                <w:sz w:val="20"/>
                <w:szCs w:val="20"/>
                <w:color w:val="auto"/>
              </w:rPr>
            </w:pPr>
            <w:r>
              <w:rPr>
                <w:rFonts w:ascii="Arial" w:cs="Arial" w:eastAsia="Arial" w:hAnsi="Arial"/>
                <w:sz w:val="18"/>
                <w:szCs w:val="18"/>
                <w:color w:val="auto"/>
              </w:rPr>
              <w:t>Amendments in Writing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3.3</w:t>
            </w:r>
          </w:p>
        </w:tc>
        <w:tc>
          <w:tcPr>
            <w:tcW w:w="7740" w:type="dxa"/>
            <w:vAlign w:val="bottom"/>
          </w:tcPr>
          <w:p>
            <w:pPr>
              <w:ind w:left="120"/>
              <w:spacing w:after="0"/>
              <w:rPr>
                <w:sz w:val="20"/>
                <w:szCs w:val="20"/>
                <w:color w:val="auto"/>
              </w:rPr>
            </w:pPr>
            <w:r>
              <w:rPr>
                <w:rFonts w:ascii="Arial" w:cs="Arial" w:eastAsia="Arial" w:hAnsi="Arial"/>
                <w:sz w:val="18"/>
                <w:szCs w:val="18"/>
                <w:color w:val="auto"/>
              </w:rPr>
              <w:t>Notices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3.4</w:t>
            </w:r>
          </w:p>
        </w:tc>
        <w:tc>
          <w:tcPr>
            <w:tcW w:w="7740" w:type="dxa"/>
            <w:vAlign w:val="bottom"/>
          </w:tcPr>
          <w:p>
            <w:pPr>
              <w:ind w:left="120"/>
              <w:spacing w:after="0"/>
              <w:rPr>
                <w:sz w:val="20"/>
                <w:szCs w:val="20"/>
                <w:color w:val="auto"/>
              </w:rPr>
            </w:pPr>
            <w:r>
              <w:rPr>
                <w:rFonts w:ascii="Arial" w:cs="Arial" w:eastAsia="Arial" w:hAnsi="Arial"/>
                <w:sz w:val="18"/>
                <w:szCs w:val="18"/>
                <w:color w:val="auto"/>
              </w:rPr>
              <w:t>No Waiver by Course of Conduct; Cumulative Remedies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3.5</w:t>
            </w:r>
          </w:p>
        </w:tc>
        <w:tc>
          <w:tcPr>
            <w:tcW w:w="7740" w:type="dxa"/>
            <w:vAlign w:val="bottom"/>
          </w:tcPr>
          <w:p>
            <w:pPr>
              <w:ind w:left="120"/>
              <w:spacing w:after="0"/>
              <w:rPr>
                <w:sz w:val="20"/>
                <w:szCs w:val="20"/>
                <w:color w:val="auto"/>
              </w:rPr>
            </w:pPr>
            <w:r>
              <w:rPr>
                <w:rFonts w:ascii="Arial" w:cs="Arial" w:eastAsia="Arial" w:hAnsi="Arial"/>
                <w:sz w:val="18"/>
                <w:szCs w:val="18"/>
                <w:color w:val="auto"/>
              </w:rPr>
              <w:t>Enforcement Expenses; Indemnification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3.6</w:t>
            </w:r>
          </w:p>
        </w:tc>
        <w:tc>
          <w:tcPr>
            <w:tcW w:w="774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3.7</w:t>
            </w:r>
          </w:p>
        </w:tc>
        <w:tc>
          <w:tcPr>
            <w:tcW w:w="77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3.8</w:t>
            </w:r>
          </w:p>
        </w:tc>
        <w:tc>
          <w:tcPr>
            <w:tcW w:w="77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3.9</w:t>
            </w:r>
          </w:p>
        </w:tc>
        <w:tc>
          <w:tcPr>
            <w:tcW w:w="7740" w:type="dxa"/>
            <w:vAlign w:val="bottom"/>
          </w:tcPr>
          <w:p>
            <w:pPr>
              <w:ind w:left="120"/>
              <w:spacing w:after="0"/>
              <w:rPr>
                <w:sz w:val="20"/>
                <w:szCs w:val="20"/>
                <w:color w:val="auto"/>
              </w:rPr>
            </w:pPr>
            <w:r>
              <w:rPr>
                <w:rFonts w:ascii="Arial" w:cs="Arial" w:eastAsia="Arial" w:hAnsi="Arial"/>
                <w:sz w:val="18"/>
                <w:szCs w:val="18"/>
                <w:color w:val="auto"/>
              </w:rPr>
              <w:t>Section Headings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820" w:type="dxa"/>
            <w:vAlign w:val="bottom"/>
          </w:tcPr>
          <w:p>
            <w:pPr>
              <w:ind w:left="360"/>
              <w:spacing w:after="0"/>
              <w:rPr>
                <w:sz w:val="20"/>
                <w:szCs w:val="20"/>
                <w:color w:val="auto"/>
              </w:rPr>
            </w:pPr>
            <w:r>
              <w:rPr>
                <w:rFonts w:ascii="Arial" w:cs="Arial" w:eastAsia="Arial" w:hAnsi="Arial"/>
                <w:sz w:val="18"/>
                <w:szCs w:val="18"/>
                <w:color w:val="auto"/>
              </w:rPr>
              <w:t>3.10</w:t>
            </w:r>
          </w:p>
        </w:tc>
        <w:tc>
          <w:tcPr>
            <w:tcW w:w="774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820" w:type="dxa"/>
            <w:vAlign w:val="bottom"/>
          </w:tcPr>
          <w:p>
            <w:pPr>
              <w:ind w:left="360"/>
              <w:spacing w:after="0"/>
              <w:rPr>
                <w:sz w:val="20"/>
                <w:szCs w:val="20"/>
                <w:color w:val="auto"/>
              </w:rPr>
            </w:pPr>
            <w:r>
              <w:rPr>
                <w:rFonts w:ascii="Arial" w:cs="Arial" w:eastAsia="Arial" w:hAnsi="Arial"/>
                <w:sz w:val="18"/>
                <w:szCs w:val="18"/>
                <w:color w:val="auto"/>
              </w:rPr>
              <w:t>3.11</w:t>
            </w:r>
          </w:p>
        </w:tc>
        <w:tc>
          <w:tcPr>
            <w:tcW w:w="774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3.12</w:t>
            </w:r>
          </w:p>
        </w:tc>
        <w:tc>
          <w:tcPr>
            <w:tcW w:w="774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3.13</w:t>
            </w:r>
          </w:p>
        </w:tc>
        <w:tc>
          <w:tcPr>
            <w:tcW w:w="7740" w:type="dxa"/>
            <w:vAlign w:val="bottom"/>
          </w:tcPr>
          <w:p>
            <w:pPr>
              <w:ind w:left="120"/>
              <w:spacing w:after="0"/>
              <w:rPr>
                <w:sz w:val="20"/>
                <w:szCs w:val="20"/>
                <w:color w:val="auto"/>
              </w:rPr>
            </w:pPr>
            <w:r>
              <w:rPr>
                <w:rFonts w:ascii="Arial" w:cs="Arial" w:eastAsia="Arial" w:hAnsi="Arial"/>
                <w:sz w:val="18"/>
                <w:szCs w:val="18"/>
                <w:color w:val="auto"/>
              </w:rPr>
              <w:t>Judgment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3.14</w:t>
            </w:r>
          </w:p>
        </w:tc>
        <w:tc>
          <w:tcPr>
            <w:tcW w:w="7740" w:type="dxa"/>
            <w:vAlign w:val="bottom"/>
          </w:tcPr>
          <w:p>
            <w:pPr>
              <w:ind w:left="120"/>
              <w:spacing w:after="0"/>
              <w:rPr>
                <w:sz w:val="20"/>
                <w:szCs w:val="20"/>
                <w:color w:val="auto"/>
              </w:rPr>
            </w:pPr>
            <w:r>
              <w:rPr>
                <w:rFonts w:ascii="Arial" w:cs="Arial" w:eastAsia="Arial" w:hAnsi="Arial"/>
                <w:sz w:val="18"/>
                <w:szCs w:val="18"/>
                <w:color w:val="auto"/>
              </w:rPr>
              <w:t>Additional Guarantors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820" w:type="dxa"/>
            <w:vAlign w:val="bottom"/>
          </w:tcPr>
          <w:p>
            <w:pPr>
              <w:ind w:left="360"/>
              <w:spacing w:after="0"/>
              <w:rPr>
                <w:sz w:val="20"/>
                <w:szCs w:val="20"/>
                <w:color w:val="auto"/>
              </w:rPr>
            </w:pPr>
            <w:r>
              <w:rPr>
                <w:rFonts w:ascii="Arial" w:cs="Arial" w:eastAsia="Arial" w:hAnsi="Arial"/>
                <w:sz w:val="18"/>
                <w:szCs w:val="18"/>
                <w:color w:val="auto"/>
              </w:rPr>
              <w:t>3.15</w:t>
            </w:r>
          </w:p>
        </w:tc>
        <w:tc>
          <w:tcPr>
            <w:tcW w:w="7740" w:type="dxa"/>
            <w:vAlign w:val="bottom"/>
          </w:tcPr>
          <w:p>
            <w:pPr>
              <w:ind w:left="120"/>
              <w:spacing w:after="0"/>
              <w:rPr>
                <w:sz w:val="20"/>
                <w:szCs w:val="20"/>
                <w:color w:val="auto"/>
              </w:rPr>
            </w:pPr>
            <w:r>
              <w:rPr>
                <w:rFonts w:ascii="Arial" w:cs="Arial" w:eastAsia="Arial" w:hAnsi="Arial"/>
                <w:sz w:val="18"/>
                <w:szCs w:val="18"/>
                <w:color w:val="auto"/>
              </w:rPr>
              <w:t>Releases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820" w:type="dxa"/>
            <w:vAlign w:val="bottom"/>
          </w:tcPr>
          <w:p>
            <w:pPr>
              <w:ind w:left="360"/>
              <w:spacing w:after="0"/>
              <w:rPr>
                <w:sz w:val="20"/>
                <w:szCs w:val="20"/>
                <w:color w:val="auto"/>
              </w:rPr>
            </w:pPr>
            <w:r>
              <w:rPr>
                <w:rFonts w:ascii="Arial" w:cs="Arial" w:eastAsia="Arial" w:hAnsi="Arial"/>
                <w:sz w:val="18"/>
                <w:szCs w:val="18"/>
                <w:color w:val="auto"/>
              </w:rPr>
              <w:t>3.16</w:t>
            </w:r>
          </w:p>
        </w:tc>
        <w:tc>
          <w:tcPr>
            <w:tcW w:w="7740" w:type="dxa"/>
            <w:vAlign w:val="bottom"/>
          </w:tcPr>
          <w:p>
            <w:pPr>
              <w:ind w:left="120"/>
              <w:spacing w:after="0"/>
              <w:rPr>
                <w:sz w:val="20"/>
                <w:szCs w:val="20"/>
                <w:color w:val="auto"/>
              </w:rPr>
            </w:pPr>
            <w:r>
              <w:rPr>
                <w:rFonts w:ascii="Arial" w:cs="Arial" w:eastAsia="Arial" w:hAnsi="Arial"/>
                <w:sz w:val="18"/>
                <w:szCs w:val="18"/>
                <w:b w:val="1"/>
                <w:bCs w:val="1"/>
                <w:color w:val="auto"/>
              </w:rPr>
              <w:t>WAIVER OF JURY TRIAL</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04" w:name="page105"/>
    <w:bookmarkEnd w:id="104"/>
    <w:p>
      <w:pPr>
        <w:ind w:firstLine="88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 AGREEMENT, dated as of [ ],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made by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3-Year Revolving Credit Agreement, dated January 14, 2019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the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the other agents named therein.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upon the terms and subject to the conditions set forth therein;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Company is a member of an affiliated group of companies that includes each Guarantor;</w:t>
      </w:r>
    </w:p>
    <w:p>
      <w:pPr>
        <w:spacing w:after="0" w:line="225"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under the Credit Agreement; and</w:t>
      </w:r>
    </w:p>
    <w:p>
      <w:pPr>
        <w:spacing w:after="0" w:line="170" w:lineRule="exact"/>
        <w:rPr>
          <w:sz w:val="20"/>
          <w:szCs w:val="20"/>
          <w:color w:val="auto"/>
        </w:rPr>
      </w:pPr>
    </w:p>
    <w:p>
      <w:pPr>
        <w:ind w:right="240" w:firstLine="881"/>
        <w:spacing w:after="0" w:line="286" w:lineRule="auto"/>
        <w:rPr>
          <w:sz w:val="20"/>
          <w:szCs w:val="20"/>
          <w:color w:val="auto"/>
        </w:rPr>
      </w:pPr>
      <w:r>
        <w:rPr>
          <w:rFonts w:ascii="Arial" w:cs="Arial" w:eastAsia="Arial" w:hAnsi="Arial"/>
          <w:sz w:val="17"/>
          <w:szCs w:val="17"/>
          <w:color w:val="auto"/>
        </w:rPr>
        <w:t>NOW, THEREFORE, in consideration of the premises and to induce the Administrative Agent and the Lenders to enter into the Credit Agreement and to induce the Lenders to make their respective extensions of credit to or for the account of the Company under the Credit Agreement, each Guarantor hereby agrees with the Administrative Agent, for the benefit of the Guaranteed Parties, as follows: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0" w:firstLine="444"/>
        <w:spacing w:after="0" w:line="277"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jc w:val="both"/>
        <w:ind w:right="2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means, collectively, the unpaid principal of and interest on the Loans and all other obligations and liabilities of the Company (including interest on such other obligations or liabilities accruing at the then applicable rate provided in the Credit Agreement after the maturity of the Loans and interest accruing on the Loans and such other obligations and liabilities at the</w:t>
      </w:r>
    </w:p>
    <w:p>
      <w:pPr>
        <w:sectPr>
          <w:pgSz w:w="11900" w:h="16838" w:orient="portrait"/>
          <w:cols w:equalWidth="0" w:num="1">
            <w:col w:w="10980"/>
          </w:cols>
          <w:pgMar w:left="440" w:top="274" w:right="479" w:bottom="1440" w:gutter="0" w:footer="0" w:header="0"/>
        </w:sectPr>
      </w:pPr>
    </w:p>
    <w:bookmarkStart w:id="105" w:name="page106"/>
    <w:bookmarkEnd w:id="105"/>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applicable rate provided in the Credit Agreement after the filing of any petition in bankruptcy, or the commencement of any insolvency, reorganization or like proceeding, relating to the Company,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pursuant to the terms of any of the Loan Documents).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Lenders and each other Person that holds a Guaranteed Obligation.</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4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Subsidiary Guarantors party to this Agreement on the date hereof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81"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7"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Sections 6.6(a),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w:t>
      </w:r>
    </w:p>
    <w:p>
      <w:pPr>
        <w:spacing w:after="0" w:line="6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right="220" w:firstLine="444"/>
        <w:spacing w:after="0" w:line="342"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460" w:firstLine="444"/>
        <w:spacing w:after="0" w:line="264"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References to agreements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6" w:name="page107"/>
    <w:bookmarkEnd w:id="10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GUARANTEE</w:t>
      </w:r>
    </w:p>
    <w:p>
      <w:pPr>
        <w:spacing w:after="0" w:line="252"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5"/>
          <w:szCs w:val="15"/>
          <w:color w:val="auto"/>
        </w:rPr>
        <w:t>.</w:t>
      </w:r>
    </w:p>
    <w:p>
      <w:pPr>
        <w:spacing w:after="0" w:line="225" w:lineRule="exact"/>
        <w:rPr>
          <w:sz w:val="20"/>
          <w:szCs w:val="20"/>
          <w:color w:val="auto"/>
        </w:rPr>
      </w:pPr>
    </w:p>
    <w:p>
      <w:pPr>
        <w:ind w:right="20" w:firstLine="444"/>
        <w:spacing w:after="0" w:line="312"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when due (whether at the stated maturity, by acceleration or otherwise) and at all times thereafter, of all Guaranteed Obligations.</w:t>
      </w:r>
    </w:p>
    <w:p>
      <w:pPr>
        <w:spacing w:after="0" w:line="146" w:lineRule="exact"/>
        <w:rPr>
          <w:rFonts w:ascii="Arial" w:cs="Arial" w:eastAsia="Arial" w:hAnsi="Arial"/>
          <w:sz w:val="16"/>
          <w:szCs w:val="16"/>
          <w:color w:val="auto"/>
        </w:rPr>
      </w:pPr>
    </w:p>
    <w:p>
      <w:pPr>
        <w:ind w:right="160" w:firstLine="444"/>
        <w:spacing w:after="0" w:line="264" w:lineRule="auto"/>
        <w:tabs>
          <w:tab w:leader="none" w:pos="6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500" w:firstLine="444"/>
        <w:spacing w:after="0" w:line="264"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Guaranteed Parties hereunder.</w:t>
      </w:r>
    </w:p>
    <w:p>
      <w:pPr>
        <w:spacing w:after="0" w:line="181" w:lineRule="exact"/>
        <w:rPr>
          <w:rFonts w:ascii="Arial" w:cs="Arial" w:eastAsia="Arial" w:hAnsi="Arial"/>
          <w:sz w:val="18"/>
          <w:szCs w:val="18"/>
          <w:color w:val="auto"/>
        </w:rPr>
      </w:pPr>
    </w:p>
    <w:p>
      <w:pPr>
        <w:ind w:right="100" w:firstLine="444"/>
        <w:spacing w:after="0" w:line="342" w:lineRule="auto"/>
        <w:tabs>
          <w:tab w:leader="none" w:pos="69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in full force and effect until all the Guaranteed Obligations shall have been paid in full, notwithstanding that from time to time during the term of the Credit Agreement, the Company may be free from any Guaranteed Obligations.</w:t>
      </w:r>
    </w:p>
    <w:p>
      <w:pPr>
        <w:spacing w:after="0" w:line="123" w:lineRule="exact"/>
        <w:rPr>
          <w:rFonts w:ascii="Arial" w:cs="Arial" w:eastAsia="Arial" w:hAnsi="Arial"/>
          <w:sz w:val="16"/>
          <w:szCs w:val="16"/>
          <w:color w:val="auto"/>
        </w:rPr>
      </w:pPr>
    </w:p>
    <w:p>
      <w:pPr>
        <w:ind w:firstLine="444"/>
        <w:spacing w:after="0" w:line="255"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payment made by the Company, any of the Guarantors, any other guarantor or any other Person, or received or collected by any Guaranteed Party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216"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Right of Contribution</w:t>
      </w:r>
      <w:r>
        <w:rPr>
          <w:rFonts w:ascii="Arial" w:cs="Arial" w:eastAsia="Arial" w:hAnsi="Arial"/>
          <w:sz w:val="17"/>
          <w:szCs w:val="17"/>
          <w:color w:val="auto"/>
        </w:rPr>
        <w:t>.</w:t>
      </w:r>
    </w:p>
    <w:p>
      <w:pPr>
        <w:spacing w:after="0" w:line="225" w:lineRule="exact"/>
        <w:rPr>
          <w:sz w:val="20"/>
          <w:szCs w:val="20"/>
          <w:color w:val="auto"/>
        </w:rPr>
      </w:pPr>
    </w:p>
    <w:p>
      <w:pPr>
        <w:ind w:right="160" w:firstLine="881"/>
        <w:spacing w:after="0" w:line="276"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5" w:lineRule="exact"/>
        <w:rPr>
          <w:sz w:val="20"/>
          <w:szCs w:val="20"/>
          <w:color w:val="auto"/>
        </w:rPr>
      </w:pPr>
    </w:p>
    <w:p>
      <w:pPr>
        <w:ind w:right="80" w:firstLine="881"/>
        <w:spacing w:after="0" w:line="288"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or any other Guarantor in respect of payments made by such Guarantor hereunder, until all amounts owing to the Guaranteed Parties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Other than as expressly contemplated by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any property subject thereto.</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25"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or any of the Guarantors with respect to the Guaranteed Obligations. Each Guarantor understands and agrees that the guarantee contained herein shall be construed as a continuing, absolute and unconditional guarantee of payment without regard to (a)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08" w:name="page109"/>
    <w:bookmarkEnd w:id="10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or any other Person against any Guaranteed Party, (c) any law or regulation of any jurisdiction or any other event affecting any term of the Guaranteed Obligations or</w:t>
      </w:r>
    </w:p>
    <w:p>
      <w:pPr>
        <w:spacing w:after="0" w:line="2" w:lineRule="exact"/>
        <w:rPr>
          <w:sz w:val="20"/>
          <w:szCs w:val="20"/>
          <w:color w:val="auto"/>
        </w:rPr>
      </w:pPr>
    </w:p>
    <w:p>
      <w:pPr>
        <w:ind w:right="20" w:firstLine="4"/>
        <w:spacing w:after="0" w:line="267"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(with or without notice to or knowledge of the Company or such Guarantor) which constitutes, or might be construed to constitute, an equitable or legal discharge or defense of a surety or guarantor or any other obligor on any obligation of the Company for any of the Guaranteed Obligations, or of such Guarantor under the guarantee contained herein, in bankruptcy or in any other instance. Notwithstanding anything herein to the contrary, each of the Guarantors shall be released from its obligations hereunder to the extent provided in, and pursuant to the terms of, </w:t>
      </w:r>
      <w:r>
        <w:rPr>
          <w:rFonts w:ascii="Arial" w:cs="Arial" w:eastAsia="Arial" w:hAnsi="Arial"/>
          <w:sz w:val="17"/>
          <w:szCs w:val="17"/>
          <w:u w:val="single" w:color="auto"/>
          <w:color w:val="auto"/>
        </w:rPr>
        <w:t>Section 3.15</w:t>
      </w:r>
      <w:r>
        <w:rPr>
          <w:rFonts w:ascii="Arial" w:cs="Arial" w:eastAsia="Arial" w:hAnsi="Arial"/>
          <w:sz w:val="17"/>
          <w:szCs w:val="17"/>
          <w:color w:val="auto"/>
        </w:rPr>
        <w:t>.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Guarantor or any other Person or to realize upon any such collateral security or guarantee or to exercise any such right of offset, or any release of the Company, any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60" w:firstLine="881"/>
        <w:spacing w:after="0" w:line="257"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215"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w:t>
      </w:r>
    </w:p>
    <w:p>
      <w:pPr>
        <w:spacing w:after="0" w:line="225" w:lineRule="exact"/>
        <w:rPr>
          <w:sz w:val="20"/>
          <w:szCs w:val="20"/>
          <w:color w:val="auto"/>
        </w:rPr>
      </w:pPr>
    </w:p>
    <w:p>
      <w:pPr>
        <w:ind w:right="420" w:firstLine="881"/>
        <w:spacing w:after="0" w:line="342" w:lineRule="auto"/>
        <w:rPr>
          <w:sz w:val="20"/>
          <w:szCs w:val="20"/>
          <w:color w:val="auto"/>
        </w:rPr>
      </w:pPr>
      <w:r>
        <w:rPr>
          <w:rFonts w:ascii="Arial" w:cs="Arial" w:eastAsia="Arial" w:hAnsi="Arial"/>
          <w:sz w:val="16"/>
          <w:szCs w:val="16"/>
          <w:color w:val="auto"/>
        </w:rPr>
        <w:t xml:space="preserve">Each Guarantor hereby guarantees that payments hereunder will be paid to the Administrative Agent without set-off or counterclaim in Dollars at the Funding Office. All payments made hereunder shall be made in accordance with </w:t>
      </w:r>
      <w:r>
        <w:rPr>
          <w:rFonts w:ascii="Arial" w:cs="Arial" w:eastAsia="Arial" w:hAnsi="Arial"/>
          <w:sz w:val="16"/>
          <w:szCs w:val="16"/>
          <w:u w:val="single" w:color="auto"/>
          <w:color w:val="auto"/>
        </w:rPr>
        <w:t>Sections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2.21</w:t>
      </w:r>
      <w:r>
        <w:rPr>
          <w:rFonts w:ascii="Arial" w:cs="Arial" w:eastAsia="Arial" w:hAnsi="Arial"/>
          <w:sz w:val="16"/>
          <w:szCs w:val="16"/>
          <w:color w:val="auto"/>
        </w:rPr>
        <w:t xml:space="preserve"> of the Credit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MISCELLANEOUS</w:t>
      </w:r>
    </w:p>
    <w:p>
      <w:pPr>
        <w:spacing w:after="0" w:line="252"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Authority of Administrative Agent</w:t>
      </w:r>
      <w:r>
        <w:rPr>
          <w:rFonts w:ascii="Arial" w:cs="Arial" w:eastAsia="Arial" w:hAnsi="Arial"/>
          <w:sz w:val="17"/>
          <w:szCs w:val="17"/>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9" w:name="page110"/>
    <w:bookmarkEnd w:id="109"/>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9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Amendments in Writing</w:t>
      </w:r>
      <w:r>
        <w:rPr>
          <w:rFonts w:ascii="Arial" w:cs="Arial" w:eastAsia="Arial" w:hAnsi="Arial"/>
          <w:sz w:val="16"/>
          <w:szCs w:val="16"/>
          <w:color w:val="auto"/>
        </w:rPr>
        <w:t>.</w:t>
      </w:r>
    </w:p>
    <w:p>
      <w:pPr>
        <w:spacing w:after="0" w:line="225"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9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21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205"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w:t>
      </w:r>
    </w:p>
    <w:p>
      <w:pPr>
        <w:spacing w:after="0" w:line="225" w:lineRule="exact"/>
        <w:rPr>
          <w:sz w:val="20"/>
          <w:szCs w:val="20"/>
          <w:color w:val="auto"/>
        </w:rPr>
      </w:pPr>
    </w:p>
    <w:p>
      <w:pPr>
        <w:ind w:right="140" w:firstLine="444"/>
        <w:spacing w:after="0" w:line="257"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88" w:lineRule="exact"/>
        <w:rPr>
          <w:rFonts w:ascii="Arial" w:cs="Arial" w:eastAsia="Arial" w:hAnsi="Arial"/>
          <w:sz w:val="18"/>
          <w:szCs w:val="18"/>
          <w:color w:val="auto"/>
        </w:rPr>
      </w:pPr>
    </w:p>
    <w:p>
      <w:pPr>
        <w:ind w:right="280" w:firstLine="444"/>
        <w:spacing w:after="0" w:line="277" w:lineRule="auto"/>
        <w:tabs>
          <w:tab w:leader="none" w:pos="6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9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300" w:firstLine="881"/>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0" w:name="page111"/>
    <w:bookmarkEnd w:id="110"/>
    <w:p>
      <w:pPr>
        <w:ind w:left="44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jc w:val="both"/>
        <w:ind w:right="180" w:firstLine="881"/>
        <w:spacing w:after="0" w:line="286" w:lineRule="auto"/>
        <w:rPr>
          <w:sz w:val="20"/>
          <w:szCs w:val="20"/>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93"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Section Headings</w:t>
      </w:r>
      <w:r>
        <w:rPr>
          <w:rFonts w:ascii="Arial" w:cs="Arial" w:eastAsia="Arial" w:hAnsi="Arial"/>
          <w:sz w:val="16"/>
          <w:szCs w:val="16"/>
          <w:color w:val="auto"/>
        </w:rPr>
        <w:t>.</w:t>
      </w:r>
    </w:p>
    <w:p>
      <w:pPr>
        <w:spacing w:after="0" w:line="225" w:lineRule="exact"/>
        <w:rPr>
          <w:sz w:val="20"/>
          <w:szCs w:val="20"/>
          <w:color w:val="auto"/>
        </w:rPr>
      </w:pPr>
    </w:p>
    <w:p>
      <w:pPr>
        <w:jc w:val="both"/>
        <w:ind w:right="20" w:firstLine="881"/>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881"/>
        <w:spacing w:after="0" w:line="286"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5" w:lineRule="exact"/>
        <w:rPr>
          <w:sz w:val="20"/>
          <w:szCs w:val="20"/>
          <w:color w:val="auto"/>
        </w:rPr>
      </w:pPr>
    </w:p>
    <w:p>
      <w:pPr>
        <w:ind w:right="200" w:firstLine="881"/>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Guarantor hereby irrevocably and unconditionally:</w:t>
      </w:r>
    </w:p>
    <w:p>
      <w:pPr>
        <w:spacing w:after="0" w:line="117" w:lineRule="exact"/>
        <w:rPr>
          <w:sz w:val="20"/>
          <w:szCs w:val="20"/>
          <w:color w:val="auto"/>
        </w:rPr>
      </w:pPr>
    </w:p>
    <w:p>
      <w:pPr>
        <w:ind w:firstLine="444"/>
        <w:spacing w:after="0" w:line="259"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firstLine="444"/>
        <w:spacing w:after="0" w:line="264" w:lineRule="auto"/>
        <w:tabs>
          <w:tab w:leader="none" w:pos="6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11" w:name="page112"/>
    <w:bookmarkEnd w:id="111"/>
    <w:p>
      <w:pPr>
        <w:ind w:firstLine="444"/>
        <w:spacing w:after="0" w:line="264"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right="180" w:firstLine="444"/>
        <w:spacing w:after="0" w:line="277"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00" w:firstLine="444"/>
        <w:spacing w:after="0" w:line="277" w:lineRule="auto"/>
        <w:tabs>
          <w:tab w:leader="none" w:pos="6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parties hereto agree that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Credit Agreement shall apply to the obligations of the Guarantors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5"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ind w:right="40"/>
        <w:spacing w:after="0" w:line="261" w:lineRule="auto"/>
        <w:rPr>
          <w:sz w:val="20"/>
          <w:szCs w:val="20"/>
          <w:color w:val="auto"/>
        </w:rPr>
      </w:pP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64"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firstLine="444"/>
        <w:spacing w:after="0" w:line="264"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jc w:val="both"/>
        <w:ind w:right="100" w:firstLine="444"/>
        <w:spacing w:after="0" w:line="264" w:lineRule="auto"/>
        <w:tabs>
          <w:tab w:leader="none" w:pos="6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2" w:name="page113"/>
    <w:bookmarkEnd w:id="1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113" w:name="page114"/>
    <w:bookmarkEnd w:id="11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[SUBSIDIARY 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-130810</wp:posOffset>
            </wp:positionV>
            <wp:extent cx="25558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4929505</wp:posOffset>
            </wp:positionH>
            <wp:positionV relativeFrom="paragraph">
              <wp:posOffset>14605</wp:posOffset>
            </wp:positionV>
            <wp:extent cx="2075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75180" cy="8890"/>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-130810</wp:posOffset>
            </wp:positionV>
            <wp:extent cx="2075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Page to Guarantee Agreement</w:t>
      </w:r>
    </w:p>
    <w:p>
      <w:pPr>
        <w:sectPr>
          <w:pgSz w:w="11900" w:h="16838" w:orient="portrait"/>
          <w:cols w:equalWidth="0" w:num="1">
            <w:col w:w="10860"/>
          </w:cols>
          <w:pgMar w:left="440" w:top="274" w:right="5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2939"/>
        <w:spacing w:after="0"/>
        <w:rPr>
          <w:sz w:val="20"/>
          <w:szCs w:val="20"/>
          <w:color w:val="auto"/>
        </w:rPr>
      </w:pPr>
      <w:r>
        <w:rPr>
          <w:rFonts w:ascii="Arial" w:cs="Arial" w:eastAsia="Arial" w:hAnsi="Arial"/>
          <w:sz w:val="18"/>
          <w:szCs w:val="18"/>
          <w:b w:val="1"/>
          <w:bCs w:val="1"/>
          <w:color w:val="auto"/>
        </w:rPr>
        <w:t>Signature Page to Guarantee Agreement</w:t>
      </w:r>
    </w:p>
    <w:p>
      <w:pPr>
        <w:sectPr>
          <w:pgSz w:w="11900" w:h="16838" w:orient="portrait"/>
          <w:cols w:equalWidth="0" w:num="1">
            <w:col w:w="10019"/>
          </w:cols>
          <w:pgMar w:left="440" w:top="274" w:right="1440" w:bottom="1440" w:gutter="0" w:footer="0" w:header="0"/>
        </w:sectPr>
      </w:pPr>
    </w:p>
    <w:bookmarkStart w:id="115" w:name="page116"/>
    <w:bookmarkEnd w:id="115"/>
    <w:p>
      <w:pPr>
        <w:jc w:val="center"/>
        <w:ind w:left="9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JOINDER AGREEMENT, dated as of ________________, 20__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made by ______________________________</w:t>
      </w:r>
    </w:p>
    <w:p>
      <w:pPr>
        <w:spacing w:after="0" w:line="46"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80" w:firstLine="881"/>
        <w:spacing w:after="0" w:line="273" w:lineRule="auto"/>
        <w:rPr>
          <w:sz w:val="20"/>
          <w:szCs w:val="20"/>
          <w:color w:val="auto"/>
        </w:rPr>
      </w:pPr>
      <w:r>
        <w:rPr>
          <w:rFonts w:ascii="Arial" w:cs="Arial" w:eastAsia="Arial" w:hAnsi="Arial"/>
          <w:sz w:val="17"/>
          <w:szCs w:val="17"/>
          <w:color w:val="auto"/>
        </w:rPr>
        <w:t>WHEREAS, pursuant to the terms of the certain 3-Year Revolving Credit Agreement, dated as of January 14,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the Administrative Agent, Citibank, N.A., as syndication agent, and the other agents named therein, the Subsidiary Guarantors (together with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Guarantee Agreement, dated as of [ ],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78"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100" w:firstLine="885"/>
        <w:spacing w:after="0" w:line="259" w:lineRule="auto"/>
        <w:tabs>
          <w:tab w:leader="none" w:pos="106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right="60" w:firstLine="885"/>
        <w:spacing w:after="0" w:line="266" w:lineRule="auto"/>
        <w:tabs>
          <w:tab w:leader="none" w:pos="1061"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4" w:right="459" w:bottom="1440" w:gutter="0" w:footer="0" w:header="0"/>
        </w:sectPr>
      </w:pPr>
    </w:p>
    <w:bookmarkStart w:id="116" w:name="page117"/>
    <w:bookmarkEnd w:id="11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60"/>
          </w:cols>
          <w:pgMar w:left="440" w:top="274" w:right="5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18" w:name="page119"/>
    <w:bookmarkEnd w:id="118"/>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undersigned,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refers to the 3-Year Revolving Credit Agreement, dated as of January 14, 2019,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and the other agents named therein. Capitalized terms used herein and not otherwise defined herein shall have the meanings assigned to such terms in the Credit Agreement.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203" w:lineRule="exact"/>
        <w:rPr>
          <w:sz w:val="20"/>
          <w:szCs w:val="20"/>
          <w:color w:val="auto"/>
        </w:rPr>
      </w:pPr>
    </w:p>
    <w:p>
      <w:pPr>
        <w:ind w:left="900" w:hanging="53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15"/>
          <w:szCs w:val="15"/>
          <w:color w:val="auto"/>
        </w:rPr>
        <w:t>1</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2</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14605</wp:posOffset>
            </wp:positionV>
            <wp:extent cx="29927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-190500</wp:posOffset>
            </wp:positionV>
            <wp:extent cx="2992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-396240</wp:posOffset>
            </wp:positionV>
            <wp:extent cx="2992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-601980</wp:posOffset>
            </wp:positionV>
            <wp:extent cx="29927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263525</wp:posOffset>
            </wp:positionV>
            <wp:extent cx="694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0" w:hanging="436"/>
        <w:spacing w:after="0"/>
        <w:tabs>
          <w:tab w:leader="none" w:pos="440" w:val="left"/>
        </w:tabs>
        <w:numPr>
          <w:ilvl w:val="0"/>
          <w:numId w:val="89"/>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22" w:lineRule="exact"/>
        <w:rPr>
          <w:sz w:val="20"/>
          <w:szCs w:val="20"/>
          <w:color w:val="auto"/>
        </w:rPr>
      </w:pPr>
    </w:p>
    <w:p>
      <w:pPr>
        <w:ind w:left="440" w:hanging="436"/>
        <w:spacing w:after="0"/>
        <w:tabs>
          <w:tab w:leader="none" w:pos="440" w:val="left"/>
        </w:tabs>
        <w:numPr>
          <w:ilvl w:val="0"/>
          <w:numId w:val="90"/>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9" w:lineRule="exact"/>
        <w:rPr>
          <w:sz w:val="20"/>
          <w:szCs w:val="20"/>
          <w:color w:val="auto"/>
        </w:rPr>
      </w:pPr>
    </w:p>
    <w:p>
      <w:pPr>
        <w:ind w:left="440" w:hanging="436"/>
        <w:spacing w:after="0"/>
        <w:tabs>
          <w:tab w:leader="none" w:pos="440" w:val="left"/>
        </w:tabs>
        <w:numPr>
          <w:ilvl w:val="0"/>
          <w:numId w:val="91"/>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1020"/>
          </w:cols>
          <w:pgMar w:left="440" w:top="270" w:right="439" w:bottom="1440" w:gutter="0" w:footer="0" w:header="0"/>
        </w:sectPr>
      </w:pPr>
    </w:p>
    <w:bookmarkStart w:id="119" w:name="page120"/>
    <w:bookmarkEnd w:id="119"/>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acceptance of any or all of the Competitive Loans offered by the Lenders in response to this request, the Company shall be deemed to have represented and warranted that the conditions to lending specified in Section 5.2 of the Credit Agreement have been satisfied.</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4" w:right="499" w:bottom="1440" w:gutter="0" w:footer="0" w:header="0"/>
        </w:sectPr>
      </w:pPr>
    </w:p>
    <w:bookmarkStart w:id="120" w:name="page121"/>
    <w:bookmarkEnd w:id="120"/>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319"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undersigned, [Name of Lender], refers to the 3-Year Revolving Credit Agreement, dated as of January 14,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General Motors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 20__, and in that connection sets forth below the terms on which such Competitive Bid is made:</w:t>
      </w:r>
    </w:p>
    <w:p>
      <w:pPr>
        <w:spacing w:after="0" w:line="346" w:lineRule="exact"/>
        <w:rPr>
          <w:sz w:val="20"/>
          <w:szCs w:val="20"/>
          <w:color w:val="auto"/>
        </w:rPr>
      </w:pPr>
    </w:p>
    <w:p>
      <w:pPr>
        <w:ind w:left="900" w:hanging="53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1</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2</w:t>
      </w:r>
    </w:p>
    <w:p>
      <w:pPr>
        <w:spacing w:after="0" w:line="117" w:lineRule="exact"/>
        <w:rPr>
          <w:rFonts w:ascii="Arial" w:cs="Arial" w:eastAsia="Arial" w:hAnsi="Arial"/>
          <w:sz w:val="18"/>
          <w:szCs w:val="18"/>
          <w:color w:val="auto"/>
        </w:rPr>
      </w:pPr>
    </w:p>
    <w:p>
      <w:pPr>
        <w:ind w:left="900" w:hanging="53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40" w:right="240" w:hanging="432"/>
        <w:spacing w:after="0" w:line="258"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-555625</wp:posOffset>
            </wp:positionV>
            <wp:extent cx="29927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-761365</wp:posOffset>
            </wp:positionV>
            <wp:extent cx="29927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-967740</wp:posOffset>
            </wp:positionV>
            <wp:extent cx="2992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-1173480</wp:posOffset>
            </wp:positionV>
            <wp:extent cx="29927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-307340</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440" w:hanging="436"/>
        <w:spacing w:after="0" w:line="262" w:lineRule="auto"/>
        <w:tabs>
          <w:tab w:leader="none" w:pos="440" w:val="left"/>
        </w:tabs>
        <w:numPr>
          <w:ilvl w:val="0"/>
          <w:numId w:val="93"/>
        </w:numPr>
        <w:rPr>
          <w:rFonts w:ascii="Arial" w:cs="Arial" w:eastAsia="Arial" w:hAnsi="Arial"/>
          <w:sz w:val="15"/>
          <w:szCs w:val="15"/>
          <w:color w:val="auto"/>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ectPr>
          <w:pgSz w:w="11900" w:h="16838" w:orient="portrait"/>
          <w:cols w:equalWidth="0" w:num="1">
            <w:col w:w="11020"/>
          </w:cols>
          <w:pgMar w:left="440" w:top="270" w:right="439" w:bottom="1440" w:gutter="0" w:footer="0" w:header="0"/>
        </w:sectPr>
      </w:pPr>
    </w:p>
    <w:bookmarkStart w:id="121" w:name="page122"/>
    <w:bookmarkEnd w:id="121"/>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confirms that it is prepared, subject to the conditions set forth in the Credit Agreement, to extend credit to the Company upon acceptance by the Company of this bid in accordance with Section 2.9(c) of the Credit Agreement.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540"/>
          </w:cols>
          <w:pgMar w:left="440" w:top="274" w:right="919" w:bottom="1440" w:gutter="0" w:footer="0" w:header="0"/>
        </w:sectPr>
      </w:pPr>
    </w:p>
    <w:bookmarkStart w:id="122" w:name="page123"/>
    <w:bookmarkEnd w:id="122"/>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The undersigned,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refers to the 3-Year Revolving Credit Agreement, dated as of January 14, 2019,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and the other agents named therein. Unless otherwise defined herein, terms defined in the Credit Agreement and used herein shall have the meanings given to them therein.</w:t>
      </w:r>
    </w:p>
    <w:p>
      <w:pPr>
        <w:spacing w:after="0" w:line="173" w:lineRule="exact"/>
        <w:rPr>
          <w:sz w:val="20"/>
          <w:szCs w:val="20"/>
          <w:color w:val="auto"/>
        </w:rPr>
      </w:pPr>
    </w:p>
    <w:p>
      <w:pPr>
        <w:ind w:right="40" w:firstLine="881"/>
        <w:spacing w:after="0" w:line="342" w:lineRule="auto"/>
        <w:rPr>
          <w:sz w:val="20"/>
          <w:szCs w:val="20"/>
          <w:color w:val="auto"/>
        </w:rPr>
      </w:pPr>
      <w:r>
        <w:rPr>
          <w:rFonts w:ascii="Arial" w:cs="Arial" w:eastAsia="Arial" w:hAnsi="Arial"/>
          <w:sz w:val="16"/>
          <w:szCs w:val="16"/>
          <w:color w:val="auto"/>
        </w:rPr>
        <w:t>In accordance with Section 2.9(d) of the Credit Agreement, we have received a summary of bids in connection with our Competitive Bid Request dated _________, 20__ and in accordance with Section 2.9(e) of the Credit Agreement, we hereby accept the following bids: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ectPr>
          <w:pgSz w:w="11900" w:h="16838" w:orient="portrait"/>
          <w:cols w:equalWidth="0" w:num="1">
            <w:col w:w="10780"/>
          </w:cols>
          <w:pgMar w:left="440" w:top="270" w:right="679" w:bottom="1440" w:gutter="0" w:footer="0" w:header="0"/>
        </w:sectPr>
      </w:pPr>
    </w:p>
    <w:bookmarkStart w:id="123" w:name="page124"/>
    <w:bookmarkEnd w:id="123"/>
    <w:p>
      <w:pPr>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sz w:val="20"/>
          <w:szCs w:val="20"/>
          <w:color w:val="auto"/>
        </w:rPr>
        <w:tab/>
      </w:r>
      <w:r>
        <w:rPr>
          <w:rFonts w:ascii="Arial" w:cs="Arial" w:eastAsia="Arial" w:hAnsi="Arial"/>
          <w:sz w:val="16"/>
          <w:szCs w:val="16"/>
          <w:color w:val="auto"/>
        </w:rPr>
        <w:t>should be made available to the Company in immediately available funds by crediting the following account:</w:t>
      </w:r>
    </w:p>
    <w:p>
      <w:pPr>
        <w:sectPr>
          <w:pgSz w:w="11900" w:h="16838" w:orient="portrait"/>
          <w:cols w:equalWidth="0" w:num="1">
            <w:col w:w="9579"/>
          </w:cols>
          <w:pgMar w:left="880" w:top="274" w:right="1440" w:bottom="1440" w:gutter="0" w:footer="0" w:header="0"/>
        </w:sectPr>
      </w:pPr>
    </w:p>
    <w:p>
      <w:pPr>
        <w:spacing w:after="0" w:line="225"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[Bank Name] ABA #: Account #: 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_________________________</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46" w:lineRule="exact"/>
        <w:rPr>
          <w:sz w:val="20"/>
          <w:szCs w:val="20"/>
          <w:color w:val="auto"/>
        </w:rPr>
      </w:pPr>
    </w:p>
    <w:p>
      <w:pPr>
        <w:sectPr>
          <w:pgSz w:w="11900" w:h="16838" w:orient="portrait"/>
          <w:cols w:equalWidth="0" w:num="2">
            <w:col w:w="1420" w:space="120"/>
            <w:col w:w="8039"/>
          </w:cols>
          <w:pgMar w:left="880" w:top="274" w:right="1440" w:bottom="1440" w:gutter="0" w:footer="0" w:header="0"/>
          <w:type w:val="continuous"/>
        </w:sectPr>
      </w:pPr>
    </w:p>
    <w:p>
      <w:pPr>
        <w:spacing w:after="0" w:line="1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4" w:right="1440" w:bottom="1440" w:gutter="0" w:footer="0" w:header="0"/>
          <w:type w:val="continuous"/>
        </w:sectPr>
      </w:pPr>
    </w:p>
    <w:bookmarkStart w:id="124" w:name="page125"/>
    <w:bookmarkEnd w:id="124"/>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9780"/>
          </w:cols>
          <w:pgMar w:left="1440" w:top="270" w:right="679" w:bottom="1440" w:gutter="0" w:footer="0" w:header="0"/>
        </w:sectPr>
      </w:pPr>
    </w:p>
    <w:bookmarkStart w:id="125" w:name="page126"/>
    <w:bookmarkEnd w:id="125"/>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__________, 20__</w:t>
      </w:r>
    </w:p>
    <w:p>
      <w:pPr>
        <w:spacing w:after="0" w:line="24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This Certificate is furnished pursuant to Section 5.1(c) of that certain Three Year Revolving Credit Agreement dated as of January 14, 2019 (as amended, restated, amended and restated, renewed, supplemented or modified from time to time, the “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from time to time party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Lenders (in such capacity, together with any successor thereto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the other agents party thereto. Unless otherwise defined herein, capitalized terms used in this Certificate have the meanings assigned to such terms in the Credit Agreement.</w:t>
      </w:r>
    </w:p>
    <w:p>
      <w:pPr>
        <w:spacing w:after="0" w:line="16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 the undersigned, [Assistant] Secretary of the Company, a Delaware corporation, do hereby certify, in the name and on behalf of the Company, and without assuming any personal liability, that:</w:t>
      </w:r>
    </w:p>
    <w:p>
      <w:pPr>
        <w:spacing w:after="0" w:line="62" w:lineRule="exact"/>
        <w:rPr>
          <w:sz w:val="20"/>
          <w:szCs w:val="20"/>
          <w:color w:val="auto"/>
        </w:rPr>
      </w:pPr>
    </w:p>
    <w:p>
      <w:pPr>
        <w:jc w:val="both"/>
        <w:ind w:right="60" w:firstLine="444"/>
        <w:spacing w:after="0" w:line="286" w:lineRule="auto"/>
        <w:tabs>
          <w:tab w:leader="none" w:pos="621"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Attached hereto as Annex I is a true and complete copy of the Certificate of Incorporation of the Company as in effect of the date hereof. There have been no amendments to the Certificate of Incorporation of the Company except for those attached in Annex I, if any, and no action has been taken by the Company, its Board of Directors, or officers in contemplation of liquidation or dissolution of the Company.</w:t>
      </w:r>
    </w:p>
    <w:p>
      <w:pPr>
        <w:spacing w:after="0" w:line="165" w:lineRule="exact"/>
        <w:rPr>
          <w:rFonts w:ascii="Arial" w:cs="Arial" w:eastAsia="Arial" w:hAnsi="Arial"/>
          <w:sz w:val="17"/>
          <w:szCs w:val="17"/>
          <w:color w:val="auto"/>
        </w:rPr>
      </w:pPr>
    </w:p>
    <w:p>
      <w:pPr>
        <w:ind w:left="620" w:hanging="176"/>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 of the Company as in effect on the date hereof.</w:t>
      </w:r>
    </w:p>
    <w:p>
      <w:pPr>
        <w:spacing w:after="0" w:line="225" w:lineRule="exact"/>
        <w:rPr>
          <w:rFonts w:ascii="Arial" w:cs="Arial" w:eastAsia="Arial" w:hAnsi="Arial"/>
          <w:sz w:val="18"/>
          <w:szCs w:val="18"/>
          <w:color w:val="auto"/>
        </w:rPr>
      </w:pPr>
    </w:p>
    <w:p>
      <w:pPr>
        <w:ind w:right="100" w:firstLine="444"/>
        <w:spacing w:after="0" w:line="276" w:lineRule="auto"/>
        <w:tabs>
          <w:tab w:leader="none" w:pos="611"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of the Company at a meeting thereof as of the 30</w:t>
      </w:r>
      <w:r>
        <w:rPr>
          <w:rFonts w:ascii="Arial" w:cs="Arial" w:eastAsia="Arial" w:hAnsi="Arial"/>
          <w:sz w:val="14"/>
          <w:szCs w:val="14"/>
          <w:color w:val="auto"/>
        </w:rPr>
        <w:t>th</w:t>
      </w:r>
      <w:r>
        <w:rPr>
          <w:rFonts w:ascii="Arial" w:cs="Arial" w:eastAsia="Arial" w:hAnsi="Arial"/>
          <w:sz w:val="17"/>
          <w:szCs w:val="17"/>
          <w:color w:val="auto"/>
        </w:rPr>
        <w:t xml:space="preserve"> day of October, 2018;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were approved by the Board of Directors of the Company at such meeting.</w:t>
      </w:r>
    </w:p>
    <w:p>
      <w:pPr>
        <w:sectPr>
          <w:pgSz w:w="11900" w:h="16838" w:orient="portrait"/>
          <w:cols w:equalWidth="0" w:num="1">
            <w:col w:w="11020"/>
          </w:cols>
          <w:pgMar w:left="440" w:top="270" w:right="439" w:bottom="1440" w:gutter="0" w:footer="0" w:header="0"/>
        </w:sectPr>
      </w:pPr>
    </w:p>
    <w:bookmarkStart w:id="126" w:name="page127"/>
    <w:bookmarkEnd w:id="126"/>
    <w:p>
      <w:pPr>
        <w:ind w:left="-444" w:firstLine="444"/>
        <w:spacing w:after="0" w:line="277" w:lineRule="auto"/>
        <w:tabs>
          <w:tab w:leader="none" w:pos="176"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376"/>
          </w:cols>
          <w:pgMar w:left="884" w:top="274" w:right="639" w:bottom="1440" w:gutter="0" w:footer="0" w:header="0"/>
        </w:sectPr>
      </w:pPr>
    </w:p>
    <w:bookmarkStart w:id="127" w:name="page128"/>
    <w:bookmarkEnd w:id="1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Witness my hand as of the first date written above.</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70" w:lineRule="exact"/>
        <w:rPr>
          <w:sz w:val="20"/>
          <w:szCs w:val="20"/>
          <w:color w:val="auto"/>
        </w:rPr>
      </w:pPr>
    </w:p>
    <w:p>
      <w:pPr>
        <w:ind w:right="580" w:firstLine="444"/>
        <w:spacing w:after="0" w:line="277" w:lineRule="auto"/>
        <w:tabs>
          <w:tab w:leader="none" w:pos="621" w:val="left"/>
        </w:tabs>
        <w:numPr>
          <w:ilvl w:val="1"/>
          <w:numId w:val="96"/>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0" w:lineRule="exact"/>
        <w:rPr>
          <w:rFonts w:ascii="Arial" w:cs="Arial" w:eastAsia="Arial" w:hAnsi="Arial"/>
          <w:sz w:val="18"/>
          <w:szCs w:val="18"/>
          <w:color w:val="auto"/>
        </w:rPr>
      </w:pPr>
    </w:p>
    <w:p>
      <w:pPr>
        <w:ind w:right="20" w:firstLine="4"/>
        <w:spacing w:after="0" w:line="259" w:lineRule="auto"/>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-123190</wp:posOffset>
            </wp:positionV>
            <wp:extent cx="27959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28" w:name="page129"/>
    <w:bookmarkEnd w:id="128"/>
    <w:p>
      <w:pPr>
        <w:jc w:val="center"/>
        <w:ind w:left="9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23" w:lineRule="exact"/>
        <w:rPr>
          <w:sz w:val="20"/>
          <w:szCs w:val="20"/>
          <w:color w:val="auto"/>
        </w:rPr>
      </w:pPr>
    </w:p>
    <w:p>
      <w:pPr>
        <w:jc w:val="center"/>
        <w:ind w:left="91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18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Copy of the Certificate of Incorporation</w:t>
      </w:r>
    </w:p>
    <w:p>
      <w:pPr>
        <w:spacing w:after="0" w:line="4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GENERAL MOTORS COMPANY</w:t>
      </w:r>
    </w:p>
    <w:p>
      <w:pPr>
        <w:sectPr>
          <w:pgSz w:w="11900" w:h="16838" w:orient="portrait"/>
          <w:cols w:equalWidth="0" w:num="1">
            <w:col w:w="9480"/>
          </w:cols>
          <w:pgMar w:left="1440" w:top="274" w:right="979" w:bottom="1440" w:gutter="0" w:footer="0" w:header="0"/>
        </w:sectPr>
      </w:pPr>
    </w:p>
    <w:bookmarkStart w:id="129" w:name="page130"/>
    <w:bookmarkEnd w:id="129"/>
    <w:p>
      <w:pPr>
        <w:jc w:val="center"/>
        <w:ind w:left="9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23"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7"/>
          <w:szCs w:val="17"/>
          <w:color w:val="auto"/>
        </w:rPr>
        <w:t>Certificate</w:t>
      </w: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Copy of the by-laws</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GENERAL MOTORS COMPANY</w:t>
      </w:r>
    </w:p>
    <w:p>
      <w:pPr>
        <w:sectPr>
          <w:pgSz w:w="11900" w:h="16838" w:orient="portrait"/>
          <w:cols w:equalWidth="0" w:num="1">
            <w:col w:w="9480"/>
          </w:cols>
          <w:pgMar w:left="1440" w:top="274" w:right="979" w:bottom="1440" w:gutter="0" w:footer="0" w:header="0"/>
        </w:sectPr>
      </w:pPr>
    </w:p>
    <w:bookmarkStart w:id="130" w:name="page131"/>
    <w:bookmarkEnd w:id="130"/>
    <w:p>
      <w:pPr>
        <w:jc w:val="center"/>
        <w:ind w:left="9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Resolutions of the Board of Directors</w:t>
      </w:r>
    </w:p>
    <w:p>
      <w:pPr>
        <w:spacing w:after="0" w:line="24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GENERAL MOTORS COMPANY</w:t>
      </w:r>
    </w:p>
    <w:p>
      <w:pPr>
        <w:sectPr>
          <w:pgSz w:w="11900" w:h="16838" w:orient="portrait"/>
          <w:cols w:equalWidth="0" w:num="1">
            <w:col w:w="9520"/>
          </w:cols>
          <w:pgMar w:left="1440" w:top="274" w:right="939" w:bottom="1440" w:gutter="0" w:footer="0" w:header="0"/>
        </w:sectPr>
      </w:pPr>
    </w:p>
    <w:bookmarkStart w:id="131" w:name="page132"/>
    <w:bookmarkEnd w:id="131"/>
    <w:p>
      <w:pPr>
        <w:jc w:val="center"/>
        <w:ind w:left="9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3"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Certificate</w:t>
      </w:r>
    </w:p>
    <w:p>
      <w:pPr>
        <w:spacing w:after="0" w:line="233" w:lineRule="exact"/>
        <w:rPr>
          <w:sz w:val="20"/>
          <w:szCs w:val="20"/>
          <w:color w:val="auto"/>
        </w:rPr>
      </w:pPr>
    </w:p>
    <w:p>
      <w:pPr>
        <w:ind w:left="400"/>
        <w:spacing w:after="0"/>
        <w:tabs>
          <w:tab w:leader="none" w:pos="4420" w:val="left"/>
          <w:tab w:leader="none" w:pos="796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3"/>
          <w:szCs w:val="13"/>
          <w:u w:val="single" w:color="auto"/>
          <w:color w:val="auto"/>
        </w:rPr>
        <w:t>Signature</w:t>
      </w:r>
    </w:p>
    <w:p>
      <w:pPr>
        <w:sectPr>
          <w:pgSz w:w="11900" w:h="16838" w:orient="portrait"/>
          <w:cols w:equalWidth="0" w:num="1">
            <w:col w:w="9520"/>
          </w:cols>
          <w:pgMar w:left="1440" w:top="274" w:right="939" w:bottom="1440" w:gutter="0" w:footer="0" w:header="0"/>
        </w:sectPr>
      </w:pPr>
    </w:p>
    <w:bookmarkStart w:id="132" w:name="page133"/>
    <w:bookmarkEnd w:id="132"/>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ASSIGNMENT AND ASSUMPTION, dated as of _____________, 20__ (as amended, supplemented or modified from time to time, this</w:t>
      </w:r>
    </w:p>
    <w:p>
      <w:pPr>
        <w:spacing w:after="0" w:line="35"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Reference is made to the 3-Year Revolving Credit Agreement, dated as of January 14,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and the other agents party thereto. Unless otherwise defined herein, terms used herein have the meanings assigned to such terms in the Credit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Assignor and the Assignee hereby agree as follows:</w:t>
      </w:r>
    </w:p>
    <w:p>
      <w:pPr>
        <w:spacing w:after="0" w:line="117" w:lineRule="exact"/>
        <w:rPr>
          <w:sz w:val="20"/>
          <w:szCs w:val="20"/>
          <w:color w:val="auto"/>
        </w:rPr>
      </w:pPr>
    </w:p>
    <w:p>
      <w:pPr>
        <w:ind w:firstLine="444"/>
        <w:spacing w:after="0" w:line="267" w:lineRule="auto"/>
        <w:tabs>
          <w:tab w:leader="none" w:pos="62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from and after the Trade Date.</w:t>
      </w:r>
    </w:p>
    <w:p>
      <w:pPr>
        <w:sectPr>
          <w:pgSz w:w="11900" w:h="16838" w:orient="portrait"/>
          <w:cols w:equalWidth="0" w:num="1">
            <w:col w:w="11000"/>
          </w:cols>
          <w:pgMar w:left="440" w:top="270" w:right="459" w:bottom="1440" w:gutter="0" w:footer="0" w:header="0"/>
        </w:sectPr>
      </w:pPr>
    </w:p>
    <w:bookmarkStart w:id="133" w:name="page134"/>
    <w:bookmarkEnd w:id="133"/>
    <w:p>
      <w:pPr>
        <w:ind w:left="-4" w:firstLine="444"/>
        <w:spacing w:after="0" w:line="286" w:lineRule="auto"/>
        <w:tabs>
          <w:tab w:leader="none" w:pos="617" w:val="left"/>
        </w:tabs>
        <w:numPr>
          <w:ilvl w:val="1"/>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71" w:lineRule="exact"/>
        <w:rPr>
          <w:rFonts w:ascii="Arial" w:cs="Arial" w:eastAsia="Arial" w:hAnsi="Arial"/>
          <w:sz w:val="16"/>
          <w:szCs w:val="16"/>
          <w:color w:val="auto"/>
        </w:rPr>
      </w:pPr>
    </w:p>
    <w:p>
      <w:pPr>
        <w:ind w:left="-4" w:right="260" w:firstLine="444"/>
        <w:spacing w:after="0" w:line="288" w:lineRule="auto"/>
        <w:tabs>
          <w:tab w:leader="none" w:pos="61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w:t>
      </w:r>
    </w:p>
    <w:p>
      <w:pPr>
        <w:ind w:left="-4" w:firstLine="4"/>
        <w:spacing w:after="0" w:line="286" w:lineRule="auto"/>
        <w:tabs>
          <w:tab w:leader="none" w:pos="25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 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w:t>
      </w:r>
    </w:p>
    <w:p>
      <w:pPr>
        <w:sectPr>
          <w:pgSz w:w="11900" w:h="16838" w:orient="portrait"/>
          <w:cols w:equalWidth="0" w:num="1">
            <w:col w:w="11016"/>
          </w:cols>
          <w:pgMar w:left="444" w:top="274" w:right="439" w:bottom="1440" w:gutter="0" w:footer="0" w:header="0"/>
        </w:sectPr>
      </w:pPr>
    </w:p>
    <w:bookmarkStart w:id="134" w:name="page135"/>
    <w:bookmarkEnd w:id="13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87" w:lineRule="exact"/>
        <w:rPr>
          <w:sz w:val="20"/>
          <w:szCs w:val="20"/>
          <w:color w:val="auto"/>
        </w:rPr>
      </w:pPr>
    </w:p>
    <w:p>
      <w:pPr>
        <w:ind w:right="100" w:firstLine="444"/>
        <w:spacing w:after="0" w:line="273" w:lineRule="auto"/>
        <w:tabs>
          <w:tab w:leader="none" w:pos="62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xml:space="preserve">”). Following the execution of this Agreement by the Assignor, the Assignee, the Company, and each relevant Issuing Lender (in the case of the Company, and each such Issuing Lender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78" w:lineRule="exact"/>
        <w:rPr>
          <w:rFonts w:ascii="Arial" w:cs="Arial" w:eastAsia="Arial" w:hAnsi="Arial"/>
          <w:sz w:val="17"/>
          <w:szCs w:val="17"/>
          <w:color w:val="auto"/>
        </w:rPr>
      </w:pPr>
    </w:p>
    <w:p>
      <w:pPr>
        <w:ind w:right="180" w:firstLine="444"/>
        <w:spacing w:after="0" w:line="286" w:lineRule="auto"/>
        <w:tabs>
          <w:tab w:leader="none" w:pos="62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65" w:lineRule="exact"/>
        <w:rPr>
          <w:rFonts w:ascii="Arial" w:cs="Arial" w:eastAsia="Arial" w:hAnsi="Arial"/>
          <w:sz w:val="17"/>
          <w:szCs w:val="17"/>
          <w:color w:val="auto"/>
        </w:rPr>
      </w:pPr>
    </w:p>
    <w:p>
      <w:pPr>
        <w:ind w:right="40" w:firstLine="444"/>
        <w:spacing w:after="0" w:line="279" w:lineRule="auto"/>
        <w:tabs>
          <w:tab w:leader="none" w:pos="62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1" w:lineRule="exact"/>
        <w:rPr>
          <w:rFonts w:ascii="Arial" w:cs="Arial" w:eastAsia="Arial" w:hAnsi="Arial"/>
          <w:sz w:val="17"/>
          <w:szCs w:val="17"/>
          <w:color w:val="auto"/>
        </w:rPr>
      </w:pPr>
    </w:p>
    <w:p>
      <w:pPr>
        <w:ind w:right="20" w:firstLine="444"/>
        <w:spacing w:after="0" w:line="277" w:lineRule="auto"/>
        <w:tabs>
          <w:tab w:leader="none" w:pos="62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right="340" w:firstLine="444"/>
        <w:spacing w:after="0" w:line="286" w:lineRule="auto"/>
        <w:tabs>
          <w:tab w:leader="none" w:pos="62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020"/>
          </w:cols>
          <w:pgMar w:left="440" w:top="274" w:right="439" w:bottom="1440" w:gutter="0" w:footer="0" w:header="0"/>
        </w:sectPr>
      </w:pPr>
    </w:p>
    <w:bookmarkStart w:id="135" w:name="page136"/>
    <w:bookmarkEnd w:id="13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_________________________, as Assignor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_________________________, as Assignee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4" w:right="5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Consented to</w:t>
      </w:r>
      <w:r>
        <w:rPr>
          <w:rFonts w:ascii="Arial" w:cs="Arial" w:eastAsia="Arial" w:hAnsi="Arial"/>
          <w:sz w:val="15"/>
          <w:szCs w:val="15"/>
          <w:color w:val="auto"/>
        </w:rPr>
        <w:t>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694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40" w:hanging="436"/>
        <w:spacing w:after="0" w:line="302"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80"/>
          </w:cols>
          <w:pgMar w:left="440" w:top="274" w:right="479" w:bottom="1440" w:gutter="0" w:footer="0" w:header="0"/>
        </w:sectPr>
      </w:pPr>
    </w:p>
    <w:bookmarkStart w:id="137" w:name="page138"/>
    <w:bookmarkEnd w:id="137"/>
    <w:p>
      <w:pPr>
        <w:jc w:val="center"/>
        <w:ind w:left="8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left="86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620"/>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3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Reference is made to the 3-Year Revolving Credit Agreement, dated as of January 14,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and the other agents party thereto. Unless otherwise defined herein, terms used herein have the meanings assigned to such terms in the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31" w:lineRule="exact"/>
        <w:rPr>
          <w:sz w:val="20"/>
          <w:szCs w:val="20"/>
          <w:color w:val="auto"/>
        </w:rPr>
      </w:pPr>
    </w:p>
    <w:p>
      <w:pPr>
        <w:ind w:left="1420" w:hanging="538"/>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20" w:right="520" w:hanging="538"/>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Arial" w:cs="Arial" w:eastAsia="Arial" w:hAnsi="Arial"/>
                <w:sz w:val="14"/>
                <w:szCs w:val="14"/>
                <w:color w:val="auto"/>
                <w:w w:val="94"/>
              </w:rPr>
              <w:t>Aggregate Amount</w:t>
            </w: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49"/>
        </w:trPr>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Commitment/Loans</w:t>
            </w:r>
          </w:p>
        </w:tc>
        <w:tc>
          <w:tcPr>
            <w:tcW w:w="1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149"/>
        </w:trPr>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for all Lenders</w:t>
            </w:r>
          </w:p>
        </w:tc>
        <w:tc>
          <w:tcPr>
            <w:tcW w:w="1400" w:type="dxa"/>
            <w:vAlign w:val="bottom"/>
          </w:tcPr>
          <w:p>
            <w:pPr>
              <w:spacing w:after="0"/>
              <w:rPr>
                <w:sz w:val="12"/>
                <w:szCs w:val="12"/>
                <w:color w:val="auto"/>
              </w:rPr>
            </w:pPr>
          </w:p>
        </w:tc>
        <w:tc>
          <w:tcPr>
            <w:tcW w:w="3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Amount of</w:t>
            </w:r>
          </w:p>
        </w:tc>
        <w:tc>
          <w:tcPr>
            <w:tcW w:w="3420" w:type="dxa"/>
            <w:vAlign w:val="bottom"/>
          </w:tcPr>
          <w:p>
            <w:pPr>
              <w:spacing w:after="0"/>
              <w:rPr>
                <w:sz w:val="12"/>
                <w:szCs w:val="12"/>
                <w:color w:val="auto"/>
              </w:rPr>
            </w:pPr>
          </w:p>
        </w:tc>
      </w:tr>
      <w:tr>
        <w:trPr>
          <w:trHeight w:val="149"/>
        </w:trPr>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under the Credit</w:t>
            </w:r>
          </w:p>
        </w:tc>
        <w:tc>
          <w:tcPr>
            <w:tcW w:w="1400" w:type="dxa"/>
            <w:vAlign w:val="bottom"/>
          </w:tcPr>
          <w:p>
            <w:pPr>
              <w:spacing w:after="0"/>
              <w:rPr>
                <w:sz w:val="12"/>
                <w:szCs w:val="12"/>
                <w:color w:val="auto"/>
              </w:rPr>
            </w:pPr>
          </w:p>
        </w:tc>
        <w:tc>
          <w:tcPr>
            <w:tcW w:w="3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Commitment/Loans</w:t>
            </w: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r>
      <w:tr>
        <w:trPr>
          <w:trHeight w:val="174"/>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Agreement</w:t>
            </w:r>
          </w:p>
        </w:tc>
        <w:tc>
          <w:tcPr>
            <w:tcW w:w="14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Assigned</w:t>
            </w:r>
          </w:p>
        </w:tc>
        <w:tc>
          <w:tcPr>
            <w:tcW w:w="10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Assigned of Commitment/Loans</w:t>
            </w:r>
          </w:p>
        </w:tc>
      </w:tr>
    </w:tbl>
    <w:p>
      <w:pPr>
        <w:sectPr>
          <w:pgSz w:w="11900" w:h="16838" w:orient="portrait"/>
          <w:cols w:equalWidth="0" w:num="1">
            <w:col w:w="11040"/>
          </w:cols>
          <w:pgMar w:left="440" w:top="274" w:right="41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Trade Date of Assignment (the “</w:t>
      </w:r>
      <w:r>
        <w:rPr>
          <w:rFonts w:ascii="Arial" w:cs="Arial" w:eastAsia="Arial" w:hAnsi="Arial"/>
          <w:sz w:val="18"/>
          <w:szCs w:val="18"/>
          <w:u w:val="single" w:color="auto"/>
          <w:color w:val="auto"/>
        </w:rPr>
        <w:t>Trade Date</w:t>
      </w:r>
      <w:r>
        <w:rPr>
          <w:rFonts w:ascii="Arial" w:cs="Arial" w:eastAsia="Arial" w:hAnsi="Arial"/>
          <w:sz w:val="18"/>
          <w:szCs w:val="18"/>
          <w:color w:val="auto"/>
        </w:rPr>
        <w:t>”): __________, 20_.</w:t>
      </w:r>
      <w:r>
        <w:rPr>
          <w:rFonts w:ascii="Arial" w:cs="Arial" w:eastAsia="Arial" w:hAnsi="Arial"/>
          <w:sz w:val="15"/>
          <w:szCs w:val="15"/>
          <w:color w:val="auto"/>
        </w:rPr>
        <w:t>1</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4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0880"/>
          </w:cols>
          <w:pgMar w:left="440" w:top="274" w:right="579" w:bottom="1440" w:gutter="0" w:footer="0" w:header="0"/>
        </w:sectPr>
      </w:pPr>
    </w:p>
    <w:bookmarkStart w:id="139" w:name="page140"/>
    <w:bookmarkEnd w:id="139"/>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9780"/>
          </w:cols>
          <w:pgMar w:left="1440" w:top="270" w:right="679" w:bottom="1440" w:gutter="0" w:footer="0" w:header="0"/>
        </w:sectPr>
      </w:pPr>
    </w:p>
    <w:bookmarkStart w:id="140" w:name="page141"/>
    <w:bookmarkEnd w:id="140"/>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I-1</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Reference is hereby made to the 3-Year-Day Revolving Credit Agreement dated as of January 14,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58"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60"/>
          </w:cols>
          <w:pgMar w:left="440" w:top="270" w:right="499" w:bottom="1440" w:gutter="0" w:footer="0" w:header="0"/>
        </w:sectPr>
      </w:pPr>
    </w:p>
    <w:bookmarkStart w:id="141" w:name="page142"/>
    <w:bookmarkEnd w:id="14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ectPr>
          <w:pgSz w:w="11900" w:h="16838" w:orient="portrait"/>
          <w:cols w:equalWidth="0" w:num="1">
            <w:col w:w="10540"/>
          </w:cols>
          <w:pgMar w:left="440" w:top="274" w:right="919" w:bottom="1440" w:gutter="0" w:footer="0" w:header="0"/>
        </w:sectPr>
      </w:pPr>
    </w:p>
    <w:bookmarkStart w:id="142" w:name="page143"/>
    <w:bookmarkEnd w:id="142"/>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Reference is hereby made to the 3-Year-Day Revolving Credit Agreement dated as of January 14,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70" w:right="459" w:bottom="1440" w:gutter="0" w:footer="0" w:header="0"/>
        </w:sectPr>
      </w:pPr>
    </w:p>
    <w:bookmarkStart w:id="143" w:name="page144"/>
    <w:bookmarkEnd w:id="14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20__</w:t>
      </w:r>
    </w:p>
    <w:p>
      <w:pPr>
        <w:sectPr>
          <w:pgSz w:w="11900" w:h="16838" w:orient="portrait"/>
          <w:cols w:equalWidth="0" w:num="1">
            <w:col w:w="10540"/>
          </w:cols>
          <w:pgMar w:left="440" w:top="274" w:right="919" w:bottom="1440" w:gutter="0" w:footer="0" w:header="0"/>
        </w:sectPr>
      </w:pPr>
    </w:p>
    <w:bookmarkStart w:id="144" w:name="page145"/>
    <w:bookmarkEnd w:id="144"/>
    <w:p>
      <w:pPr>
        <w:jc w:val="center"/>
        <w:ind w:left="9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7"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U.S. TAX COMPLIANCE CERTIFICATE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Reference is hereby made to the 3-Year-Day Revolving Credit Agreement dated as of January 14,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20"/>
          </w:cols>
          <w:pgMar w:left="440" w:top="270" w:right="539" w:bottom="1440" w:gutter="0" w:footer="0" w:header="0"/>
        </w:sectPr>
      </w:pPr>
    </w:p>
    <w:bookmarkStart w:id="145" w:name="page146"/>
    <w:bookmarkEnd w:id="14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7429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46" w:name="page147"/>
    <w:bookmarkEnd w:id="146"/>
    <w:p>
      <w:pPr>
        <w:jc w:val="center"/>
        <w:ind w:left="9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I-4</w:t>
      </w:r>
    </w:p>
    <w:p>
      <w:pPr>
        <w:spacing w:after="0" w:line="27"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Reference is hereby made to the 3-Year-Day Revolving Credit Agreement dated as of January 14,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direct or indirect partners/members that is claiming the portfolio interest exception: (i) an IRS Form W-8BEN or IRS Form W-8BEN-E, as applicable, or</w:t>
      </w:r>
    </w:p>
    <w:p>
      <w:pPr>
        <w:spacing w:after="0" w:line="32" w:lineRule="exact"/>
        <w:rPr>
          <w:sz w:val="20"/>
          <w:szCs w:val="20"/>
          <w:color w:val="auto"/>
        </w:rPr>
      </w:pPr>
    </w:p>
    <w:p>
      <w:pPr>
        <w:ind w:right="20" w:firstLine="4"/>
        <w:spacing w:after="0" w:line="252" w:lineRule="auto"/>
        <w:tabs>
          <w:tab w:leader="none" w:pos="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94"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020"/>
          </w:cols>
          <w:pgMar w:left="440" w:top="270" w:right="4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7429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48" w:name="page149"/>
    <w:bookmarkEnd w:id="148"/>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6257290</wp:posOffset>
            </wp:positionH>
            <wp:positionV relativeFrom="paragraph">
              <wp:posOffset>-10160</wp:posOffset>
            </wp:positionV>
            <wp:extent cx="7429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(i) the Third Amended and Restated Three Year Revolving Credit Agreement, dated as of April 18, 2018 (as amended, restated, amended and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Subsidiary Borrowers from time to time party thereto, the lenders from time to time party thereto, as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 such capacity,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 Agreement, dated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April 18, 2018 (as amended, restated, amended and restated, renewed, supplemented or modified from time to time, the “</w:t>
      </w:r>
      <w:r>
        <w:rPr>
          <w:rFonts w:ascii="Arial" w:cs="Arial" w:eastAsia="Arial" w:hAnsi="Arial"/>
          <w:sz w:val="17"/>
          <w:szCs w:val="17"/>
          <w:u w:val="single" w:color="auto"/>
          <w:color w:val="auto"/>
        </w:rPr>
        <w:t>5-Year Credit</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GMF, GMGTC, GMB, the Subsidiary Borrowers from time to time party thereto, the lenders from time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(in such capacity, together with 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Agent, the Co-Syndication Agent, and the other agents party thereto, (iii) the 364-Day Revolving Credit Agreement, dated as of April 18, 2018,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amended, restated, amended and restated, renewed, supplemented or 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among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Company, GMF, GMGTC, the Subsidiary Borrowers from time to time party thereto, the lenders from time to time party thereto, as lenders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364-Day Lenders</w:t>
      </w:r>
      <w:r>
        <w:rPr>
          <w:rFonts w:ascii="Arial" w:cs="Arial" w:eastAsia="Arial" w:hAnsi="Arial"/>
          <w:sz w:val="16"/>
          <w:szCs w:val="16"/>
          <w:color w:val="auto"/>
        </w:rPr>
        <w:t>”), JPM as the Administrative Agent for the 364-Day Lenders (in such capacity, together with any successor thereto in such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capacity, the “</w:t>
      </w:r>
      <w:r>
        <w:rPr>
          <w:rFonts w:ascii="Arial" w:cs="Arial" w:eastAsia="Arial" w:hAnsi="Arial"/>
          <w:sz w:val="16"/>
          <w:szCs w:val="16"/>
          <w:u w:val="single" w:color="auto"/>
          <w:color w:val="auto"/>
        </w:rPr>
        <w:t>364-Day Administrative Agent</w:t>
      </w:r>
      <w:r>
        <w:rPr>
          <w:rFonts w:ascii="Arial" w:cs="Arial" w:eastAsia="Arial" w:hAnsi="Arial"/>
          <w:sz w:val="16"/>
          <w:szCs w:val="16"/>
          <w:color w:val="auto"/>
        </w:rPr>
        <w:t>”), the Syndication Agent, the Co-Syndication Agent, and the other agents party thereto and (iv)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3-Year Revolving Credit Agreement, dated as of January 14, 2019, as amended, restated, amended and restated, renewed, supplemented 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modified from time to time (the “</w:t>
      </w:r>
      <w:r>
        <w:rPr>
          <w:rFonts w:ascii="Arial" w:cs="Arial" w:eastAsia="Arial" w:hAnsi="Arial"/>
          <w:sz w:val="16"/>
          <w:szCs w:val="16"/>
          <w:u w:val="single" w:color="auto"/>
          <w:color w:val="auto"/>
        </w:rPr>
        <w:t>2019 3-Year Credit Agreement</w:t>
      </w:r>
      <w:r>
        <w:rPr>
          <w:rFonts w:ascii="Arial" w:cs="Arial" w:eastAsia="Arial" w:hAnsi="Arial"/>
          <w:sz w:val="16"/>
          <w:szCs w:val="16"/>
          <w:color w:val="auto"/>
        </w:rPr>
        <w:t>”, together with the 3-Year Credit Agreement, the 5-Year Credit Agreement and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364-Day Credit Agreement, the “</w:t>
      </w:r>
      <w:r>
        <w:rPr>
          <w:rFonts w:ascii="Arial" w:cs="Arial" w:eastAsia="Arial" w:hAnsi="Arial"/>
          <w:sz w:val="17"/>
          <w:szCs w:val="17"/>
          <w:u w:val="single" w:color="auto"/>
          <w:color w:val="auto"/>
        </w:rPr>
        <w:t>Credit Agreements</w:t>
      </w:r>
      <w:r>
        <w:rPr>
          <w:rFonts w:ascii="Arial" w:cs="Arial" w:eastAsia="Arial" w:hAnsi="Arial"/>
          <w:sz w:val="17"/>
          <w:szCs w:val="17"/>
          <w:color w:val="auto"/>
        </w:rPr>
        <w:t>” and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the lenders from time to time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party</w:t>
      </w:r>
    </w:p>
    <w:p>
      <w:pPr>
        <w:sectPr>
          <w:pgSz w:w="11900" w:h="16838" w:orient="portrait"/>
          <w:cols w:equalWidth="0" w:num="1">
            <w:col w:w="11020"/>
          </w:cols>
          <w:pgMar w:left="440" w:top="270" w:right="439" w:bottom="1440" w:gutter="0" w:footer="0" w:header="0"/>
        </w:sectPr>
      </w:pPr>
    </w:p>
    <w:bookmarkStart w:id="149" w:name="page150"/>
    <w:bookmarkEnd w:id="14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as Lenders (the “</w:t>
      </w:r>
      <w:r>
        <w:rPr>
          <w:rFonts w:ascii="Arial" w:cs="Arial" w:eastAsia="Arial" w:hAnsi="Arial"/>
          <w:sz w:val="17"/>
          <w:szCs w:val="17"/>
          <w:u w:val="single" w:color="auto"/>
          <w:color w:val="auto"/>
        </w:rPr>
        <w:t>2019 3-Year Lenders</w:t>
      </w:r>
      <w:r>
        <w:rPr>
          <w:rFonts w:ascii="Arial" w:cs="Arial" w:eastAsia="Arial" w:hAnsi="Arial"/>
          <w:sz w:val="17"/>
          <w:szCs w:val="17"/>
          <w:color w:val="auto"/>
        </w:rPr>
        <w:t>” and together with the 3-Year Lenders, the 5-Year Lenders and the 364-Day Lenders, the</w:t>
      </w:r>
    </w:p>
    <w:p>
      <w:pPr>
        <w:spacing w:after="0" w:line="35" w:lineRule="exact"/>
        <w:rPr>
          <w:sz w:val="20"/>
          <w:szCs w:val="20"/>
          <w:color w:val="auto"/>
        </w:rPr>
      </w:pPr>
    </w:p>
    <w:p>
      <w:pPr>
        <w:ind w:left="440"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JPM as the Administrative Agent for the 364-Day Lenders (in such capacity, together with any successor thereto in such capacity, the “</w:t>
      </w:r>
      <w:r>
        <w:rPr>
          <w:rFonts w:ascii="Arial" w:cs="Arial" w:eastAsia="Arial" w:hAnsi="Arial"/>
          <w:sz w:val="17"/>
          <w:szCs w:val="17"/>
          <w:u w:val="single" w:color="auto"/>
          <w:color w:val="auto"/>
        </w:rPr>
        <w:t>2019 3-Year Administrative Agent</w:t>
      </w:r>
      <w:r>
        <w:rPr>
          <w:rFonts w:ascii="Arial" w:cs="Arial" w:eastAsia="Arial" w:hAnsi="Arial"/>
          <w:sz w:val="17"/>
          <w:szCs w:val="17"/>
          <w:color w:val="auto"/>
        </w:rPr>
        <w:t>” and together with the 3-Year Administrative Agent, the 5-Year Administrative Agent and the 364-Day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the Syndication Agent, and the other agents party thereto.</w:t>
      </w:r>
    </w:p>
    <w:p>
      <w:pPr>
        <w:spacing w:after="0" w:line="173"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This Compliance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is furnished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39" w:lineRule="exact"/>
        <w:rPr>
          <w:sz w:val="20"/>
          <w:szCs w:val="20"/>
          <w:color w:val="auto"/>
        </w:rPr>
      </w:pPr>
    </w:p>
    <w:p>
      <w:pPr>
        <w:ind w:left="620" w:hanging="176"/>
        <w:spacing w:after="0"/>
        <w:tabs>
          <w:tab w:leader="none" w:pos="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right="20" w:firstLine="444"/>
        <w:spacing w:after="0" w:line="277" w:lineRule="auto"/>
        <w:tabs>
          <w:tab w:leader="none" w:pos="62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To the best of my knowledge, no Default or Event of Default has occurred and is continuing as of the date hereof [, except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160" w:firstLine="444"/>
        <w:spacing w:after="0" w:line="308" w:lineRule="auto"/>
        <w:tabs>
          <w:tab w:leader="none" w:pos="62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146" w:lineRule="exact"/>
        <w:rPr>
          <w:rFonts w:ascii="Arial" w:cs="Arial" w:eastAsia="Arial" w:hAnsi="Arial"/>
          <w:sz w:val="17"/>
          <w:szCs w:val="17"/>
          <w:color w:val="auto"/>
        </w:rPr>
      </w:pPr>
    </w:p>
    <w:p>
      <w:pPr>
        <w:ind w:right="60" w:firstLine="444"/>
        <w:spacing w:after="0" w:line="308" w:lineRule="auto"/>
        <w:tabs>
          <w:tab w:leader="none" w:pos="62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0"/>
          </w:cols>
          <w:pgMar w:left="440" w:top="274" w:right="479" w:bottom="1440" w:gutter="0" w:footer="0" w:header="0"/>
        </w:sectPr>
      </w:pPr>
    </w:p>
    <w:bookmarkStart w:id="150" w:name="page151"/>
    <w:bookmarkEnd w:id="15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51" w:name="page152"/>
    <w:bookmarkEnd w:id="151"/>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Compliance Certificate</w:t>
      </w:r>
    </w:p>
    <w:p>
      <w:pPr>
        <w:spacing w:after="0" w:line="234"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Consolidated Domestic Liquidity as of ______, 20__ (the “Calculation Date”)</w:t>
      </w:r>
      <w:r>
        <w:rPr>
          <w:rFonts w:ascii="Arial" w:cs="Arial" w:eastAsia="Arial" w:hAnsi="Arial"/>
          <w:sz w:val="15"/>
          <w:szCs w:val="15"/>
          <w:u w:val="single" w:color="auto"/>
          <w:color w:val="auto"/>
        </w:rPr>
        <w:t>1</w:t>
      </w:r>
    </w:p>
    <w:p>
      <w:pPr>
        <w:spacing w:after="0" w:line="252" w:lineRule="exact"/>
        <w:rPr>
          <w:sz w:val="20"/>
          <w:szCs w:val="20"/>
          <w:color w:val="auto"/>
        </w:rPr>
      </w:pPr>
    </w:p>
    <w:p>
      <w:pPr>
        <w:ind w:left="300" w:hanging="296"/>
        <w:spacing w:after="0"/>
        <w:tabs>
          <w:tab w:leader="none" w:pos="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280" w:hanging="276"/>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280" w:hanging="276"/>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6"/>
        <w:spacing w:after="0"/>
        <w:tabs>
          <w:tab w:leader="none" w:pos="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2100" w:firstLine="4"/>
        <w:spacing w:after="0" w:line="308" w:lineRule="auto"/>
        <w:tabs>
          <w:tab w:leader="none" w:pos="27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Company or any Domestic Subsidiary as of the Calculation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1480" w:firstLine="4"/>
        <w:spacing w:after="0" w:line="257" w:lineRule="auto"/>
        <w:tabs>
          <w:tab w:leader="none" w:pos="2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80"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u w:val="single" w:color="auto"/>
          <w:color w:val="auto"/>
        </w:rPr>
        <w:t>Sum of (A) plus (B) plus (C) plus (D) plus (E) plus (F): Consolidated Domestic Liquidity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-10160</wp:posOffset>
            </wp:positionV>
            <wp:extent cx="6858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78" w:lineRule="exact"/>
        <w:rPr>
          <w:sz w:val="20"/>
          <w:szCs w:val="20"/>
          <w:color w:val="auto"/>
        </w:rPr>
      </w:pPr>
    </w:p>
    <w:p>
      <w:pPr>
        <w:ind w:left="440" w:right="520" w:hanging="436"/>
        <w:spacing w:after="0" w:line="277" w:lineRule="auto"/>
        <w:tabs>
          <w:tab w:leader="none" w:pos="4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0980"/>
          </w:cols>
          <w:pgMar w:left="440" w:top="270" w:right="479" w:bottom="1440" w:gutter="0" w:footer="0" w:header="0"/>
        </w:sectPr>
      </w:pPr>
    </w:p>
    <w:bookmarkStart w:id="152" w:name="page153"/>
    <w:bookmarkEnd w:id="152"/>
    <w:p>
      <w:pPr>
        <w:jc w:val="center"/>
        <w:ind w:left="9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Compliance Certificate</w:t>
      </w:r>
    </w:p>
    <w:p>
      <w:pPr>
        <w:spacing w:after="0" w:line="234"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Consolidated Global Liquidity as of ______, 20__ (the “Calculation Date”)</w:t>
      </w:r>
      <w:r>
        <w:rPr>
          <w:rFonts w:ascii="Arial" w:cs="Arial" w:eastAsia="Arial" w:hAnsi="Arial"/>
          <w:sz w:val="15"/>
          <w:szCs w:val="15"/>
          <w:u w:val="single" w:color="auto"/>
          <w:color w:val="auto"/>
        </w:rPr>
        <w:t>1</w:t>
      </w:r>
    </w:p>
    <w:p>
      <w:pPr>
        <w:spacing w:after="0" w:line="252" w:lineRule="exact"/>
        <w:rPr>
          <w:sz w:val="20"/>
          <w:szCs w:val="20"/>
          <w:color w:val="auto"/>
        </w:rPr>
      </w:pPr>
    </w:p>
    <w:p>
      <w:pPr>
        <w:ind w:left="300" w:hanging="296"/>
        <w:spacing w:after="0"/>
        <w:tabs>
          <w:tab w:leader="none" w:pos="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280" w:hanging="276"/>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280" w:hanging="276"/>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6"/>
        <w:spacing w:after="0"/>
        <w:tabs>
          <w:tab w:leader="none" w:pos="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2100" w:firstLine="4"/>
        <w:spacing w:after="0" w:line="277" w:lineRule="auto"/>
        <w:tabs>
          <w:tab w:leader="none" w:pos="2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jc w:val="both"/>
        <w:ind w:right="1820" w:firstLine="4"/>
        <w:spacing w:after="0" w:line="286" w:lineRule="auto"/>
        <w:tabs>
          <w:tab w:leader="none" w:pos="26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57"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u w:val="single" w:color="auto"/>
          <w:color w:val="auto"/>
        </w:rPr>
        <w:t>Sum of (A) plus (B) plus (C) plus (D) plus (E) plus (F): Consolidated Global Liquidity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-10160</wp:posOffset>
            </wp:positionV>
            <wp:extent cx="6858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78" w:lineRule="exact"/>
        <w:rPr>
          <w:sz w:val="20"/>
          <w:szCs w:val="20"/>
          <w:color w:val="auto"/>
        </w:rPr>
      </w:pPr>
    </w:p>
    <w:p>
      <w:pPr>
        <w:ind w:left="440" w:right="520" w:hanging="436"/>
        <w:spacing w:after="0" w:line="277" w:lineRule="auto"/>
        <w:tabs>
          <w:tab w:leader="none" w:pos="4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0980"/>
          </w:cols>
          <w:pgMar w:left="440" w:top="270" w:right="479" w:bottom="1440" w:gutter="0" w:footer="0" w:header="0"/>
        </w:sectPr>
      </w:pPr>
    </w:p>
    <w:bookmarkStart w:id="153" w:name="page154"/>
    <w:bookmarkEnd w:id="153"/>
    <w:p>
      <w:pPr>
        <w:ind w:left="8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10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20"/>
          </w:cols>
          <w:pgMar w:left="1440" w:top="270" w:right="439" w:bottom="1440" w:gutter="0" w:footer="0" w:header="0"/>
        </w:sectPr>
      </w:pPr>
    </w:p>
    <w:bookmarkStart w:id="154" w:name="page155"/>
    <w:bookmarkEnd w:id="154"/>
    <w:p>
      <w:pPr>
        <w:ind w:left="9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27"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New York, New York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20__</w:t>
      </w:r>
    </w:p>
    <w:p>
      <w:pPr>
        <w:spacing w:after="0" w:line="200" w:lineRule="exact"/>
        <w:rPr>
          <w:sz w:val="20"/>
          <w:szCs w:val="20"/>
          <w:color w:val="auto"/>
        </w:rPr>
      </w:pPr>
    </w:p>
    <w:p>
      <w:pPr>
        <w:sectPr>
          <w:pgSz w:w="11900" w:h="16838" w:orient="portrait"/>
          <w:cols w:equalWidth="0" w:num="2">
            <w:col w:w="8600" w:space="720"/>
            <w:col w:w="1700"/>
          </w:cols>
          <w:pgMar w:left="440" w:top="270" w:right="439" w:bottom="1440" w:gutter="0" w:footer="0" w:header="0"/>
          <w:type w:val="continuous"/>
        </w:sectPr>
      </w:pP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FOR VALUE RECEIVED, the undersigned, General Motors Company, a Delaware corporation, (together with its successors and permitted</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Company</w:t>
      </w:r>
      <w:r>
        <w:rPr>
          <w:rFonts w:ascii="Arial" w:cs="Arial" w:eastAsia="Arial" w:hAnsi="Arial"/>
          <w:sz w:val="16"/>
          <w:szCs w:val="16"/>
          <w:color w:val="auto"/>
        </w:rPr>
        <w:t>”), hereby unconditionally promises to pay to 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Termination Date</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specified in the Credit Agreement (as hereinafter defined) at the Funding Office specified in the Credit Agreement, in the currency of such Loans and in immediately available funds, the principal amount of (a) ___________________ (__________), or, if less, (b) the unpaid principal amount of the Loans</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 xml:space="preserve">of the Lender outstanding under the Credit Agreement. The Company further agrees to pay interest in like money at such Funding Office on the unpaid principal amount hereof from time to time outstanding at the rates and on the dates specified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of the Credit Agreement.</w:t>
      </w:r>
    </w:p>
    <w:p>
      <w:pPr>
        <w:spacing w:after="0" w:line="162"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Company in respect of the Loans.</w:t>
      </w:r>
    </w:p>
    <w:p>
      <w:pPr>
        <w:spacing w:after="0" w:line="13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This Note (a) is one of the Notes referred to in the 3-Year Revolving Credit Agreement, dated as of January 14, 2019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the Lender, the other lenders from time to time party thereto, JPMorgan Chase Bank, N.A., as Administrative Agent, Citibank, N.A., as syndication agent, and the other agents party thereto, (b) is subject to the provisions of the Credit Agreement and (c) is subject to optional and mandatory prepayment and/or reduction in whole or in part as provided in the Credit Agreement. This Note is guaranteed as provided in the Loan Documents subject to the release and termination provisions contained therein.</w:t>
      </w:r>
    </w:p>
    <w:p>
      <w:pPr>
        <w:sectPr>
          <w:pgSz w:w="11900" w:h="16838" w:orient="portrait"/>
          <w:cols w:equalWidth="0" w:num="1">
            <w:col w:w="11020"/>
          </w:cols>
          <w:pgMar w:left="440" w:top="270" w:right="439" w:bottom="1440" w:gutter="0" w:footer="0" w:header="0"/>
          <w:type w:val="continuous"/>
        </w:sectPr>
      </w:pPr>
    </w:p>
    <w:bookmarkStart w:id="155" w:name="page156"/>
    <w:bookmarkEnd w:id="155"/>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Name:__________________________________</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Title:___________________________________</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4" w:right="559" w:bottom="1440" w:gutter="0" w:footer="0" w:header="0"/>
        </w:sectPr>
      </w:pPr>
    </w:p>
    <w:bookmarkStart w:id="156" w:name="page157"/>
    <w:bookmarkEnd w:id="156"/>
    <w:p>
      <w:pPr>
        <w:ind w:left="9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3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Amount</w:t>
            </w:r>
          </w:p>
        </w:tc>
        <w:tc>
          <w:tcPr>
            <w:tcW w:w="1760" w:type="dxa"/>
            <w:vAlign w:val="bottom"/>
            <w:gridSpan w:val="2"/>
          </w:tcPr>
          <w:p>
            <w:pPr>
              <w:jc w:val="center"/>
              <w:ind w:left="468"/>
              <w:spacing w:after="0"/>
              <w:rPr>
                <w:sz w:val="20"/>
                <w:szCs w:val="20"/>
                <w:color w:val="auto"/>
              </w:rPr>
            </w:pPr>
            <w:r>
              <w:rPr>
                <w:rFonts w:ascii="Arial" w:cs="Arial" w:eastAsia="Arial" w:hAnsi="Arial"/>
                <w:sz w:val="14"/>
                <w:szCs w:val="14"/>
                <w:color w:val="auto"/>
                <w:w w:val="97"/>
              </w:rPr>
              <w:t>Amount of Principal</w:t>
            </w:r>
          </w:p>
        </w:tc>
        <w:tc>
          <w:tcPr>
            <w:tcW w:w="5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Amount of ABR</w:t>
            </w:r>
          </w:p>
        </w:tc>
        <w:tc>
          <w:tcPr>
            <w:tcW w:w="1540" w:type="dxa"/>
            <w:vAlign w:val="bottom"/>
            <w:gridSpan w:val="2"/>
          </w:tcPr>
          <w:p>
            <w:pPr>
              <w:jc w:val="center"/>
              <w:ind w:left="488"/>
              <w:spacing w:after="0"/>
              <w:rPr>
                <w:sz w:val="20"/>
                <w:szCs w:val="20"/>
                <w:color w:val="auto"/>
              </w:rPr>
            </w:pPr>
            <w:r>
              <w:rPr>
                <w:rFonts w:ascii="Arial" w:cs="Arial" w:eastAsia="Arial" w:hAnsi="Arial"/>
                <w:sz w:val="14"/>
                <w:szCs w:val="14"/>
                <w:color w:val="auto"/>
                <w:w w:val="96"/>
              </w:rPr>
              <w:t>Unpaid Principal</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color w:val="auto"/>
                <w:w w:val="94"/>
              </w:rPr>
              <w:t>Date</w:t>
            </w:r>
          </w:p>
        </w:tc>
        <w:tc>
          <w:tcPr>
            <w:tcW w:w="2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1320" w:type="dxa"/>
            <w:vAlign w:val="bottom"/>
            <w:gridSpan w:val="2"/>
          </w:tcPr>
          <w:p>
            <w:pPr>
              <w:jc w:val="center"/>
              <w:ind w:left="468"/>
              <w:spacing w:after="0" w:line="149" w:lineRule="exact"/>
              <w:rPr>
                <w:sz w:val="20"/>
                <w:szCs w:val="20"/>
                <w:color w:val="auto"/>
              </w:rPr>
            </w:pPr>
            <w:r>
              <w:rPr>
                <w:rFonts w:ascii="Arial" w:cs="Arial" w:eastAsia="Arial" w:hAnsi="Arial"/>
                <w:sz w:val="14"/>
                <w:szCs w:val="14"/>
                <w:color w:val="auto"/>
                <w:w w:val="92"/>
              </w:rPr>
              <w:t>Converted to</w:t>
            </w:r>
          </w:p>
        </w:tc>
        <w:tc>
          <w:tcPr>
            <w:tcW w:w="5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7"/>
              </w:rPr>
              <w:t>of ABR Loans</w:t>
            </w: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Loans Converted to</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0"/>
              </w:rPr>
              <w:t>Balance</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700" w:type="dxa"/>
            <w:vAlign w:val="bottom"/>
          </w:tcPr>
          <w:p>
            <w:pPr>
              <w:jc w:val="center"/>
              <w:spacing w:after="0" w:line="154" w:lineRule="exact"/>
              <w:rPr>
                <w:sz w:val="20"/>
                <w:szCs w:val="20"/>
                <w:color w:val="auto"/>
              </w:rPr>
            </w:pPr>
            <w:r>
              <w:rPr>
                <w:rFonts w:ascii="Arial" w:cs="Arial" w:eastAsia="Arial" w:hAnsi="Arial"/>
                <w:sz w:val="14"/>
                <w:szCs w:val="14"/>
                <w:color w:val="auto"/>
                <w:w w:val="95"/>
              </w:rPr>
              <w:t>ABR Loans</w:t>
            </w:r>
          </w:p>
        </w:tc>
        <w:tc>
          <w:tcPr>
            <w:tcW w:w="560" w:type="dxa"/>
            <w:vAlign w:val="bottom"/>
          </w:tcPr>
          <w:p>
            <w:pPr>
              <w:spacing w:after="0"/>
              <w:rPr>
                <w:sz w:val="13"/>
                <w:szCs w:val="13"/>
                <w:color w:val="auto"/>
              </w:rPr>
            </w:pPr>
          </w:p>
        </w:tc>
        <w:tc>
          <w:tcPr>
            <w:tcW w:w="760" w:type="dxa"/>
            <w:vAlign w:val="bottom"/>
          </w:tcPr>
          <w:p>
            <w:pPr>
              <w:jc w:val="center"/>
              <w:spacing w:after="0" w:line="154" w:lineRule="exact"/>
              <w:rPr>
                <w:sz w:val="20"/>
                <w:szCs w:val="20"/>
                <w:color w:val="auto"/>
              </w:rPr>
            </w:pPr>
            <w:r>
              <w:rPr>
                <w:rFonts w:ascii="Arial" w:cs="Arial" w:eastAsia="Arial" w:hAnsi="Arial"/>
                <w:sz w:val="14"/>
                <w:szCs w:val="14"/>
                <w:color w:val="auto"/>
                <w:w w:val="95"/>
              </w:rPr>
              <w:t>ABR Loans</w:t>
            </w:r>
          </w:p>
        </w:tc>
        <w:tc>
          <w:tcPr>
            <w:tcW w:w="560" w:type="dxa"/>
            <w:vAlign w:val="bottom"/>
          </w:tcPr>
          <w:p>
            <w:pPr>
              <w:spacing w:after="0"/>
              <w:rPr>
                <w:sz w:val="13"/>
                <w:szCs w:val="13"/>
                <w:color w:val="auto"/>
              </w:rPr>
            </w:pPr>
          </w:p>
        </w:tc>
        <w:tc>
          <w:tcPr>
            <w:tcW w:w="1200" w:type="dxa"/>
            <w:vAlign w:val="bottom"/>
          </w:tcPr>
          <w:p>
            <w:pPr>
              <w:jc w:val="center"/>
              <w:spacing w:after="0" w:line="154" w:lineRule="exact"/>
              <w:rPr>
                <w:sz w:val="20"/>
                <w:szCs w:val="20"/>
                <w:color w:val="auto"/>
              </w:rPr>
            </w:pPr>
            <w:r>
              <w:rPr>
                <w:rFonts w:ascii="Arial" w:cs="Arial" w:eastAsia="Arial" w:hAnsi="Arial"/>
                <w:sz w:val="14"/>
                <w:szCs w:val="14"/>
                <w:color w:val="auto"/>
                <w:w w:val="94"/>
              </w:rPr>
              <w:t>Repaid</w:t>
            </w:r>
          </w:p>
        </w:tc>
        <w:tc>
          <w:tcPr>
            <w:tcW w:w="1740" w:type="dxa"/>
            <w:vAlign w:val="bottom"/>
            <w:gridSpan w:val="2"/>
          </w:tcPr>
          <w:p>
            <w:pPr>
              <w:jc w:val="center"/>
              <w:ind w:left="468"/>
              <w:spacing w:after="0" w:line="154" w:lineRule="exact"/>
              <w:rPr>
                <w:sz w:val="20"/>
                <w:szCs w:val="20"/>
                <w:color w:val="auto"/>
              </w:rPr>
            </w:pPr>
            <w:r>
              <w:rPr>
                <w:rFonts w:ascii="Arial" w:cs="Arial" w:eastAsia="Arial" w:hAnsi="Arial"/>
                <w:sz w:val="14"/>
                <w:szCs w:val="14"/>
                <w:color w:val="auto"/>
                <w:w w:val="92"/>
              </w:rPr>
              <w:t>Eurocurrency Loans</w:t>
            </w:r>
          </w:p>
        </w:tc>
        <w:tc>
          <w:tcPr>
            <w:tcW w:w="560" w:type="dxa"/>
            <w:vAlign w:val="bottom"/>
          </w:tcPr>
          <w:p>
            <w:pPr>
              <w:spacing w:after="0"/>
              <w:rPr>
                <w:sz w:val="13"/>
                <w:szCs w:val="13"/>
                <w:color w:val="auto"/>
              </w:rPr>
            </w:pPr>
          </w:p>
        </w:tc>
        <w:tc>
          <w:tcPr>
            <w:tcW w:w="980" w:type="dxa"/>
            <w:vAlign w:val="bottom"/>
          </w:tcPr>
          <w:p>
            <w:pPr>
              <w:jc w:val="center"/>
              <w:spacing w:after="0" w:line="154" w:lineRule="exact"/>
              <w:rPr>
                <w:sz w:val="20"/>
                <w:szCs w:val="20"/>
                <w:color w:val="auto"/>
              </w:rPr>
            </w:pPr>
            <w:r>
              <w:rPr>
                <w:rFonts w:ascii="Arial" w:cs="Arial" w:eastAsia="Arial" w:hAnsi="Arial"/>
                <w:sz w:val="14"/>
                <w:szCs w:val="14"/>
                <w:color w:val="auto"/>
                <w:w w:val="94"/>
              </w:rPr>
              <w:t>of ABR Loans</w:t>
            </w:r>
          </w:p>
        </w:tc>
        <w:tc>
          <w:tcPr>
            <w:tcW w:w="1140" w:type="dxa"/>
            <w:vAlign w:val="bottom"/>
            <w:gridSpan w:val="2"/>
          </w:tcPr>
          <w:p>
            <w:pPr>
              <w:ind w:left="580"/>
              <w:spacing w:after="0" w:line="154" w:lineRule="exact"/>
              <w:rPr>
                <w:sz w:val="20"/>
                <w:szCs w:val="20"/>
                <w:color w:val="auto"/>
              </w:rPr>
            </w:pPr>
            <w:r>
              <w:rPr>
                <w:rFonts w:ascii="Arial" w:cs="Arial" w:eastAsia="Arial" w:hAnsi="Arial"/>
                <w:sz w:val="14"/>
                <w:szCs w:val="14"/>
                <w:color w:val="auto"/>
                <w:w w:val="97"/>
              </w:rPr>
              <w:t>Made By</w:t>
            </w:r>
          </w:p>
        </w:tc>
        <w:tc>
          <w:tcPr>
            <w:tcW w:w="0" w:type="dxa"/>
            <w:vAlign w:val="bottom"/>
          </w:tcPr>
          <w:p>
            <w:pPr>
              <w:spacing w:after="0"/>
              <w:rPr>
                <w:sz w:val="1"/>
                <w:szCs w:val="1"/>
                <w:color w:val="auto"/>
              </w:rPr>
            </w:pPr>
          </w:p>
        </w:tc>
      </w:tr>
      <w:tr>
        <w:trPr>
          <w:trHeight w:val="27"/>
        </w:trPr>
        <w:tc>
          <w:tcPr>
            <w:tcW w:w="30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57" w:name="page158"/>
    <w:bookmarkEnd w:id="157"/>
    <w:p>
      <w:pPr>
        <w:ind w:left="9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3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Unpaid</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8"/>
              </w:rPr>
              <w:t>Amount of Principal</w:t>
            </w:r>
          </w:p>
        </w:tc>
        <w:tc>
          <w:tcPr>
            <w:tcW w:w="4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Balance</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of Eurocurrency</w:t>
            </w:r>
          </w:p>
        </w:tc>
        <w:tc>
          <w:tcPr>
            <w:tcW w:w="4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color w:val="auto"/>
                <w:w w:val="94"/>
              </w:rPr>
              <w:t>Date</w:t>
            </w:r>
          </w:p>
        </w:tc>
        <w:tc>
          <w:tcPr>
            <w:tcW w:w="2320" w:type="dxa"/>
            <w:vAlign w:val="bottom"/>
            <w:gridSpan w:val="2"/>
          </w:tcPr>
          <w:p>
            <w:pPr>
              <w:jc w:val="center"/>
              <w:ind w:left="1808"/>
              <w:spacing w:after="0" w:line="149" w:lineRule="exact"/>
              <w:rPr>
                <w:sz w:val="20"/>
                <w:szCs w:val="20"/>
                <w:color w:val="auto"/>
              </w:rPr>
            </w:pPr>
            <w:r>
              <w:rPr>
                <w:rFonts w:ascii="Arial" w:cs="Arial" w:eastAsia="Arial" w:hAnsi="Arial"/>
                <w:sz w:val="14"/>
                <w:szCs w:val="14"/>
                <w:color w:val="auto"/>
                <w:w w:val="94"/>
              </w:rPr>
              <w:t>Interest</w:t>
            </w:r>
          </w:p>
        </w:tc>
        <w:tc>
          <w:tcPr>
            <w:tcW w:w="122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3"/>
              </w:rPr>
              <w:t>Eurocurrency</w:t>
            </w:r>
          </w:p>
        </w:tc>
        <w:tc>
          <w:tcPr>
            <w:tcW w:w="170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5"/>
              </w:rPr>
              <w:t>Amount Converted to</w:t>
            </w: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Loans</w:t>
            </w:r>
          </w:p>
        </w:tc>
        <w:tc>
          <w:tcPr>
            <w:tcW w:w="1600" w:type="dxa"/>
            <w:vAlign w:val="bottom"/>
            <w:gridSpan w:val="2"/>
          </w:tcPr>
          <w:p>
            <w:pPr>
              <w:jc w:val="center"/>
              <w:ind w:left="348"/>
              <w:spacing w:after="0" w:line="149" w:lineRule="exact"/>
              <w:rPr>
                <w:sz w:val="20"/>
                <w:szCs w:val="20"/>
                <w:color w:val="auto"/>
              </w:rPr>
            </w:pPr>
            <w:r>
              <w:rPr>
                <w:rFonts w:ascii="Arial" w:cs="Arial" w:eastAsia="Arial" w:hAnsi="Arial"/>
                <w:sz w:val="14"/>
                <w:szCs w:val="14"/>
                <w:color w:val="auto"/>
                <w:w w:val="93"/>
              </w:rPr>
              <w:t>Loans Converted to</w:t>
            </w:r>
          </w:p>
        </w:tc>
        <w:tc>
          <w:tcPr>
            <w:tcW w:w="122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3"/>
              </w:rPr>
              <w:t>Eurocurrency</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440" w:type="dxa"/>
            <w:vAlign w:val="bottom"/>
          </w:tcPr>
          <w:p>
            <w:pPr>
              <w:jc w:val="center"/>
              <w:spacing w:after="0" w:line="154" w:lineRule="exact"/>
              <w:rPr>
                <w:sz w:val="20"/>
                <w:szCs w:val="20"/>
                <w:color w:val="auto"/>
              </w:rPr>
            </w:pPr>
            <w:r>
              <w:rPr>
                <w:rFonts w:ascii="Arial" w:cs="Arial" w:eastAsia="Arial" w:hAnsi="Arial"/>
                <w:sz w:val="14"/>
                <w:szCs w:val="14"/>
                <w:color w:val="auto"/>
                <w:w w:val="93"/>
              </w:rPr>
              <w:t>Period</w:t>
            </w:r>
          </w:p>
        </w:tc>
        <w:tc>
          <w:tcPr>
            <w:tcW w:w="4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89"/>
              </w:rPr>
              <w:t>Loans</w:t>
            </w:r>
          </w:p>
        </w:tc>
        <w:tc>
          <w:tcPr>
            <w:tcW w:w="460" w:type="dxa"/>
            <w:vAlign w:val="bottom"/>
          </w:tcPr>
          <w:p>
            <w:pPr>
              <w:spacing w:after="0"/>
              <w:rPr>
                <w:sz w:val="13"/>
                <w:szCs w:val="13"/>
                <w:color w:val="auto"/>
              </w:rPr>
            </w:pPr>
          </w:p>
        </w:tc>
        <w:tc>
          <w:tcPr>
            <w:tcW w:w="1240" w:type="dxa"/>
            <w:vAlign w:val="bottom"/>
          </w:tcPr>
          <w:p>
            <w:pPr>
              <w:jc w:val="center"/>
              <w:spacing w:after="0" w:line="154" w:lineRule="exact"/>
              <w:rPr>
                <w:sz w:val="20"/>
                <w:szCs w:val="20"/>
                <w:color w:val="auto"/>
              </w:rPr>
            </w:pPr>
            <w:r>
              <w:rPr>
                <w:rFonts w:ascii="Arial" w:cs="Arial" w:eastAsia="Arial" w:hAnsi="Arial"/>
                <w:sz w:val="14"/>
                <w:szCs w:val="14"/>
                <w:color w:val="auto"/>
                <w:w w:val="94"/>
              </w:rPr>
              <w:t>Eurocurrency Loans</w:t>
            </w:r>
          </w:p>
        </w:tc>
        <w:tc>
          <w:tcPr>
            <w:tcW w:w="460" w:type="dxa"/>
            <w:vAlign w:val="bottom"/>
          </w:tcPr>
          <w:p>
            <w:pPr>
              <w:spacing w:after="0"/>
              <w:rPr>
                <w:sz w:val="13"/>
                <w:szCs w:val="13"/>
                <w:color w:val="auto"/>
              </w:rPr>
            </w:pPr>
          </w:p>
        </w:tc>
        <w:tc>
          <w:tcPr>
            <w:tcW w:w="1180" w:type="dxa"/>
            <w:vAlign w:val="bottom"/>
          </w:tcPr>
          <w:p>
            <w:pPr>
              <w:jc w:val="center"/>
              <w:spacing w:after="0" w:line="154" w:lineRule="exact"/>
              <w:rPr>
                <w:sz w:val="20"/>
                <w:szCs w:val="20"/>
                <w:color w:val="auto"/>
              </w:rPr>
            </w:pPr>
            <w:r>
              <w:rPr>
                <w:rFonts w:ascii="Arial" w:cs="Arial" w:eastAsia="Arial" w:hAnsi="Arial"/>
                <w:sz w:val="14"/>
                <w:szCs w:val="14"/>
                <w:color w:val="auto"/>
                <w:w w:val="90"/>
              </w:rPr>
              <w:t>Repaid</w:t>
            </w:r>
          </w:p>
        </w:tc>
        <w:tc>
          <w:tcPr>
            <w:tcW w:w="440" w:type="dxa"/>
            <w:vAlign w:val="bottom"/>
          </w:tcPr>
          <w:p>
            <w:pPr>
              <w:spacing w:after="0"/>
              <w:rPr>
                <w:sz w:val="13"/>
                <w:szCs w:val="13"/>
                <w:color w:val="auto"/>
              </w:rPr>
            </w:pPr>
          </w:p>
        </w:tc>
        <w:tc>
          <w:tcPr>
            <w:tcW w:w="1160" w:type="dxa"/>
            <w:vAlign w:val="bottom"/>
          </w:tcPr>
          <w:p>
            <w:pPr>
              <w:jc w:val="center"/>
              <w:spacing w:after="0" w:line="154" w:lineRule="exact"/>
              <w:rPr>
                <w:sz w:val="20"/>
                <w:szCs w:val="20"/>
                <w:color w:val="auto"/>
              </w:rPr>
            </w:pPr>
            <w:r>
              <w:rPr>
                <w:rFonts w:ascii="Arial" w:cs="Arial" w:eastAsia="Arial" w:hAnsi="Arial"/>
                <w:sz w:val="14"/>
                <w:szCs w:val="14"/>
                <w:color w:val="auto"/>
                <w:w w:val="95"/>
              </w:rPr>
              <w:t>ABR Loans</w:t>
            </w:r>
          </w:p>
        </w:tc>
        <w:tc>
          <w:tcPr>
            <w:tcW w:w="4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89"/>
              </w:rPr>
              <w:t>Loans</w:t>
            </w:r>
          </w:p>
        </w:tc>
        <w:tc>
          <w:tcPr>
            <w:tcW w:w="1000" w:type="dxa"/>
            <w:vAlign w:val="bottom"/>
            <w:gridSpan w:val="2"/>
          </w:tcPr>
          <w:p>
            <w:pPr>
              <w:ind w:left="440"/>
              <w:spacing w:after="0" w:line="154" w:lineRule="exact"/>
              <w:rPr>
                <w:sz w:val="20"/>
                <w:szCs w:val="20"/>
                <w:color w:val="auto"/>
              </w:rPr>
            </w:pPr>
            <w:r>
              <w:rPr>
                <w:rFonts w:ascii="Arial" w:cs="Arial" w:eastAsia="Arial" w:hAnsi="Arial"/>
                <w:sz w:val="14"/>
                <w:szCs w:val="14"/>
                <w:color w:val="auto"/>
                <w:w w:val="97"/>
              </w:rPr>
              <w:t>Made By</w:t>
            </w:r>
          </w:p>
        </w:tc>
        <w:tc>
          <w:tcPr>
            <w:tcW w:w="0" w:type="dxa"/>
            <w:vAlign w:val="bottom"/>
          </w:tcPr>
          <w:p>
            <w:pPr>
              <w:spacing w:after="0"/>
              <w:rPr>
                <w:sz w:val="1"/>
                <w:szCs w:val="1"/>
                <w:color w:val="auto"/>
              </w:rPr>
            </w:pPr>
          </w:p>
        </w:tc>
      </w:tr>
      <w:tr>
        <w:trPr>
          <w:trHeight w:val="27"/>
        </w:trPr>
        <w:tc>
          <w:tcPr>
            <w:tcW w:w="30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58" w:name="page159"/>
    <w:bookmarkEnd w:id="158"/>
    <w:p>
      <w:pPr>
        <w:ind w:left="10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120" w:firstLine="881"/>
        <w:spacing w:after="0" w:line="272" w:lineRule="auto"/>
        <w:rPr>
          <w:sz w:val="20"/>
          <w:szCs w:val="20"/>
          <w:color w:val="auto"/>
        </w:rPr>
      </w:pPr>
      <w:r>
        <w:rPr>
          <w:rFonts w:ascii="Arial" w:cs="Arial" w:eastAsia="Arial" w:hAnsi="Arial"/>
          <w:sz w:val="17"/>
          <w:szCs w:val="17"/>
          <w:color w:val="auto"/>
        </w:rPr>
        <w:t>The undersigned,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refers to the 3-Year Revolving Credit Agreement dated as of January 14, 2019,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and the other agents named therein. Capitalized terms used herein and not otherwise defined herein shall have the meanings assigned to such terms in the Credit Agreement. The Company hereby give you notice pursuant to Section 2.2 of the Credit Agreement that it requests an Extension of Credit under the Credit Agreement, and in connection sets forth below the terms on which such Extension of Credit is requested to be made:</w:t>
      </w:r>
    </w:p>
    <w:p>
      <w:pPr>
        <w:spacing w:after="0" w:line="191" w:lineRule="exact"/>
        <w:rPr>
          <w:sz w:val="20"/>
          <w:szCs w:val="20"/>
          <w:color w:val="auto"/>
        </w:rPr>
      </w:pPr>
    </w:p>
    <w:p>
      <w:pPr>
        <w:ind w:left="580" w:hanging="576"/>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(which is a Business Day)</w:t>
            </w:r>
            <w:r>
              <w:rPr>
                <w:rFonts w:ascii="Arial" w:cs="Arial" w:eastAsia="Arial" w:hAnsi="Arial"/>
                <w:sz w:val="15"/>
                <w:szCs w:val="15"/>
                <w:color w:val="auto"/>
              </w:rPr>
              <w:t>1</w:t>
            </w:r>
          </w:p>
        </w:tc>
        <w:tc>
          <w:tcPr>
            <w:tcW w:w="4500" w:type="dxa"/>
            <w:vAlign w:val="bottom"/>
          </w:tcPr>
          <w:p>
            <w:pPr>
              <w:jc w:val="right"/>
              <w:spacing w:after="0"/>
              <w:rPr>
                <w:sz w:val="20"/>
                <w:szCs w:val="20"/>
                <w:color w:val="auto"/>
              </w:rPr>
            </w:pPr>
            <w:r>
              <w:rPr>
                <w:rFonts w:ascii="Arial" w:cs="Arial" w:eastAsia="Arial" w:hAnsi="Arial"/>
                <w:sz w:val="18"/>
                <w:szCs w:val="18"/>
                <w:color w:val="auto"/>
              </w:rPr>
              <w:t>___________________</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6120" w:type="dxa"/>
            <w:vAlign w:val="bottom"/>
          </w:tcPr>
          <w:p>
            <w:pPr>
              <w:ind w:left="180"/>
              <w:spacing w:after="0"/>
              <w:rPr>
                <w:sz w:val="20"/>
                <w:szCs w:val="20"/>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2</w:t>
            </w:r>
          </w:p>
        </w:tc>
        <w:tc>
          <w:tcPr>
            <w:tcW w:w="4500" w:type="dxa"/>
            <w:vAlign w:val="bottom"/>
          </w:tcPr>
          <w:p>
            <w:pPr>
              <w:jc w:val="right"/>
              <w:spacing w:after="0"/>
              <w:rPr>
                <w:sz w:val="20"/>
                <w:szCs w:val="20"/>
                <w:color w:val="auto"/>
              </w:rPr>
            </w:pPr>
            <w:r>
              <w:rPr>
                <w:rFonts w:ascii="Arial" w:cs="Arial" w:eastAsia="Arial" w:hAnsi="Arial"/>
                <w:sz w:val="18"/>
                <w:szCs w:val="18"/>
                <w:color w:val="auto"/>
              </w:rPr>
              <w:t>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440" w:right="300" w:hanging="436"/>
        <w:spacing w:after="0" w:line="255" w:lineRule="auto"/>
        <w:tabs>
          <w:tab w:leader="none" w:pos="44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Borrowing Request to be delivered to the Administrative Agent prior to (a) in the case of Eurocurrency Loans, 1:00 P.M., New York City time, three Business Days prior to the requested Borrowing Date or (b) in the case of ABR Loans, 1:00 P.M., New York City time, on the date of the proposed borrowing.</w:t>
      </w:r>
    </w:p>
    <w:p>
      <w:pPr>
        <w:spacing w:after="0" w:line="2" w:lineRule="exact"/>
        <w:rPr>
          <w:sz w:val="20"/>
          <w:szCs w:val="20"/>
          <w:color w:val="auto"/>
        </w:rPr>
      </w:pPr>
    </w:p>
    <w:p>
      <w:pPr>
        <w:ind w:left="440" w:right="280" w:hanging="436"/>
        <w:spacing w:after="0" w:line="262" w:lineRule="auto"/>
        <w:tabs>
          <w:tab w:leader="none" w:pos="4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Each borrowing shall be in an amount equal to $25 million (or, if the Total Available Commitments at such time are less than $25 million, such lesser amount) or a whole multiple of $5 million in excess thereof.</w:t>
      </w:r>
    </w:p>
    <w:p>
      <w:pPr>
        <w:sectPr>
          <w:pgSz w:w="11900" w:h="16838" w:orient="portrait"/>
          <w:cols w:equalWidth="0" w:num="1">
            <w:col w:w="11020"/>
          </w:cols>
          <w:pgMar w:left="440" w:top="270" w:right="4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7780" w:type="dxa"/>
            <w:vAlign w:val="bottom"/>
          </w:tcPr>
          <w:p>
            <w:pPr>
              <w:ind w:left="160"/>
              <w:spacing w:after="0"/>
              <w:rPr>
                <w:sz w:val="20"/>
                <w:szCs w:val="20"/>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3</w:t>
            </w:r>
          </w:p>
        </w:tc>
        <w:tc>
          <w:tcPr>
            <w:tcW w:w="2820" w:type="dxa"/>
            <w:vAlign w:val="bottom"/>
          </w:tcPr>
          <w:p>
            <w:pPr>
              <w:jc w:val="right"/>
              <w:spacing w:after="0"/>
              <w:rPr>
                <w:sz w:val="20"/>
                <w:szCs w:val="20"/>
                <w:color w:val="auto"/>
              </w:rPr>
            </w:pPr>
            <w:r>
              <w:rPr>
                <w:rFonts w:ascii="Arial" w:cs="Arial" w:eastAsia="Arial" w:hAnsi="Arial"/>
                <w:sz w:val="18"/>
                <w:szCs w:val="18"/>
                <w:color w:val="auto"/>
              </w:rPr>
              <w:t>___________________</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7780" w:type="dxa"/>
            <w:vAlign w:val="bottom"/>
          </w:tcPr>
          <w:p>
            <w:pPr>
              <w:ind w:left="160"/>
              <w:spacing w:after="0"/>
              <w:rPr>
                <w:sz w:val="20"/>
                <w:szCs w:val="20"/>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4</w:t>
            </w:r>
          </w:p>
        </w:tc>
        <w:tc>
          <w:tcPr>
            <w:tcW w:w="2820" w:type="dxa"/>
            <w:vAlign w:val="bottom"/>
          </w:tcPr>
          <w:p>
            <w:pPr>
              <w:jc w:val="right"/>
              <w:spacing w:after="0"/>
              <w:rPr>
                <w:sz w:val="20"/>
                <w:szCs w:val="20"/>
                <w:color w:val="auto"/>
              </w:rPr>
            </w:pPr>
            <w:r>
              <w:rPr>
                <w:rFonts w:ascii="Arial" w:cs="Arial" w:eastAsia="Arial" w:hAnsi="Arial"/>
                <w:sz w:val="18"/>
                <w:szCs w:val="18"/>
                <w:color w:val="auto"/>
              </w:rPr>
              <w:t>___________________</w:t>
            </w: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7780" w:type="dxa"/>
            <w:vAlign w:val="bottom"/>
          </w:tcPr>
          <w:p>
            <w:pPr>
              <w:ind w:left="160"/>
              <w:spacing w:after="0"/>
              <w:rPr>
                <w:sz w:val="20"/>
                <w:szCs w:val="20"/>
                <w:color w:val="auto"/>
              </w:rPr>
            </w:pPr>
            <w:r>
              <w:rPr>
                <w:rFonts w:ascii="Arial" w:cs="Arial" w:eastAsia="Arial" w:hAnsi="Arial"/>
                <w:sz w:val="18"/>
                <w:szCs w:val="18"/>
                <w:color w:val="auto"/>
              </w:rPr>
              <w:t>Funds are requested to be disbursed to the Company’s account with</w:t>
            </w:r>
          </w:p>
        </w:tc>
        <w:tc>
          <w:tcPr>
            <w:tcW w:w="2820" w:type="dxa"/>
            <w:vAlign w:val="bottom"/>
          </w:tcPr>
          <w:p>
            <w:pPr>
              <w:jc w:val="right"/>
              <w:spacing w:after="0"/>
              <w:rPr>
                <w:sz w:val="20"/>
                <w:szCs w:val="20"/>
                <w:color w:val="auto"/>
              </w:rPr>
            </w:pPr>
            <w:r>
              <w:rPr>
                <w:rFonts w:ascii="Arial" w:cs="Arial" w:eastAsia="Arial" w:hAnsi="Arial"/>
                <w:sz w:val="18"/>
                <w:szCs w:val="18"/>
                <w:color w:val="auto"/>
              </w:rPr>
              <w:t>___________________</w:t>
            </w:r>
          </w:p>
        </w:tc>
      </w:tr>
      <w:tr>
        <w:trPr>
          <w:trHeight w:val="230"/>
        </w:trPr>
        <w:tc>
          <w:tcPr>
            <w:tcW w:w="4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_____________ (Account No. _________________ ).</w:t>
            </w:r>
          </w:p>
        </w:tc>
        <w:tc>
          <w:tcPr>
            <w:tcW w:w="282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7780" w:type="dxa"/>
            <w:vAlign w:val="bottom"/>
          </w:tcPr>
          <w:p>
            <w:pPr>
              <w:ind w:left="3500"/>
              <w:spacing w:after="0"/>
              <w:rPr>
                <w:sz w:val="20"/>
                <w:szCs w:val="20"/>
                <w:color w:val="auto"/>
              </w:rPr>
            </w:pPr>
            <w:r>
              <w:rPr>
                <w:rFonts w:ascii="Arial" w:cs="Arial" w:eastAsia="Arial" w:hAnsi="Arial"/>
                <w:sz w:val="18"/>
                <w:szCs w:val="18"/>
                <w:color w:val="auto"/>
              </w:rPr>
              <w:t>[Remainder of page intentionally left blank]</w:t>
            </w: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116"/>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22" w:lineRule="exact"/>
        <w:rPr>
          <w:sz w:val="20"/>
          <w:szCs w:val="20"/>
          <w:color w:val="auto"/>
        </w:rPr>
      </w:pPr>
    </w:p>
    <w:p>
      <w:pPr>
        <w:ind w:left="440" w:hanging="436"/>
        <w:spacing w:after="0"/>
        <w:tabs>
          <w:tab w:leader="none" w:pos="440" w:val="left"/>
        </w:tabs>
        <w:numPr>
          <w:ilvl w:val="0"/>
          <w:numId w:val="117"/>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1020"/>
          </w:cols>
          <w:pgMar w:left="440" w:top="382" w:right="439" w:bottom="1440" w:gutter="0" w:footer="0" w:header="0"/>
        </w:sectPr>
      </w:pPr>
    </w:p>
    <w:bookmarkStart w:id="160" w:name="page161"/>
    <w:bookmarkEnd w:id="160"/>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5</w:t>
      </w:r>
      <w:r>
        <w:rPr>
          <w:rFonts w:ascii="Arial" w:cs="Arial" w:eastAsia="Arial" w:hAnsi="Arial"/>
          <w:sz w:val="17"/>
          <w:szCs w:val="17"/>
          <w:color w:val="auto"/>
        </w:rPr>
        <w:t xml:space="preserve"> of the Credit Agreement have been satisfied.</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sectPr>
      <w:pgSz w:w="11900" w:h="16838" w:orient="portrait"/>
      <w:cols w:equalWidth="0" w:num="1">
        <w:col w:w="10800"/>
      </w:cols>
      <w:pgMar w:left="4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A"/>
      <w:numFmt w:val="bullet"/>
      <w:start w:val="1"/>
    </w:lvl>
  </w:abstractNum>
  <w:abstractNum w:abstractNumId="3">
    <w:nsid w:val="10233C99"/>
    <w:multiLevelType w:val="hybridMultilevel"/>
    <w:lvl w:ilvl="0">
      <w:lvlJc w:val="left"/>
      <w:lvlText w:val="B"/>
      <w:numFmt w:val="bullet"/>
      <w:start w:val="1"/>
    </w:lvl>
  </w:abstractNum>
  <w:abstractNum w:abstractNumId="4">
    <w:nsid w:val="3F6AB60F"/>
    <w:multiLevelType w:val="hybridMultilevel"/>
    <w:lvl w:ilvl="0">
      <w:lvlJc w:val="left"/>
      <w:lvlText w:val="E"/>
      <w:numFmt w:val="bullet"/>
      <w:start w:val="1"/>
    </w:lvl>
  </w:abstractNum>
  <w:abstractNum w:abstractNumId="5">
    <w:nsid w:val="61574095"/>
    <w:multiLevelType w:val="hybridMultilevel"/>
    <w:lvl w:ilvl="0">
      <w:lvlJc w:val="left"/>
      <w:lvlText w:val="F"/>
      <w:numFmt w:val="bullet"/>
      <w:start w:val="1"/>
    </w:lvl>
  </w:abstractNum>
  <w:abstractNum w:abstractNumId="6">
    <w:nsid w:val="7E0C57B1"/>
    <w:multiLevelType w:val="hybridMultilevel"/>
    <w:lvl w:ilvl="0">
      <w:lvlJc w:val="left"/>
      <w:lvlText w:val="G"/>
      <w:numFmt w:val="bullet"/>
      <w:start w:val="1"/>
    </w:lvl>
  </w:abstractNum>
  <w:abstractNum w:abstractNumId="7">
    <w:nsid w:val="77AE35EB"/>
    <w:multiLevelType w:val="hybridMultilevel"/>
    <w:lvl w:ilvl="0">
      <w:lvlJc w:val="left"/>
      <w:lvlText w:val="(%1)"/>
      <w:numFmt w:val="upperLetter"/>
      <w:start w:val="1"/>
    </w:lvl>
  </w:abstractNum>
  <w:abstractNum w:abstractNumId="8">
    <w:nsid w:val="579BE4F1"/>
    <w:multiLevelType w:val="hybridMultilevel"/>
    <w:lvl w:ilvl="0">
      <w:lvlJc w:val="left"/>
      <w:lvlText w:val="(%1)"/>
      <w:numFmt w:val="upperLetter"/>
      <w:start w:val="3"/>
    </w:lvl>
  </w:abstractNum>
  <w:abstractNum w:abstractNumId="9">
    <w:nsid w:val="310C50B3"/>
    <w:multiLevelType w:val="hybridMultilevel"/>
    <w:lvl w:ilvl="0">
      <w:lvlJc w:val="left"/>
      <w:lvlText w:val="(%1)"/>
      <w:numFmt w:val="lowerLetter"/>
      <w:start w:val="2"/>
    </w:lvl>
  </w:abstractNum>
  <w:abstractNum w:abstractNumId="10">
    <w:nsid w:val="5FF87E05"/>
    <w:multiLevelType w:val="hybridMultilevel"/>
    <w:lvl w:ilvl="0">
      <w:lvlJc w:val="left"/>
      <w:lvlText w:val="(%1)"/>
      <w:numFmt w:val="lowerLetter"/>
      <w:start w:val="1"/>
    </w:lvl>
  </w:abstractNum>
  <w:abstractNum w:abstractNumId="11">
    <w:nsid w:val="2F305DEF"/>
    <w:multiLevelType w:val="hybridMultilevel"/>
    <w:lvl w:ilvl="0">
      <w:lvlJc w:val="left"/>
      <w:lvlText w:val="(%1)"/>
      <w:numFmt w:val="lowerLetter"/>
      <w:start w:val="2"/>
    </w:lvl>
  </w:abstractNum>
  <w:abstractNum w:abstractNumId="12">
    <w:nsid w:val="25A70BF7"/>
    <w:multiLevelType w:val="hybridMultilevel"/>
    <w:lvl w:ilvl="0">
      <w:lvlJc w:val="left"/>
      <w:lvlText w:val="%1"/>
      <w:numFmt w:val="lowerRoman"/>
      <w:start w:val="1"/>
    </w:lvl>
    <w:lvl w:ilvl="1">
      <w:lvlJc w:val="left"/>
      <w:lvlText w:val="(%2)"/>
      <w:numFmt w:val="lowerLetter"/>
      <w:start w:val="10"/>
    </w:lvl>
  </w:abstractNum>
  <w:abstractNum w:abstractNumId="13">
    <w:nsid w:val="1DBABF00"/>
    <w:multiLevelType w:val="hybridMultilevel"/>
    <w:lvl w:ilvl="0">
      <w:lvlJc w:val="left"/>
      <w:lvlText w:val="(%1)"/>
      <w:numFmt w:val="lowerRoman"/>
      <w:start w:val="6"/>
    </w:lvl>
    <w:lvl w:ilvl="1">
      <w:lvlJc w:val="left"/>
      <w:lvlText w:val="%2"/>
      <w:numFmt w:val="lowerLetter"/>
      <w:start w:val="1"/>
    </w:lvl>
  </w:abstractNum>
  <w:abstractNum w:abstractNumId="14">
    <w:nsid w:val="4AD084E9"/>
    <w:multiLevelType w:val="hybridMultilevel"/>
    <w:lvl w:ilvl="0">
      <w:lvlJc w:val="left"/>
      <w:lvlText w:val="(%1)"/>
      <w:numFmt w:val="lowerLetter"/>
      <w:start w:val="18"/>
    </w:lvl>
  </w:abstractNum>
  <w:abstractNum w:abstractNumId="15">
    <w:nsid w:val="1F48EAA1"/>
    <w:multiLevelType w:val="hybridMultilevel"/>
    <w:lvl w:ilvl="0">
      <w:lvlJc w:val="left"/>
      <w:lvlText w:val="%1"/>
      <w:numFmt w:val="lowerLetter"/>
      <w:start w:val="1"/>
    </w:lvl>
    <w:lvl w:ilvl="1">
      <w:lvlJc w:val="left"/>
      <w:lvlText w:val="(%2)"/>
      <w:numFmt w:val="lowerLetter"/>
      <w:start w:val="2"/>
    </w:lvl>
  </w:abstractNum>
  <w:abstractNum w:abstractNumId="16">
    <w:nsid w:val="1381823A"/>
    <w:multiLevelType w:val="hybridMultilevel"/>
    <w:lvl w:ilvl="0">
      <w:lvlJc w:val="left"/>
      <w:lvlText w:val="(%1)"/>
      <w:numFmt w:val="lowerLetter"/>
      <w:start w:val="9"/>
    </w:lvl>
    <w:lvl w:ilvl="1">
      <w:lvlJc w:val="left"/>
      <w:lvlText w:val="(%2)"/>
      <w:numFmt w:val="lowerLetter"/>
      <w:start w:val="3"/>
    </w:lvl>
  </w:abstractNum>
  <w:abstractNum w:abstractNumId="17">
    <w:nsid w:val="5DB70AE5"/>
    <w:multiLevelType w:val="hybridMultilevel"/>
    <w:lvl w:ilvl="0">
      <w:lvlJc w:val="left"/>
      <w:lvlText w:val="(%1)"/>
      <w:numFmt w:val="lowerLetter"/>
      <w:start w:val="1"/>
    </w:lvl>
  </w:abstractNum>
  <w:abstractNum w:abstractNumId="18">
    <w:nsid w:val="100F8FCA"/>
    <w:multiLevelType w:val="hybridMultilevel"/>
    <w:lvl w:ilvl="0">
      <w:lvlJc w:val="left"/>
      <w:lvlText w:val="(%1)"/>
      <w:numFmt w:val="lowerLetter"/>
      <w:start w:val="2"/>
    </w:lvl>
  </w:abstractNum>
  <w:abstractNum w:abstractNumId="19">
    <w:nsid w:val="6590700B"/>
    <w:multiLevelType w:val="hybridMultilevel"/>
    <w:lvl w:ilvl="0">
      <w:lvlJc w:val="left"/>
      <w:lvlText w:val="(%1)"/>
      <w:numFmt w:val="lowerLetter"/>
      <w:start w:val="2"/>
    </w:lvl>
  </w:abstractNum>
  <w:abstractNum w:abstractNumId="20">
    <w:nsid w:val="15014ACB"/>
    <w:multiLevelType w:val="hybridMultilevel"/>
    <w:lvl w:ilvl="0">
      <w:lvlJc w:val="left"/>
      <w:lvlText w:val="(%1)"/>
      <w:numFmt w:val="lowerLetter"/>
      <w:start w:val="4"/>
    </w:lvl>
  </w:abstractNum>
  <w:abstractNum w:abstractNumId="21">
    <w:nsid w:val="5F5E7FD0"/>
    <w:multiLevelType w:val="hybridMultilevel"/>
    <w:lvl w:ilvl="0">
      <w:lvlJc w:val="left"/>
      <w:lvlText w:val="(%1)"/>
      <w:numFmt w:val="lowerLetter"/>
      <w:start w:val="2"/>
    </w:lvl>
  </w:abstractNum>
  <w:abstractNum w:abstractNumId="22">
    <w:nsid w:val="98A3148"/>
    <w:multiLevelType w:val="hybridMultilevel"/>
    <w:lvl w:ilvl="0">
      <w:lvlJc w:val="left"/>
      <w:lvlText w:val="(%1)"/>
      <w:numFmt w:val="lowerLetter"/>
      <w:start w:val="25"/>
    </w:lvl>
    <w:lvl w:ilvl="1">
      <w:lvlJc w:val="left"/>
      <w:lvlText w:val="(%2)"/>
      <w:numFmt w:val="lowerLetter"/>
      <w:start w:val="2"/>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lowerLetter"/>
      <w:start w:val="2"/>
    </w:lvl>
  </w:abstractNum>
  <w:abstractNum w:abstractNumId="25">
    <w:nsid w:val="42C296BD"/>
    <w:multiLevelType w:val="hybridMultilevel"/>
    <w:lvl w:ilvl="0">
      <w:lvlJc w:val="left"/>
      <w:lvlText w:val="(%1)"/>
      <w:numFmt w:val="lowerLetter"/>
      <w:start w:val="2"/>
    </w:lvl>
  </w:abstractNum>
  <w:abstractNum w:abstractNumId="26">
    <w:nsid w:val="168E121F"/>
    <w:multiLevelType w:val="hybridMultilevel"/>
    <w:lvl w:ilvl="0">
      <w:lvlJc w:val="left"/>
      <w:lvlText w:val="(%1)"/>
      <w:numFmt w:val="lowerLetter"/>
      <w:start w:val="2"/>
    </w:lvl>
  </w:abstractNum>
  <w:abstractNum w:abstractNumId="27">
    <w:nsid w:val="1EBA5D23"/>
    <w:multiLevelType w:val="hybridMultilevel"/>
    <w:lvl w:ilvl="0">
      <w:lvlJc w:val="left"/>
      <w:lvlText w:val="(%1)"/>
      <w:numFmt w:val="lowerRoman"/>
      <w:start w:val="1"/>
    </w:lvl>
  </w:abstractNum>
  <w:abstractNum w:abstractNumId="28">
    <w:nsid w:val="661E3F1E"/>
    <w:multiLevelType w:val="hybridMultilevel"/>
    <w:lvl w:ilvl="0">
      <w:lvlJc w:val="left"/>
      <w:lvlText w:val="%1"/>
      <w:numFmt w:val="lowerLetter"/>
      <w:start w:val="1"/>
    </w:lvl>
    <w:lvl w:ilvl="1">
      <w:lvlJc w:val="left"/>
      <w:lvlText w:val="(%2)"/>
      <w:numFmt w:val="lowerLetter"/>
      <w:start w:val="2"/>
    </w:lvl>
  </w:abstractNum>
  <w:abstractNum w:abstractNumId="29">
    <w:nsid w:val="5DC79EA8"/>
    <w:multiLevelType w:val="hybridMultilevel"/>
    <w:lvl w:ilvl="0">
      <w:lvlJc w:val="left"/>
      <w:lvlText w:val="(%1)"/>
      <w:numFmt w:val="lowerLetter"/>
      <w:start w:val="9"/>
    </w:lvl>
    <w:lvl w:ilvl="1">
      <w:lvlJc w:val="left"/>
      <w:lvlText w:val="%2"/>
      <w:numFmt w:val="lowerLetter"/>
      <w:start w:val="1"/>
    </w:lvl>
  </w:abstractNum>
  <w:abstractNum w:abstractNumId="30">
    <w:nsid w:val="540A471C"/>
    <w:multiLevelType w:val="hybridMultilevel"/>
    <w:lvl w:ilvl="0">
      <w:lvlJc w:val="left"/>
      <w:lvlText w:val="%1"/>
      <w:numFmt w:val="lowerLetter"/>
      <w:start w:val="1"/>
    </w:lvl>
    <w:lvl w:ilvl="1">
      <w:lvlJc w:val="left"/>
      <w:lvlText w:val="(%2)"/>
      <w:numFmt w:val="lowerLetter"/>
      <w:start w:val="2"/>
    </w:lvl>
  </w:abstractNum>
  <w:abstractNum w:abstractNumId="31">
    <w:nsid w:val="7BD3EE7B"/>
    <w:multiLevelType w:val="hybridMultilevel"/>
    <w:lvl w:ilvl="0">
      <w:lvlJc w:val="left"/>
      <w:lvlText w:val="(%1)"/>
      <w:numFmt w:val="lowerLetter"/>
      <w:start w:val="9"/>
    </w:lvl>
    <w:lvl w:ilvl="1">
      <w:lvlJc w:val="left"/>
      <w:lvlText w:val="(%2)"/>
      <w:numFmt w:val="lowerLetter"/>
      <w:start w:val="5"/>
    </w:lvl>
  </w:abstractNum>
  <w:abstractNum w:abstractNumId="32">
    <w:nsid w:val="51D9C564"/>
    <w:multiLevelType w:val="hybridMultilevel"/>
    <w:lvl w:ilvl="0">
      <w:lvlJc w:val="left"/>
      <w:lvlText w:val="(%1)"/>
      <w:numFmt w:val="lowerLetter"/>
      <w:start w:val="6"/>
    </w:lvl>
  </w:abstractNum>
  <w:abstractNum w:abstractNumId="33">
    <w:nsid w:val="613EFDC5"/>
    <w:multiLevelType w:val="hybridMultilevel"/>
    <w:lvl w:ilvl="0">
      <w:lvlJc w:val="left"/>
      <w:lvlText w:val="(%1)"/>
      <w:numFmt w:val="lowerRoman"/>
      <w:start w:val="1"/>
    </w:lvl>
  </w:abstractNum>
  <w:abstractNum w:abstractNumId="34">
    <w:nsid w:val="BF72B14"/>
    <w:multiLevelType w:val="hybridMultilevel"/>
    <w:lvl w:ilvl="0">
      <w:lvlJc w:val="left"/>
      <w:lvlText w:val="(%1)"/>
      <w:numFmt w:val="lowerLetter"/>
      <w:start w:val="2"/>
    </w:lvl>
  </w:abstractNum>
  <w:abstractNum w:abstractNumId="35">
    <w:nsid w:val="11447B73"/>
    <w:multiLevelType w:val="hybridMultilevel"/>
    <w:lvl w:ilvl="0">
      <w:lvlJc w:val="left"/>
      <w:lvlText w:val="(%1)"/>
      <w:numFmt w:val="lowerLetter"/>
      <w:start w:val="3"/>
    </w:lvl>
  </w:abstractNum>
  <w:abstractNum w:abstractNumId="36">
    <w:nsid w:val="42963E5A"/>
    <w:multiLevelType w:val="hybridMultilevel"/>
    <w:lvl w:ilvl="0">
      <w:lvlJc w:val="left"/>
      <w:lvlText w:val="(%1)"/>
      <w:numFmt w:val="lowerLetter"/>
      <w:start w:val="2"/>
    </w:lvl>
  </w:abstractNum>
  <w:abstractNum w:abstractNumId="37">
    <w:nsid w:val="A0382C5"/>
    <w:multiLevelType w:val="hybridMultilevel"/>
    <w:lvl w:ilvl="0">
      <w:lvlJc w:val="left"/>
      <w:lvlText w:val="(%1)"/>
      <w:numFmt w:val="lowerLetter"/>
      <w:start w:val="5"/>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Letter"/>
      <w:start w:val="2"/>
    </w:lvl>
  </w:abstractNum>
  <w:abstractNum w:abstractNumId="40">
    <w:nsid w:val="3B0FD379"/>
    <w:multiLevelType w:val="hybridMultilevel"/>
    <w:lvl w:ilvl="0">
      <w:lvlJc w:val="left"/>
      <w:lvlText w:val="%1"/>
      <w:numFmt w:val="lowerLetter"/>
      <w:start w:val="1"/>
    </w:lvl>
    <w:lvl w:ilvl="1">
      <w:lvlJc w:val="left"/>
      <w:lvlText w:val="(%2)"/>
      <w:numFmt w:val="lowerLetter"/>
      <w:start w:val="1"/>
    </w:lvl>
  </w:abstractNum>
  <w:abstractNum w:abstractNumId="41">
    <w:nsid w:val="68EB2F63"/>
    <w:multiLevelType w:val="hybridMultilevel"/>
    <w:lvl w:ilvl="0">
      <w:lvlJc w:val="left"/>
      <w:lvlText w:val="(%1)"/>
      <w:numFmt w:val="lowerLetter"/>
      <w:start w:val="9"/>
    </w:lvl>
    <w:lvl w:ilvl="1">
      <w:lvlJc w:val="left"/>
      <w:lvlText w:val="%2"/>
      <w:numFmt w:val="lowerLetter"/>
      <w:start w:val="1"/>
    </w:lvl>
  </w:abstractNum>
  <w:abstractNum w:abstractNumId="42">
    <w:nsid w:val="4962813B"/>
    <w:multiLevelType w:val="hybridMultilevel"/>
    <w:lvl w:ilvl="0">
      <w:lvlJc w:val="left"/>
      <w:lvlText w:val="%1"/>
      <w:numFmt w:val="lowerLetter"/>
      <w:start w:val="1"/>
    </w:lvl>
    <w:lvl w:ilvl="1">
      <w:lvlJc w:val="left"/>
      <w:lvlText w:val="(%2)"/>
      <w:numFmt w:val="lowerLetter"/>
      <w:start w:val="4"/>
    </w:lvl>
  </w:abstractNum>
  <w:abstractNum w:abstractNumId="43">
    <w:nsid w:val="60B6DF70"/>
    <w:multiLevelType w:val="hybridMultilevel"/>
    <w:lvl w:ilvl="0">
      <w:lvlJc w:val="left"/>
      <w:lvlText w:val="(%1)"/>
      <w:numFmt w:val="lowerLetter"/>
      <w:start w:val="35"/>
    </w:lvl>
    <w:lvl w:ilvl="1">
      <w:lvlJc w:val="left"/>
      <w:lvlText w:val="(%2)"/>
      <w:numFmt w:val="lowerLetter"/>
      <w:start w:val="5"/>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1"/>
    </w:lvl>
    <w:lvl w:ilvl="1">
      <w:lvlJc w:val="left"/>
      <w:lvlText w:val="(%2)"/>
      <w:numFmt w:val="lowerLetter"/>
      <w:start w:val="2"/>
    </w:lvl>
  </w:abstractNum>
  <w:abstractNum w:abstractNumId="46">
    <w:nsid w:val="7FFFCA11"/>
    <w:multiLevelType w:val="hybridMultilevel"/>
    <w:lvl w:ilvl="0">
      <w:lvlJc w:val="left"/>
      <w:lvlText w:val="(%1)"/>
      <w:numFmt w:val="lowerLetter"/>
      <w:start w:val="23"/>
    </w:lvl>
    <w:lvl w:ilvl="1">
      <w:lvlJc w:val="left"/>
      <w:lvlText w:val="%2"/>
      <w:numFmt w:val="lowerLetter"/>
      <w:start w:val="1"/>
    </w:lvl>
  </w:abstractNum>
  <w:abstractNum w:abstractNumId="47">
    <w:nsid w:val="1A27709E"/>
    <w:multiLevelType w:val="hybridMultilevel"/>
    <w:lvl w:ilvl="0">
      <w:lvlJc w:val="left"/>
      <w:lvlText w:val="(%1)"/>
      <w:numFmt w:val="lowerLetter"/>
      <w:start w:val="3"/>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upperLetter"/>
      <w:start w:val="1"/>
    </w:lvl>
    <w:lvl w:ilvl="1">
      <w:lvlJc w:val="left"/>
      <w:lvlText w:val="(%2)"/>
      <w:numFmt w:val="lowerLetter"/>
      <w:start w:val="1"/>
    </w:lvl>
  </w:abstractNum>
  <w:abstractNum w:abstractNumId="50">
    <w:nsid w:val="7FB7E0AA"/>
    <w:multiLevelType w:val="hybridMultilevel"/>
    <w:lvl w:ilvl="0">
      <w:lvlJc w:val="left"/>
      <w:lvlText w:val="(%1)"/>
      <w:numFmt w:val="upperLetter"/>
      <w:start w:val="1"/>
    </w:lvl>
    <w:lvl w:ilvl="1">
      <w:lvlJc w:val="left"/>
      <w:lvlText w:val="(%2)"/>
      <w:numFmt w:val="lowerLetter"/>
      <w:start w:val="2"/>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2"/>
    </w:lvl>
  </w:abstractNum>
  <w:abstractNum w:abstractNumId="53">
    <w:nsid w:val="94211F2"/>
    <w:multiLevelType w:val="hybridMultilevel"/>
    <w:lvl w:ilvl="0">
      <w:lvlJc w:val="left"/>
      <w:lvlText w:val="(%1)"/>
      <w:numFmt w:val="lowerRoman"/>
      <w:start w:val="2"/>
    </w:lvl>
  </w:abstractNum>
  <w:abstractNum w:abstractNumId="54">
    <w:nsid w:val="885E1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55">
    <w:nsid w:val="76272110"/>
    <w:multiLevelType w:val="hybridMultilevel"/>
    <w:lvl w:ilvl="0">
      <w:lvlJc w:val="left"/>
      <w:lvlText w:val="§"/>
      <w:numFmt w:val="bullet"/>
      <w:start w:val="1"/>
    </w:lvl>
    <w:lvl w:ilvl="1">
      <w:lvlJc w:val="left"/>
      <w:lvlText w:val="(%2)"/>
      <w:numFmt w:val="lowerRoman"/>
      <w:start w:val="1"/>
    </w:lvl>
  </w:abstractNum>
  <w:abstractNum w:abstractNumId="56">
    <w:nsid w:val="4C04A8AF"/>
    <w:multiLevelType w:val="hybridMultilevel"/>
    <w:lvl w:ilvl="0">
      <w:lvlJc w:val="left"/>
      <w:lvlText w:val="§"/>
      <w:numFmt w:val="bullet"/>
      <w:start w:val="1"/>
    </w:lvl>
    <w:lvl w:ilvl="1">
      <w:lvlJc w:val="left"/>
      <w:lvlText w:val="(%2)"/>
      <w:numFmt w:val="lowerRoman"/>
      <w:start w:val="3"/>
    </w:lvl>
  </w:abstractNum>
  <w:abstractNum w:abstractNumId="57">
    <w:nsid w:val="1716703B"/>
    <w:multiLevelType w:val="hybridMultilevel"/>
    <w:lvl w:ilvl="0">
      <w:lvlJc w:val="left"/>
      <w:lvlText w:val="(%1)"/>
      <w:numFmt w:val="lowerLetter"/>
      <w:start w:val="3"/>
    </w:lvl>
  </w:abstractNum>
  <w:abstractNum w:abstractNumId="58">
    <w:nsid w:val="14E17E33"/>
    <w:multiLevelType w:val="hybridMultilevel"/>
    <w:lvl w:ilvl="0">
      <w:lvlJc w:val="left"/>
      <w:lvlText w:val="(%1)"/>
      <w:numFmt w:val="upperLetter"/>
      <w:start w:val="1"/>
    </w:lvl>
  </w:abstractNum>
  <w:abstractNum w:abstractNumId="59">
    <w:nsid w:val="3222E7CD"/>
    <w:multiLevelType w:val="hybridMultilevel"/>
    <w:lvl w:ilvl="0">
      <w:lvlJc w:val="left"/>
      <w:lvlText w:val="(%1)"/>
      <w:numFmt w:val="lowerLetter"/>
      <w:start w:val="2"/>
    </w:lvl>
  </w:abstractNum>
  <w:abstractNum w:abstractNumId="60">
    <w:nsid w:val="74DE0EE3"/>
    <w:multiLevelType w:val="hybridMultilevel"/>
    <w:lvl w:ilvl="0">
      <w:lvlJc w:val="left"/>
      <w:lvlText w:val="(%1)"/>
      <w:numFmt w:val="lowerLetter"/>
      <w:start w:val="2"/>
    </w:lvl>
  </w:abstractNum>
  <w:abstractNum w:abstractNumId="61">
    <w:nsid w:val="68EBC550"/>
    <w:multiLevelType w:val="hybridMultilevel"/>
    <w:lvl w:ilvl="0">
      <w:lvlJc w:val="left"/>
      <w:lvlText w:val="(%1)"/>
      <w:numFmt w:val="lowerLetter"/>
      <w:start w:val="2"/>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1)"/>
      <w:numFmt w:val="lowerLetter"/>
      <w:start w:val="25"/>
    </w:lvl>
  </w:abstractNum>
  <w:abstractNum w:abstractNumId="64">
    <w:nsid w:val="4A2AC315"/>
    <w:multiLevelType w:val="hybridMultilevel"/>
    <w:lvl w:ilvl="0">
      <w:lvlJc w:val="left"/>
      <w:lvlText w:val="(%1)"/>
      <w:numFmt w:val="lowerRoman"/>
      <w:start w:val="2"/>
    </w:lvl>
    <w:lvl w:ilvl="1">
      <w:lvlJc w:val="left"/>
      <w:lvlText w:val="(%2)"/>
      <w:numFmt w:val="upperLetter"/>
      <w:start w:val="1"/>
    </w:lvl>
  </w:abstractNum>
  <w:abstractNum w:abstractNumId="65">
    <w:nsid w:val="39EE015C"/>
    <w:multiLevelType w:val="hybridMultilevel"/>
    <w:lvl w:ilvl="0">
      <w:lvlJc w:val="left"/>
      <w:lvlText w:val="(%1)"/>
      <w:numFmt w:val="lowerRoman"/>
      <w:start w:val="4"/>
    </w:lvl>
    <w:lvl w:ilvl="1">
      <w:lvlJc w:val="left"/>
      <w:lvlText w:val="(%2)"/>
      <w:numFmt w:val="lowerLetter"/>
      <w:start w:val="3"/>
    </w:lvl>
  </w:abstractNum>
  <w:abstractNum w:abstractNumId="66">
    <w:nsid w:val="57FC4FBB"/>
    <w:multiLevelType w:val="hybridMultilevel"/>
    <w:lvl w:ilvl="0">
      <w:lvlJc w:val="left"/>
      <w:lvlText w:val="(%1)"/>
      <w:numFmt w:val="lowerLetter"/>
      <w:start w:val="35"/>
    </w:lvl>
    <w:lvl w:ilvl="1">
      <w:lvlJc w:val="left"/>
      <w:lvlText w:val="%2"/>
      <w:numFmt w:val="lowerLetter"/>
      <w:start w:val="1"/>
    </w:lvl>
  </w:abstractNum>
  <w:abstractNum w:abstractNumId="67">
    <w:nsid w:val="CC1016F"/>
    <w:multiLevelType w:val="hybridMultilevel"/>
    <w:lvl w:ilvl="0">
      <w:lvlJc w:val="left"/>
      <w:lvlText w:val="(%1)"/>
      <w:numFmt w:val="lowerLetter"/>
      <w:start w:val="4"/>
    </w:lvl>
    <w:lvl w:ilvl="1">
      <w:lvlJc w:val="left"/>
      <w:lvlText w:val="%2"/>
      <w:numFmt w:val="lowerLetter"/>
      <w:start w:val="1"/>
    </w:lvl>
  </w:abstractNum>
  <w:abstractNum w:abstractNumId="68">
    <w:nsid w:val="43F18422"/>
    <w:multiLevelType w:val="hybridMultilevel"/>
    <w:lvl w:ilvl="0">
      <w:lvlJc w:val="left"/>
      <w:lvlText w:val="(%1)"/>
      <w:numFmt w:val="lowerRoman"/>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8"/>
    </w:lvl>
  </w:abstractNum>
  <w:abstractNum w:abstractNumId="72">
    <w:nsid w:val="49DA307D"/>
    <w:multiLevelType w:val="hybridMultilevel"/>
    <w:lvl w:ilvl="0">
      <w:lvlJc w:val="left"/>
      <w:lvlText w:val="%1"/>
      <w:numFmt w:val="lowerLetter"/>
      <w:start w:val="1"/>
    </w:lvl>
    <w:lvl w:ilvl="1">
      <w:lvlJc w:val="left"/>
      <w:lvlText w:val="(%2)"/>
      <w:numFmt w:val="lowerLetter"/>
      <w:start w:val="1"/>
    </w:lvl>
  </w:abstractNum>
  <w:abstractNum w:abstractNumId="73">
    <w:nsid w:val="7055A5F5"/>
    <w:multiLevelType w:val="hybridMultilevel"/>
    <w:lvl w:ilvl="0">
      <w:lvlJc w:val="left"/>
      <w:lvlText w:val="(%1)"/>
      <w:numFmt w:val="lowerLetter"/>
      <w:start w:val="9"/>
    </w:lvl>
    <w:lvl w:ilvl="1">
      <w:lvlJc w:val="left"/>
      <w:lvlText w:val="%2"/>
      <w:numFmt w:val="lowerLetter"/>
      <w:start w:val="1"/>
    </w:lvl>
  </w:abstractNum>
  <w:abstractNum w:abstractNumId="74">
    <w:nsid w:val="5FB8370B"/>
    <w:multiLevelType w:val="hybridMultilevel"/>
    <w:lvl w:ilvl="0">
      <w:lvlJc w:val="left"/>
      <w:lvlText w:val="(%1)"/>
      <w:numFmt w:val="lowerRoman"/>
      <w:start w:val="2"/>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4"/>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lowerLetter"/>
      <w:start w:val="1"/>
    </w:lvl>
  </w:abstractNum>
  <w:abstractNum w:abstractNumId="84">
    <w:nsid w:val="73A1821B"/>
    <w:multiLevelType w:val="hybridMultilevel"/>
    <w:lvl w:ilvl="0">
      <w:lvlJc w:val="left"/>
      <w:lvlText w:val="(%1)"/>
      <w:numFmt w:val="lowerLetter"/>
      <w:start w:val="3"/>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upperLetter"/>
      <w:start w:val="1"/>
    </w:lvl>
  </w:abstractNum>
  <w:abstractNum w:abstractNumId="88">
    <w:nsid w:val="14FCE74E"/>
    <w:multiLevelType w:val="hybridMultilevel"/>
    <w:lvl w:ilvl="0">
      <w:lvlJc w:val="left"/>
      <w:lvlText w:val="1"/>
      <w:numFmt w:val="bullet"/>
      <w:start w:val="1"/>
    </w:lvl>
  </w:abstractNum>
  <w:abstractNum w:abstractNumId="89">
    <w:nsid w:val="6A3DD3E8"/>
    <w:multiLevelType w:val="hybridMultilevel"/>
    <w:lvl w:ilvl="0">
      <w:lvlJc w:val="left"/>
      <w:lvlText w:val="2"/>
      <w:numFmt w:val="bullet"/>
      <w:start w:val="1"/>
    </w:lvl>
  </w:abstractNum>
  <w:abstractNum w:abstractNumId="90">
    <w:nsid w:val="71C91298"/>
    <w:multiLevelType w:val="hybridMultilevel"/>
    <w:lvl w:ilvl="0">
      <w:lvlJc w:val="left"/>
      <w:lvlText w:val="3"/>
      <w:numFmt w:val="bullet"/>
      <w:start w:val="1"/>
    </w:lvl>
  </w:abstractNum>
  <w:abstractNum w:abstractNumId="91">
    <w:nsid w:val="9DAF632"/>
    <w:multiLevelType w:val="hybridMultilevel"/>
    <w:lvl w:ilvl="0">
      <w:lvlJc w:val="left"/>
      <w:lvlText w:val="%1"/>
      <w:numFmt w:val="decimal"/>
      <w:start w:val="1"/>
    </w:lvl>
    <w:lvl w:ilvl="1">
      <w:lvlJc w:val="left"/>
      <w:lvlText w:val="(%2)"/>
      <w:numFmt w:val="upperLetter"/>
      <w:start w:val="1"/>
    </w:lvl>
  </w:abstractNum>
  <w:abstractNum w:abstractNumId="92">
    <w:nsid w:val="53299938"/>
    <w:multiLevelType w:val="hybridMultilevel"/>
    <w:lvl w:ilvl="0">
      <w:lvlJc w:val="left"/>
      <w:lvlText w:val="2"/>
      <w:numFmt w:val="bullet"/>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1."/>
      <w:numFmt w:val="decimal"/>
      <w:start w:val="4"/>
    </w:lvl>
  </w:abstractNum>
  <w:abstractNum w:abstractNumId="95">
    <w:nsid w:val="1D545C4D"/>
    <w:multiLevelType w:val="hybridMultilevel"/>
    <w:lvl w:ilvl="0">
      <w:lvlJc w:val="left"/>
      <w:lvlText w:val="%1"/>
      <w:numFmt w:val="decimal"/>
      <w:start w:val="1"/>
    </w:lvl>
    <w:lvl w:ilvl="1">
      <w:lvlJc w:val="left"/>
      <w:lvlText w:val="%2."/>
      <w:numFmt w:val="decimal"/>
      <w:start w:val="1"/>
    </w:lvl>
  </w:abstractNum>
  <w:abstractNum w:abstractNumId="96">
    <w:nsid w:val="59ADEA3D"/>
    <w:multiLevelType w:val="hybridMultilevel"/>
    <w:lvl w:ilvl="0">
      <w:lvlJc w:val="left"/>
      <w:lvlText w:val="%1."/>
      <w:numFmt w:val="decimal"/>
      <w:start w:val="2"/>
    </w:lvl>
    <w:lvl w:ilvl="1">
      <w:lvlJc w:val="left"/>
      <w:lvlText w:val="%2"/>
      <w:numFmt w:val="decimal"/>
      <w:start w:val="1"/>
    </w:lvl>
  </w:abstractNum>
  <w:abstractNum w:abstractNumId="97">
    <w:nsid w:val="288F1A34"/>
    <w:multiLevelType w:val="hybridMultilevel"/>
    <w:lvl w:ilvl="0">
      <w:lvlJc w:val="left"/>
      <w:lvlText w:val="%1."/>
      <w:numFmt w:val="decimal"/>
      <w:start w:val="1"/>
    </w:lvl>
  </w:abstractNum>
  <w:abstractNum w:abstractNumId="98">
    <w:nsid w:val="2A155DBC"/>
    <w:multiLevelType w:val="hybridMultilevel"/>
    <w:lvl w:ilvl="0">
      <w:lvlJc w:val="left"/>
      <w:lvlText w:val="%1"/>
      <w:numFmt w:val="lowerLetter"/>
      <w:start w:val="1"/>
    </w:lvl>
    <w:lvl w:ilvl="1">
      <w:lvlJc w:val="left"/>
      <w:lvlText w:val="%2."/>
      <w:numFmt w:val="decimal"/>
      <w:start w:val="2"/>
    </w:lvl>
  </w:abstractNum>
  <w:abstractNum w:abstractNumId="99">
    <w:nsid w:val="1D9F6E5F"/>
    <w:multiLevelType w:val="hybridMultilevel"/>
    <w:lvl w:ilvl="0">
      <w:lvlJc w:val="left"/>
      <w:lvlText w:val="(%1)"/>
      <w:numFmt w:val="lowerLetter"/>
      <w:start w:val="2"/>
    </w:lvl>
    <w:lvl w:ilvl="1">
      <w:lvlJc w:val="left"/>
      <w:lvlText w:val="%2"/>
      <w:numFmt w:val="decimal"/>
      <w:start w:val="1"/>
    </w:lvl>
  </w:abstractNum>
  <w:abstractNum w:abstractNumId="100">
    <w:nsid w:val="97E1B4E"/>
    <w:multiLevelType w:val="hybridMultilevel"/>
    <w:lvl w:ilvl="0">
      <w:lvlJc w:val="left"/>
      <w:lvlText w:val="%1."/>
      <w:numFmt w:val="decimal"/>
      <w:start w:val="4"/>
    </w:lvl>
  </w:abstractNum>
  <w:abstractNum w:abstractNumId="101">
    <w:nsid w:val="51088277"/>
    <w:multiLevelType w:val="hybridMultilevel"/>
    <w:lvl w:ilvl="0">
      <w:lvlJc w:val="left"/>
      <w:lvlText w:val="1"/>
      <w:numFmt w:val="bullet"/>
      <w:start w:val="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bullet"/>
      <w:start w:val="1"/>
    </w:lvl>
  </w:abstractNum>
  <w:abstractNum w:abstractNumId="104">
    <w:nsid w:val="415E286C"/>
    <w:multiLevelType w:val="hybridMultilevel"/>
    <w:lvl w:ilvl="0">
      <w:lvlJc w:val="left"/>
      <w:lvlText w:val="(%1)"/>
      <w:numFmt w:val="lowerRoman"/>
      <w:start w:val="2"/>
    </w:lvl>
  </w:abstractNum>
  <w:abstractNum w:abstractNumId="105">
    <w:nsid w:val="7C58FD05"/>
    <w:multiLevelType w:val="hybridMultilevel"/>
    <w:lvl w:ilvl="0">
      <w:lvlJc w:val="left"/>
      <w:lvlText w:val="%1"/>
      <w:numFmt w:val="decimal"/>
      <w:start w:val="1"/>
    </w:lvl>
    <w:lvl w:ilvl="1">
      <w:lvlJc w:val="left"/>
      <w:lvlText w:val="%2."/>
      <w:numFmt w:val="decimal"/>
      <w:start w:val="1"/>
    </w:lvl>
  </w:abstractNum>
  <w:abstractNum w:abstractNumId="106">
    <w:nsid w:val="23D86AAC"/>
    <w:multiLevelType w:val="hybridMultilevel"/>
    <w:lvl w:ilvl="0">
      <w:lvlJc w:val="left"/>
      <w:lvlText w:val="(%1)"/>
      <w:numFmt w:val="upperLetter"/>
      <w:start w:val="1"/>
    </w:lvl>
  </w:abstractNum>
  <w:abstractNum w:abstractNumId="107">
    <w:nsid w:val="45E6D486"/>
    <w:multiLevelType w:val="hybridMultilevel"/>
    <w:lvl w:ilvl="0">
      <w:lvlJc w:val="left"/>
      <w:lvlText w:val="(%1)"/>
      <w:numFmt w:val="upperLetter"/>
      <w:start w:val="6"/>
    </w:lvl>
  </w:abstractNum>
  <w:abstractNum w:abstractNumId="108">
    <w:nsid w:val="5C10FE21"/>
    <w:multiLevelType w:val="hybridMultilevel"/>
    <w:lvl w:ilvl="0">
      <w:lvlJc w:val="left"/>
      <w:lvlText w:val="1"/>
      <w:numFmt w:val="bullet"/>
      <w:start w:val="1"/>
    </w:lvl>
  </w:abstractNum>
  <w:abstractNum w:abstractNumId="109">
    <w:nsid w:val="E7FFA2B"/>
    <w:multiLevelType w:val="hybridMultilevel"/>
    <w:lvl w:ilvl="0">
      <w:lvlJc w:val="left"/>
      <w:lvlText w:val="(%1)"/>
      <w:numFmt w:val="upperLetter"/>
      <w:start w:val="1"/>
    </w:lvl>
  </w:abstractNum>
  <w:abstractNum w:abstractNumId="110">
    <w:nsid w:val="3C5991AA"/>
    <w:multiLevelType w:val="hybridMultilevel"/>
    <w:lvl w:ilvl="0">
      <w:lvlJc w:val="left"/>
      <w:lvlText w:val="(%1)"/>
      <w:numFmt w:val="upperLetter"/>
      <w:start w:val="6"/>
    </w:lvl>
  </w:abstractNum>
  <w:abstractNum w:abstractNumId="111">
    <w:nsid w:val="4BD8591A"/>
    <w:multiLevelType w:val="hybridMultilevel"/>
    <w:lvl w:ilvl="0">
      <w:lvlJc w:val="left"/>
      <w:lvlText w:val="1"/>
      <w:numFmt w:val="bullet"/>
      <w:start w:val="1"/>
    </w:lvl>
  </w:abstractNum>
  <w:abstractNum w:abstractNumId="112">
    <w:nsid w:val="78DF6A55"/>
    <w:multiLevelType w:val="hybridMultilevel"/>
    <w:lvl w:ilvl="0">
      <w:lvlJc w:val="left"/>
      <w:lvlText w:val="(%1)"/>
      <w:numFmt w:val="upperLetter"/>
      <w:start w:val="1"/>
    </w:lvl>
  </w:abstractNum>
  <w:abstractNum w:abstractNumId="113">
    <w:nsid w:val="39B7AAA2"/>
    <w:multiLevelType w:val="hybridMultilevel"/>
    <w:lvl w:ilvl="0">
      <w:lvlJc w:val="left"/>
      <w:lvlText w:val="1"/>
      <w:numFmt w:val="bullet"/>
      <w:start w:val="1"/>
    </w:lvl>
  </w:abstractNum>
  <w:abstractNum w:abstractNumId="114">
    <w:nsid w:val="2B0D8DBE"/>
    <w:multiLevelType w:val="hybridMultilevel"/>
    <w:lvl w:ilvl="0">
      <w:lvlJc w:val="left"/>
      <w:lvlText w:val="2"/>
      <w:numFmt w:val="bullet"/>
      <w:start w:val="1"/>
    </w:lvl>
  </w:abstractNum>
  <w:abstractNum w:abstractNumId="115">
    <w:nsid w:val="6C80EC70"/>
    <w:multiLevelType w:val="hybridMultilevel"/>
    <w:lvl w:ilvl="0">
      <w:lvlJc w:val="left"/>
      <w:lvlText w:val="3"/>
      <w:numFmt w:val="bullet"/>
      <w:start w:val="1"/>
    </w:lvl>
  </w:abstractNum>
  <w:abstractNum w:abstractNumId="116">
    <w:nsid w:val="379E21B5"/>
    <w:multiLevelType w:val="hybridMultilevel"/>
    <w:lvl w:ilvl="0">
      <w:lvlJc w:val="left"/>
      <w:lvlText w:val="4"/>
      <w:numFmt w:val="bullet"/>
      <w:start w:val="1"/>
    </w:lvl>
  </w:abstractNum>
  <w:abstractNum w:abstractNumId="117">
    <w:nsid w:val="69E373"/>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2019-12-28T17:13:47Z</dcterms:created>
  <dcterms:modified xsi:type="dcterms:W3CDTF">2019-12-28T17:13:47Z</dcterms:modified>
</cp:coreProperties>
</file>