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193675</wp:posOffset>
            </wp:positionH>
            <wp:positionV relativeFrom="page">
              <wp:posOffset>581025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 SECURITIES AND EXCHANGE COMMISSION</w:t>
      </w:r>
    </w:p>
    <w:p>
      <w:pPr>
        <w:spacing w:after="0" w:line="38"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Washington, DC 20549</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FORM 8-K</w:t>
      </w:r>
    </w:p>
    <w:p>
      <w:pPr>
        <w:spacing w:after="0" w:line="39"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79"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CURRENT REPORT</w:t>
      </w:r>
    </w:p>
    <w:p>
      <w:pPr>
        <w:spacing w:after="0" w:line="24"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Pursuant to Section 13 or 15(d) of</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the Securities Exchange Act of 1934</w:t>
      </w:r>
    </w:p>
    <w:p>
      <w:pPr>
        <w:spacing w:after="0" w:line="175"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Date of Report (Date of earliest event reported): February 1, 2022</w:t>
      </w:r>
    </w:p>
    <w:p>
      <w:pPr>
        <w:spacing w:after="0" w:line="23"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34"/>
          <w:szCs w:val="34"/>
          <w:b w:val="1"/>
          <w:bCs w:val="1"/>
          <w:color w:val="auto"/>
        </w:rPr>
        <w:t>GENERAL MOTORS COMPANY</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(Exact name of registrant as specified in its charter)</w:t>
      </w:r>
    </w:p>
    <w:p>
      <w:pPr>
        <w:spacing w:after="0" w:line="7" w:lineRule="exact"/>
        <w:rPr>
          <w:sz w:val="24"/>
          <w:szCs w:val="24"/>
          <w:color w:val="auto"/>
        </w:rPr>
      </w:pPr>
    </w:p>
    <w:p>
      <w:pPr>
        <w:ind w:left="4880"/>
        <w:spacing w:after="0"/>
        <w:rPr>
          <w:sz w:val="20"/>
          <w:szCs w:val="20"/>
          <w:color w:val="auto"/>
        </w:rPr>
      </w:pPr>
      <w:r>
        <w:rPr>
          <w:rFonts w:ascii="Arial" w:cs="Arial" w:eastAsia="Arial" w:hAnsi="Arial"/>
          <w:sz w:val="17"/>
          <w:szCs w:val="17"/>
          <w:color w:val="auto"/>
        </w:rPr>
        <w:t>__________________</w:t>
      </w:r>
    </w:p>
    <w:p>
      <w:pPr>
        <w:sectPr>
          <w:pgSz w:w="11900" w:h="16838" w:orient="portrait"/>
          <w:cols w:equalWidth="0" w:num="1">
            <w:col w:w="11040"/>
          </w:cols>
          <w:pgMar w:left="300" w:top="1182" w:right="559" w:bottom="1440" w:gutter="0" w:footer="0" w:header="0"/>
        </w:sectPr>
      </w:pPr>
    </w:p>
    <w:p>
      <w:pPr>
        <w:spacing w:after="0" w:line="98" w:lineRule="exact"/>
        <w:rPr>
          <w:sz w:val="24"/>
          <w:szCs w:val="24"/>
          <w:color w:val="auto"/>
        </w:rPr>
      </w:pPr>
    </w:p>
    <w:p>
      <w:pPr>
        <w:ind w:left="176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jc w:val="center"/>
        <w:ind w:right="2220"/>
        <w:spacing w:after="0"/>
        <w:rPr>
          <w:sz w:val="20"/>
          <w:szCs w:val="20"/>
          <w:color w:val="auto"/>
        </w:rPr>
      </w:pPr>
      <w:r>
        <w:rPr>
          <w:rFonts w:ascii="Arial" w:cs="Arial" w:eastAsia="Arial" w:hAnsi="Arial"/>
          <w:sz w:val="12"/>
          <w:szCs w:val="12"/>
          <w:b w:val="1"/>
          <w:bCs w:val="1"/>
          <w:color w:val="auto"/>
        </w:rPr>
        <w:t>001-34960</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27-0756180</w:t>
      </w:r>
    </w:p>
    <w:p>
      <w:pPr>
        <w:spacing w:after="0" w:line="67" w:lineRule="exact"/>
        <w:rPr>
          <w:sz w:val="24"/>
          <w:szCs w:val="24"/>
          <w:color w:val="auto"/>
        </w:rPr>
      </w:pPr>
    </w:p>
    <w:p>
      <w:pPr>
        <w:sectPr>
          <w:pgSz w:w="11900" w:h="16838" w:orient="portrait"/>
          <w:cols w:equalWidth="0" w:num="3">
            <w:col w:w="4780" w:space="720"/>
            <w:col w:w="2820" w:space="720"/>
            <w:col w:w="2000"/>
          </w:cols>
          <w:pgMar w:left="300" w:top="1182" w:right="559" w:bottom="1440" w:gutter="0" w:footer="0" w:header="0"/>
          <w:type w:val="continuous"/>
        </w:sectPr>
      </w:pPr>
    </w:p>
    <w:p>
      <w:pPr>
        <w:ind w:left="80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44" w:lineRule="exact"/>
        <w:rPr>
          <w:sz w:val="24"/>
          <w:szCs w:val="24"/>
          <w:color w:val="auto"/>
        </w:rPr>
      </w:pPr>
    </w:p>
    <w:p>
      <w:pPr>
        <w:sectPr>
          <w:pgSz w:w="11900" w:h="16838" w:orient="portrait"/>
          <w:cols w:equalWidth="0" w:num="3">
            <w:col w:w="4300" w:space="720"/>
            <w:col w:w="2620" w:space="720"/>
            <w:col w:w="2680"/>
          </w:cols>
          <w:pgMar w:left="300" w:top="1182" w:right="559" w:bottom="1440" w:gutter="0" w:footer="0" w:header="0"/>
          <w:type w:val="continuous"/>
        </w:sectPr>
      </w:pPr>
    </w:p>
    <w:p>
      <w:pPr>
        <w:jc w:val="right"/>
        <w:ind w:right="3440"/>
        <w:spacing w:after="0"/>
        <w:tabs>
          <w:tab w:leader="none" w:pos="4700" w:val="left"/>
          <w:tab w:leader="none" w:pos="4000" w:val="left"/>
        </w:tabs>
        <w:rPr>
          <w:sz w:val="20"/>
          <w:szCs w:val="20"/>
          <w:color w:val="auto"/>
        </w:rPr>
      </w:pPr>
      <w:r>
        <w:rPr>
          <w:rFonts w:ascii="Arial" w:cs="Arial" w:eastAsia="Arial" w:hAnsi="Arial"/>
          <w:sz w:val="14"/>
          <w:szCs w:val="14"/>
          <w:b w:val="1"/>
          <w:bCs w:val="1"/>
          <w:color w:val="auto"/>
        </w:rPr>
        <w:t>300 Renaissance Center,</w:t>
      </w:r>
      <w:r>
        <w:rPr>
          <w:sz w:val="20"/>
          <w:szCs w:val="20"/>
          <w:color w:val="auto"/>
        </w:rPr>
        <w:tab/>
      </w:r>
      <w:r>
        <w:rPr>
          <w:rFonts w:ascii="Arial" w:cs="Arial" w:eastAsia="Arial" w:hAnsi="Arial"/>
          <w:sz w:val="14"/>
          <w:szCs w:val="14"/>
          <w:b w:val="1"/>
          <w:bCs w:val="1"/>
          <w:color w:val="auto"/>
        </w:rPr>
        <w:t>Detroit,</w:t>
      </w:r>
      <w:r>
        <w:rPr>
          <w:sz w:val="20"/>
          <w:szCs w:val="20"/>
          <w:color w:val="auto"/>
        </w:rPr>
        <w:tab/>
      </w:r>
      <w:r>
        <w:rPr>
          <w:rFonts w:ascii="Arial" w:cs="Arial" w:eastAsia="Arial" w:hAnsi="Arial"/>
          <w:sz w:val="13"/>
          <w:szCs w:val="13"/>
          <w:b w:val="1"/>
          <w:bCs w:val="1"/>
          <w:color w:val="auto"/>
        </w:rPr>
        <w:t>Michigan</w:t>
      </w:r>
    </w:p>
    <w:p>
      <w:pPr>
        <w:spacing w:after="0" w:line="23" w:lineRule="exact"/>
        <w:rPr>
          <w:sz w:val="24"/>
          <w:szCs w:val="24"/>
          <w:color w:val="auto"/>
        </w:rPr>
      </w:pPr>
    </w:p>
    <w:p>
      <w:pPr>
        <w:jc w:val="right"/>
        <w:ind w:right="340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jc w:val="right"/>
        <w:ind w:right="1980"/>
        <w:spacing w:after="0"/>
        <w:rPr>
          <w:sz w:val="20"/>
          <w:szCs w:val="20"/>
          <w:color w:val="auto"/>
        </w:rPr>
      </w:pPr>
      <w:r>
        <w:rPr>
          <w:rFonts w:ascii="Arial" w:cs="Arial" w:eastAsia="Arial" w:hAnsi="Arial"/>
          <w:sz w:val="12"/>
          <w:szCs w:val="12"/>
          <w:b w:val="1"/>
          <w:bCs w:val="1"/>
          <w:color w:val="auto"/>
        </w:rPr>
        <w:t>48265 -3000</w:t>
      </w:r>
    </w:p>
    <w:p>
      <w:pPr>
        <w:spacing w:after="0" w:line="46" w:lineRule="exact"/>
        <w:rPr>
          <w:sz w:val="24"/>
          <w:szCs w:val="24"/>
          <w:color w:val="auto"/>
        </w:rPr>
      </w:pPr>
    </w:p>
    <w:p>
      <w:pPr>
        <w:jc w:val="right"/>
        <w:ind w:right="200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640" w:space="720"/>
            <w:col w:w="2680"/>
          </w:cols>
          <w:pgMar w:left="300" w:top="1182" w:right="559" w:bottom="1440" w:gutter="0" w:footer="0" w:header="0"/>
          <w:type w:val="continuous"/>
        </w:sectPr>
      </w:pPr>
    </w:p>
    <w:p>
      <w:pPr>
        <w:spacing w:after="0" w:line="70"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(313) 667-1500</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(Registrant's telephone number, including area code)</w:t>
      </w:r>
    </w:p>
    <w:p>
      <w:pPr>
        <w:spacing w:after="0" w:line="185"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Not Applicable</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9" w:lineRule="exact"/>
        <w:rPr>
          <w:sz w:val="24"/>
          <w:szCs w:val="24"/>
          <w:color w:val="auto"/>
        </w:rPr>
      </w:pPr>
    </w:p>
    <w:p>
      <w:pPr>
        <w:ind w:left="4880"/>
        <w:spacing w:after="0"/>
        <w:rPr>
          <w:sz w:val="20"/>
          <w:szCs w:val="20"/>
          <w:color w:val="auto"/>
        </w:rPr>
      </w:pPr>
      <w:r>
        <w:rPr>
          <w:rFonts w:ascii="Arial" w:cs="Arial" w:eastAsia="Arial" w:hAnsi="Arial"/>
          <w:sz w:val="17"/>
          <w:szCs w:val="17"/>
          <w:color w:val="auto"/>
        </w:rPr>
        <w:t>__________________</w:t>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05" w:lineRule="exact"/>
        <w:rPr>
          <w:sz w:val="24"/>
          <w:szCs w:val="2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Written communications pursuant to Rule 425 under the Securities Act (17 CFR 230.425)</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Soliciting material pursuant to Rule 14a-12 under the Exchange Act (17 CFR 240.14a-12)</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14d-2(b) under the Exchange Act (17 CFR 240.14d-2(b))</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13e-4(c) under the Exchange Act (17 CFR 240.13e-4(c))</w:t>
      </w:r>
    </w:p>
    <w:p>
      <w:pPr>
        <w:spacing w:after="0" w:line="84" w:lineRule="exact"/>
        <w:rPr>
          <w:sz w:val="24"/>
          <w:szCs w:val="24"/>
          <w:color w:val="auto"/>
        </w:rPr>
      </w:pPr>
    </w:p>
    <w:tbl>
      <w:tblPr>
        <w:tblLayout w:type="fixed"/>
        <w:tblInd w:w="1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gridSpan w:val="3"/>
          </w:tcPr>
          <w:p>
            <w:pPr>
              <w:jc w:val="center"/>
              <w:ind w:left="96"/>
              <w:spacing w:after="0"/>
              <w:rPr>
                <w:sz w:val="20"/>
                <w:szCs w:val="20"/>
                <w:color w:val="auto"/>
              </w:rPr>
            </w:pPr>
            <w:r>
              <w:rPr>
                <w:rFonts w:ascii="Arial" w:cs="Arial" w:eastAsia="Arial" w:hAnsi="Arial"/>
                <w:sz w:val="13"/>
                <w:szCs w:val="13"/>
                <w:color w:val="auto"/>
                <w:w w:val="89"/>
              </w:rPr>
              <w:t>Securities registered pursuant to Section 12(b) of the Act:</w:t>
            </w:r>
          </w:p>
        </w:tc>
        <w:tc>
          <w:tcPr>
            <w:tcW w:w="3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70"/>
        </w:trPr>
        <w:tc>
          <w:tcPr>
            <w:tcW w:w="360" w:type="dxa"/>
            <w:vAlign w:val="bottom"/>
          </w:tcPr>
          <w:p>
            <w:pPr>
              <w:spacing w:after="0"/>
              <w:rPr>
                <w:sz w:val="23"/>
                <w:szCs w:val="23"/>
                <w:color w:val="auto"/>
              </w:rPr>
            </w:pPr>
          </w:p>
        </w:tc>
        <w:tc>
          <w:tcPr>
            <w:tcW w:w="1780" w:type="dxa"/>
            <w:vAlign w:val="bottom"/>
            <w:gridSpan w:val="2"/>
          </w:tcPr>
          <w:p>
            <w:pPr>
              <w:jc w:val="center"/>
              <w:ind w:right="860"/>
              <w:spacing w:after="0"/>
              <w:rPr>
                <w:sz w:val="20"/>
                <w:szCs w:val="20"/>
                <w:color w:val="auto"/>
              </w:rPr>
            </w:pPr>
            <w:r>
              <w:rPr>
                <w:rFonts w:ascii="Arial" w:cs="Arial" w:eastAsia="Arial" w:hAnsi="Arial"/>
                <w:sz w:val="13"/>
                <w:szCs w:val="13"/>
                <w:color w:val="auto"/>
                <w:w w:val="88"/>
              </w:rPr>
              <w:t>Title of each class</w:t>
            </w:r>
          </w:p>
        </w:tc>
        <w:tc>
          <w:tcPr>
            <w:tcW w:w="1460" w:type="dxa"/>
            <w:vAlign w:val="bottom"/>
          </w:tcPr>
          <w:p>
            <w:pPr>
              <w:spacing w:after="0"/>
              <w:rPr>
                <w:sz w:val="23"/>
                <w:szCs w:val="23"/>
                <w:color w:val="auto"/>
              </w:rPr>
            </w:pPr>
          </w:p>
        </w:tc>
        <w:tc>
          <w:tcPr>
            <w:tcW w:w="2280" w:type="dxa"/>
            <w:vAlign w:val="bottom"/>
            <w:gridSpan w:val="2"/>
          </w:tcPr>
          <w:p>
            <w:pPr>
              <w:jc w:val="center"/>
              <w:ind w:right="1320"/>
              <w:spacing w:after="0"/>
              <w:rPr>
                <w:sz w:val="20"/>
                <w:szCs w:val="20"/>
                <w:color w:val="auto"/>
              </w:rPr>
            </w:pPr>
            <w:r>
              <w:rPr>
                <w:rFonts w:ascii="Arial" w:cs="Arial" w:eastAsia="Arial" w:hAnsi="Arial"/>
                <w:sz w:val="13"/>
                <w:szCs w:val="13"/>
                <w:color w:val="auto"/>
                <w:w w:val="90"/>
              </w:rPr>
              <w:t>Trading Symbol(s)</w:t>
            </w:r>
          </w:p>
        </w:tc>
        <w:tc>
          <w:tcPr>
            <w:tcW w:w="2600" w:type="dxa"/>
            <w:vAlign w:val="bottom"/>
            <w:gridSpan w:val="2"/>
          </w:tcPr>
          <w:p>
            <w:pPr>
              <w:jc w:val="center"/>
              <w:ind w:left="276"/>
              <w:spacing w:after="0"/>
              <w:rPr>
                <w:sz w:val="20"/>
                <w:szCs w:val="20"/>
                <w:color w:val="auto"/>
              </w:rPr>
            </w:pPr>
            <w:r>
              <w:rPr>
                <w:rFonts w:ascii="Arial" w:cs="Arial" w:eastAsia="Arial" w:hAnsi="Arial"/>
                <w:sz w:val="13"/>
                <w:szCs w:val="13"/>
                <w:color w:val="auto"/>
                <w:w w:val="87"/>
              </w:rPr>
              <w:t>Name of each exchange on which registered</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r>
        <w:trPr>
          <w:trHeight w:val="177"/>
        </w:trPr>
        <w:tc>
          <w:tcPr>
            <w:tcW w:w="2140" w:type="dxa"/>
            <w:vAlign w:val="bottom"/>
            <w:gridSpan w:val="3"/>
          </w:tcPr>
          <w:p>
            <w:pPr>
              <w:jc w:val="center"/>
              <w:ind w:right="500"/>
              <w:spacing w:after="0"/>
              <w:rPr>
                <w:sz w:val="20"/>
                <w:szCs w:val="20"/>
                <w:color w:val="auto"/>
              </w:rPr>
            </w:pPr>
            <w:r>
              <w:rPr>
                <w:rFonts w:ascii="Arial" w:cs="Arial" w:eastAsia="Arial" w:hAnsi="Arial"/>
                <w:sz w:val="13"/>
                <w:szCs w:val="13"/>
                <w:color w:val="auto"/>
                <w:w w:val="88"/>
              </w:rPr>
              <w:t>Common Stock, $0.01 par value</w:t>
            </w:r>
          </w:p>
        </w:tc>
        <w:tc>
          <w:tcPr>
            <w:tcW w:w="1460" w:type="dxa"/>
            <w:vAlign w:val="bottom"/>
          </w:tcPr>
          <w:p>
            <w:pPr>
              <w:spacing w:after="0"/>
              <w:rPr>
                <w:sz w:val="15"/>
                <w:szCs w:val="15"/>
                <w:color w:val="auto"/>
              </w:rPr>
            </w:pPr>
          </w:p>
        </w:tc>
        <w:tc>
          <w:tcPr>
            <w:tcW w:w="2280" w:type="dxa"/>
            <w:vAlign w:val="bottom"/>
            <w:gridSpan w:val="2"/>
          </w:tcPr>
          <w:p>
            <w:pPr>
              <w:jc w:val="center"/>
              <w:ind w:right="1320"/>
              <w:spacing w:after="0"/>
              <w:rPr>
                <w:sz w:val="20"/>
                <w:szCs w:val="20"/>
                <w:color w:val="auto"/>
              </w:rPr>
            </w:pPr>
            <w:r>
              <w:rPr>
                <w:rFonts w:ascii="Arial" w:cs="Arial" w:eastAsia="Arial" w:hAnsi="Arial"/>
                <w:sz w:val="13"/>
                <w:szCs w:val="13"/>
                <w:color w:val="auto"/>
                <w:w w:val="95"/>
              </w:rPr>
              <w:t>GM</w:t>
            </w:r>
          </w:p>
        </w:tc>
        <w:tc>
          <w:tcPr>
            <w:tcW w:w="34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Arial" w:cs="Arial" w:eastAsia="Arial" w:hAnsi="Arial"/>
                <w:sz w:val="13"/>
                <w:szCs w:val="13"/>
                <w:color w:val="auto"/>
                <w:w w:val="89"/>
              </w:rPr>
              <w:t>New York Stock Exchange</w:t>
            </w:r>
          </w:p>
        </w:tc>
      </w:tr>
    </w:tbl>
    <w:p>
      <w:pPr>
        <w:spacing w:after="0" w:line="167" w:lineRule="exact"/>
        <w:rPr>
          <w:sz w:val="24"/>
          <w:szCs w:val="24"/>
          <w:color w:val="auto"/>
        </w:rPr>
      </w:pPr>
    </w:p>
    <w:p>
      <w:pPr>
        <w:ind w:right="520"/>
        <w:spacing w:after="0" w:line="162" w:lineRule="exact"/>
        <w:rPr>
          <w:sz w:val="20"/>
          <w:szCs w:val="20"/>
          <w:color w:val="auto"/>
        </w:rPr>
      </w:pPr>
      <w:r>
        <w:rPr>
          <w:rFonts w:ascii="Arial" w:cs="Arial" w:eastAsia="Arial" w:hAnsi="Arial"/>
          <w:sz w:val="13"/>
          <w:szCs w:val="13"/>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3"/>
          <w:szCs w:val="13"/>
          <w:color w:val="auto"/>
        </w:rPr>
        <w:t>☐</w:t>
      </w:r>
    </w:p>
    <w:p>
      <w:pPr>
        <w:spacing w:after="0" w:line="143"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567690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040"/>
          </w:cols>
          <w:pgMar w:left="300" w:top="1182"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2.02 Results of Operations and Financial Condition</w:t>
      </w:r>
    </w:p>
    <w:p>
      <w:pPr>
        <w:spacing w:after="0" w:line="204" w:lineRule="exact"/>
        <w:rPr>
          <w:sz w:val="20"/>
          <w:szCs w:val="20"/>
          <w:color w:val="auto"/>
        </w:rPr>
      </w:pPr>
    </w:p>
    <w:p>
      <w:pPr>
        <w:ind w:firstLine="127"/>
        <w:spacing w:after="0" w:line="281" w:lineRule="auto"/>
        <w:rPr>
          <w:sz w:val="20"/>
          <w:szCs w:val="20"/>
          <w:color w:val="auto"/>
        </w:rPr>
      </w:pPr>
      <w:r>
        <w:rPr>
          <w:rFonts w:ascii="Arial" w:cs="Arial" w:eastAsia="Arial" w:hAnsi="Arial"/>
          <w:sz w:val="14"/>
          <w:szCs w:val="14"/>
          <w:color w:val="auto"/>
        </w:rPr>
        <w:t>On February 1, 2022 General Motors Company (GM) issued a news release and supplemental materials on the subject of its 2021 fourth quarter and full year consolidated earnings. The news release and supplemental materials are attached as Exhibit 99.1 and Exhibit 99.2.</w:t>
      </w:r>
    </w:p>
    <w:p>
      <w:pPr>
        <w:spacing w:after="0" w:line="153" w:lineRule="exact"/>
        <w:rPr>
          <w:sz w:val="20"/>
          <w:szCs w:val="20"/>
          <w:color w:val="auto"/>
        </w:rPr>
      </w:pPr>
    </w:p>
    <w:p>
      <w:pPr>
        <w:ind w:firstLine="127"/>
        <w:spacing w:after="0" w:line="281" w:lineRule="auto"/>
        <w:rPr>
          <w:sz w:val="20"/>
          <w:szCs w:val="20"/>
          <w:color w:val="auto"/>
        </w:rPr>
      </w:pPr>
      <w:r>
        <w:rPr>
          <w:rFonts w:ascii="Arial" w:cs="Arial" w:eastAsia="Arial" w:hAnsi="Arial"/>
          <w:sz w:val="14"/>
          <w:szCs w:val="14"/>
          <w:color w:val="auto"/>
        </w:rPr>
        <w:t>Charts furnished to securities analysts in connection with GM's 2021 fourth quarter and full year consolidated earnings release are available on GM's website at www.gm.com/investors/earnings-releases.html.</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9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r>
      <w:tr>
        <w:trPr>
          <w:trHeight w:val="182"/>
        </w:trPr>
        <w:tc>
          <w:tcPr>
            <w:tcW w:w="20" w:type="dxa"/>
            <w:vAlign w:val="bottom"/>
          </w:tcPr>
          <w:p>
            <w:pPr>
              <w:spacing w:after="0"/>
              <w:rPr>
                <w:sz w:val="15"/>
                <w:szCs w:val="15"/>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2480" w:type="dxa"/>
            <w:vAlign w:val="bottom"/>
            <w:gridSpan w:val="3"/>
          </w:tcPr>
          <w:p>
            <w:pPr>
              <w:spacing w:after="0"/>
              <w:rPr>
                <w:sz w:val="20"/>
                <w:szCs w:val="20"/>
                <w:color w:val="auto"/>
              </w:rPr>
            </w:pPr>
            <w:r>
              <w:rPr>
                <w:rFonts w:ascii="Arial" w:cs="Arial" w:eastAsia="Arial" w:hAnsi="Arial"/>
                <w:sz w:val="14"/>
                <w:szCs w:val="14"/>
                <w:color w:val="auto"/>
              </w:rPr>
              <w:t>Description</w:t>
            </w:r>
          </w:p>
        </w:tc>
        <w:tc>
          <w:tcPr>
            <w:tcW w:w="600" w:type="dxa"/>
            <w:vAlign w:val="bottom"/>
            <w:tcBorders>
              <w:top w:val="single" w:sz="8" w:color="auto"/>
            </w:tcBorders>
            <w:gridSpan w:val="2"/>
          </w:tcPr>
          <w:p>
            <w:pPr>
              <w:spacing w:after="0"/>
              <w:rPr>
                <w:sz w:val="15"/>
                <w:szCs w:val="15"/>
                <w:color w:val="auto"/>
              </w:rPr>
            </w:pPr>
          </w:p>
        </w:tc>
        <w:tc>
          <w:tcPr>
            <w:tcW w:w="53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 99.1</w:t>
            </w:r>
          </w:p>
        </w:tc>
        <w:tc>
          <w:tcPr>
            <w:tcW w:w="8420" w:type="dxa"/>
            <w:vAlign w:val="bottom"/>
            <w:gridSpan w:val="6"/>
          </w:tcPr>
          <w:p>
            <w:pPr>
              <w:spacing w:after="0"/>
              <w:rPr>
                <w:rFonts w:ascii="Arial" w:cs="Arial" w:eastAsia="Arial" w:hAnsi="Arial"/>
                <w:sz w:val="14"/>
                <w:szCs w:val="14"/>
                <w:color w:val="0000FF"/>
              </w:rPr>
            </w:pPr>
            <w:hyperlink w:anchor="page4">
              <w:r>
                <w:rPr>
                  <w:rFonts w:ascii="Arial" w:cs="Arial" w:eastAsia="Arial" w:hAnsi="Arial"/>
                  <w:sz w:val="14"/>
                  <w:szCs w:val="14"/>
                  <w:color w:val="0000FF"/>
                </w:rPr>
                <w:t xml:space="preserve">News Release Dated February </w:t>
              </w:r>
            </w:hyperlink>
            <w:r>
              <w:rPr>
                <w:rFonts w:ascii="Arial" w:cs="Arial" w:eastAsia="Arial" w:hAnsi="Arial"/>
                <w:sz w:val="14"/>
                <w:szCs w:val="14"/>
                <w:color w:val="0000FF"/>
              </w:rPr>
              <w:t>1, 2022</w:t>
            </w:r>
          </w:p>
        </w:tc>
      </w:tr>
      <w:tr>
        <w:trPr>
          <w:trHeight w:val="20"/>
        </w:trPr>
        <w:tc>
          <w:tcPr>
            <w:tcW w:w="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 99.2</w:t>
            </w:r>
          </w:p>
        </w:tc>
        <w:tc>
          <w:tcPr>
            <w:tcW w:w="8420" w:type="dxa"/>
            <w:vAlign w:val="bottom"/>
            <w:gridSpan w:val="6"/>
          </w:tcPr>
          <w:p>
            <w:pPr>
              <w:spacing w:after="0"/>
              <w:rPr>
                <w:rFonts w:ascii="Arial" w:cs="Arial" w:eastAsia="Arial" w:hAnsi="Arial"/>
                <w:sz w:val="14"/>
                <w:szCs w:val="14"/>
                <w:color w:val="0000FF"/>
              </w:rPr>
            </w:pPr>
            <w:hyperlink w:anchor="page12">
              <w:r>
                <w:rPr>
                  <w:rFonts w:ascii="Arial" w:cs="Arial" w:eastAsia="Arial" w:hAnsi="Arial"/>
                  <w:sz w:val="14"/>
                  <w:szCs w:val="14"/>
                  <w:color w:val="0000FF"/>
                </w:rPr>
                <w:t>Financial Highlights Dated February 1, 2022</w:t>
              </w:r>
            </w:hyperlink>
          </w:p>
        </w:tc>
      </w:tr>
      <w:tr>
        <w:trPr>
          <w:trHeight w:val="20"/>
        </w:trPr>
        <w:tc>
          <w:tcPr>
            <w:tcW w:w="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 104</w:t>
            </w:r>
          </w:p>
        </w:tc>
        <w:tc>
          <w:tcPr>
            <w:tcW w:w="8420" w:type="dxa"/>
            <w:vAlign w:val="bottom"/>
            <w:gridSpan w:val="6"/>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r>
      <w:tr>
        <w:trPr>
          <w:trHeight w:val="957"/>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4"/>
          <w:szCs w:val="14"/>
          <w:b w:val="1"/>
          <w:bCs w:val="1"/>
          <w:color w:val="auto"/>
        </w:rPr>
        <w:t>SIGNATURE</w:t>
      </w: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80" w:type="dxa"/>
            <w:vAlign w:val="bottom"/>
          </w:tcPr>
          <w:p>
            <w:pPr>
              <w:spacing w:after="0"/>
              <w:rPr>
                <w:sz w:val="15"/>
                <w:szCs w:val="15"/>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GENERAL MOTORS COMPANY (Registrant)</w:t>
            </w:r>
          </w:p>
        </w:tc>
      </w:tr>
      <w:tr>
        <w:trPr>
          <w:trHeight w:val="584"/>
        </w:trPr>
        <w:tc>
          <w:tcPr>
            <w:tcW w:w="6080" w:type="dxa"/>
            <w:vAlign w:val="bottom"/>
          </w:tcPr>
          <w:p>
            <w:pPr>
              <w:ind w:left="542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CHRISTOPHER T. HATTO</w:t>
            </w:r>
          </w:p>
        </w:tc>
      </w:tr>
      <w:tr>
        <w:trPr>
          <w:trHeight w:val="129"/>
        </w:trPr>
        <w:tc>
          <w:tcPr>
            <w:tcW w:w="6080" w:type="dxa"/>
            <w:vAlign w:val="bottom"/>
          </w:tcPr>
          <w:p>
            <w:pPr>
              <w:spacing w:after="0" w:line="129" w:lineRule="exact"/>
              <w:rPr>
                <w:sz w:val="20"/>
                <w:szCs w:val="20"/>
                <w:color w:val="auto"/>
              </w:rPr>
            </w:pPr>
            <w:r>
              <w:rPr>
                <w:rFonts w:ascii="Arial" w:cs="Arial" w:eastAsia="Arial" w:hAnsi="Arial"/>
                <w:sz w:val="14"/>
                <w:szCs w:val="14"/>
                <w:color w:val="auto"/>
              </w:rPr>
              <w:t>Date: February 1, 2022</w:t>
            </w:r>
          </w:p>
        </w:tc>
        <w:tc>
          <w:tcPr>
            <w:tcW w:w="5140" w:type="dxa"/>
            <w:vAlign w:val="bottom"/>
          </w:tcPr>
          <w:p>
            <w:pPr>
              <w:ind w:left="20"/>
              <w:spacing w:after="0" w:line="129" w:lineRule="exact"/>
              <w:rPr>
                <w:sz w:val="20"/>
                <w:szCs w:val="20"/>
                <w:color w:val="auto"/>
              </w:rPr>
            </w:pPr>
            <w:r>
              <w:rPr>
                <w:rFonts w:ascii="Arial" w:cs="Arial" w:eastAsia="Arial" w:hAnsi="Arial"/>
                <w:sz w:val="14"/>
                <w:szCs w:val="14"/>
                <w:color w:val="auto"/>
                <w:w w:val="95"/>
              </w:rPr>
              <w:t>Christopher T. Hatto, Vice President, Global Business Solutions and Chief Accounting</w:t>
            </w:r>
          </w:p>
        </w:tc>
      </w:tr>
      <w:tr>
        <w:trPr>
          <w:trHeight w:val="180"/>
        </w:trPr>
        <w:tc>
          <w:tcPr>
            <w:tcW w:w="6080" w:type="dxa"/>
            <w:vAlign w:val="bottom"/>
          </w:tcPr>
          <w:p>
            <w:pPr>
              <w:spacing w:after="0"/>
              <w:rPr>
                <w:sz w:val="15"/>
                <w:szCs w:val="15"/>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Officer</w:t>
            </w:r>
          </w:p>
        </w:tc>
      </w:tr>
    </w:tbl>
    <w:p>
      <w:pPr>
        <w:sectPr>
          <w:pgSz w:w="11900" w:h="16838" w:orient="portrait"/>
          <w:cols w:equalWidth="0" w:num="1">
            <w:col w:w="11220"/>
          </w:cols>
          <w:pgMar w:left="340" w:top="921"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rFonts w:ascii="Arial" w:cs="Arial" w:eastAsia="Arial" w:hAnsi="Arial"/>
          <w:sz w:val="16"/>
          <w:szCs w:val="16"/>
          <w:b w:val="1"/>
          <w:bCs w:val="1"/>
          <w:color w:val="auto"/>
        </w:rPr>
        <w:t>Exhibit 99.2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328" w:lineRule="exact"/>
        <w:rPr>
          <w:sz w:val="20"/>
          <w:szCs w:val="20"/>
          <w:color w:val="auto"/>
        </w:rPr>
      </w:pPr>
    </w:p>
    <w:p>
      <w:pPr>
        <w:jc w:val="both"/>
        <w:ind w:firstLine="127"/>
        <w:spacing w:after="0" w:line="239" w:lineRule="auto"/>
        <w:rPr>
          <w:sz w:val="20"/>
          <w:szCs w:val="20"/>
          <w:color w:val="auto"/>
        </w:rPr>
      </w:pPr>
      <w:r>
        <w:rPr>
          <w:rFonts w:ascii="Arial" w:cs="Arial" w:eastAsia="Arial" w:hAnsi="Arial"/>
          <w:sz w:val="13"/>
          <w:szCs w:val="13"/>
          <w:color w:val="auto"/>
        </w:rPr>
        <w:t>General Motors Company's (GM)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89" w:lineRule="exact"/>
        <w:rPr>
          <w:sz w:val="20"/>
          <w:szCs w:val="20"/>
          <w:color w:val="auto"/>
        </w:rPr>
      </w:pPr>
    </w:p>
    <w:p>
      <w:pPr>
        <w:jc w:val="both"/>
        <w:ind w:firstLine="127"/>
        <w:spacing w:after="0" w:line="239" w:lineRule="auto"/>
        <w:rPr>
          <w:sz w:val="20"/>
          <w:szCs w:val="20"/>
          <w:color w:val="auto"/>
        </w:rPr>
      </w:pPr>
      <w:r>
        <w:rPr>
          <w:rFonts w:ascii="Arial" w:cs="Arial" w:eastAsia="Arial" w:hAnsi="Arial"/>
          <w:sz w:val="13"/>
          <w:szCs w:val="13"/>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75" w:lineRule="exact"/>
        <w:rPr>
          <w:sz w:val="20"/>
          <w:szCs w:val="20"/>
          <w:color w:val="auto"/>
        </w:rPr>
      </w:pPr>
    </w:p>
    <w:p>
      <w:pPr>
        <w:jc w:val="both"/>
        <w:ind w:firstLine="127"/>
        <w:spacing w:after="0" w:line="243" w:lineRule="auto"/>
        <w:rPr>
          <w:sz w:val="20"/>
          <w:szCs w:val="20"/>
          <w:color w:val="auto"/>
        </w:rPr>
      </w:pPr>
      <w:r>
        <w:rPr>
          <w:rFonts w:ascii="Arial" w:cs="Arial" w:eastAsia="Arial" w:hAnsi="Arial"/>
          <w:sz w:val="13"/>
          <w:szCs w:val="13"/>
          <w:b w:val="1"/>
          <w:bCs w:val="1"/>
          <w:i w:val="1"/>
          <w:iCs w:val="1"/>
          <w:color w:val="auto"/>
        </w:rPr>
        <w:t xml:space="preserve">EBIT-adjusted </w:t>
      </w:r>
      <w:r>
        <w:rPr>
          <w:rFonts w:ascii="Arial" w:cs="Arial" w:eastAsia="Arial" w:hAnsi="Arial"/>
          <w:sz w:val="13"/>
          <w:szCs w:val="13"/>
          <w:color w:val="auto"/>
        </w:rPr>
        <w:t>EBIT-adjusted is presented net of noncontrolling interests and is used by management and can be used by investors to review our consolidated operating results because it excludes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171" w:lineRule="exact"/>
        <w:rPr>
          <w:sz w:val="20"/>
          <w:szCs w:val="20"/>
          <w:color w:val="auto"/>
        </w:rPr>
      </w:pPr>
    </w:p>
    <w:p>
      <w:pPr>
        <w:jc w:val="both"/>
        <w:ind w:firstLine="127"/>
        <w:spacing w:after="0" w:line="252" w:lineRule="auto"/>
        <w:rPr>
          <w:sz w:val="20"/>
          <w:szCs w:val="20"/>
          <w:color w:val="auto"/>
        </w:rPr>
      </w:pPr>
      <w:r>
        <w:rPr>
          <w:rFonts w:ascii="Arial" w:cs="Arial" w:eastAsia="Arial" w:hAnsi="Arial"/>
          <w:sz w:val="13"/>
          <w:szCs w:val="13"/>
          <w:b w:val="1"/>
          <w:bCs w:val="1"/>
          <w:i w:val="1"/>
          <w:iCs w:val="1"/>
          <w:color w:val="auto"/>
        </w:rPr>
        <w:t xml:space="preserve">EPS-diluted-adjusted </w:t>
      </w:r>
      <w:r>
        <w:rPr>
          <w:rFonts w:ascii="Arial" w:cs="Arial" w:eastAsia="Arial" w:hAnsi="Arial"/>
          <w:sz w:val="13"/>
          <w:szCs w:val="13"/>
          <w:color w:val="auto"/>
        </w:rPr>
        <w:t>EPS-diluted-adjusted is used by management and can be used by investors to review our consolidated diluted EPS results on a consistent basis. EPS-diluted-adjusted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66" w:lineRule="exact"/>
        <w:rPr>
          <w:sz w:val="20"/>
          <w:szCs w:val="20"/>
          <w:color w:val="auto"/>
        </w:rPr>
      </w:pPr>
    </w:p>
    <w:p>
      <w:pPr>
        <w:jc w:val="both"/>
        <w:ind w:firstLine="127"/>
        <w:spacing w:after="0" w:line="247" w:lineRule="auto"/>
        <w:rPr>
          <w:sz w:val="20"/>
          <w:szCs w:val="20"/>
          <w:color w:val="auto"/>
        </w:rPr>
      </w:pPr>
      <w:r>
        <w:rPr>
          <w:rFonts w:ascii="Arial" w:cs="Arial" w:eastAsia="Arial" w:hAnsi="Arial"/>
          <w:sz w:val="13"/>
          <w:szCs w:val="13"/>
          <w:b w:val="1"/>
          <w:bCs w:val="1"/>
          <w:i w:val="1"/>
          <w:iCs w:val="1"/>
          <w:color w:val="auto"/>
        </w:rPr>
        <w:t xml:space="preserve">ETR-adjusted </w:t>
      </w:r>
      <w:r>
        <w:rPr>
          <w:rFonts w:ascii="Arial" w:cs="Arial" w:eastAsia="Arial" w:hAnsi="Arial"/>
          <w:sz w:val="13"/>
          <w:szCs w:val="13"/>
          <w:color w:val="auto"/>
        </w:rPr>
        <w:t>ETR-adjusted is used by management and can be used by investors to review the consolidated effective tax rate for our core operations on a consistent basis. ETR-adjusted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170" w:lineRule="exact"/>
        <w:rPr>
          <w:sz w:val="20"/>
          <w:szCs w:val="20"/>
          <w:color w:val="auto"/>
        </w:rPr>
      </w:pPr>
    </w:p>
    <w:p>
      <w:pPr>
        <w:jc w:val="both"/>
        <w:ind w:firstLine="127"/>
        <w:spacing w:after="0" w:line="252" w:lineRule="auto"/>
        <w:rPr>
          <w:sz w:val="20"/>
          <w:szCs w:val="20"/>
          <w:color w:val="auto"/>
        </w:rPr>
      </w:pPr>
      <w:r>
        <w:rPr>
          <w:rFonts w:ascii="Arial" w:cs="Arial" w:eastAsia="Arial" w:hAnsi="Arial"/>
          <w:sz w:val="13"/>
          <w:szCs w:val="13"/>
          <w:b w:val="1"/>
          <w:bCs w:val="1"/>
          <w:i w:val="1"/>
          <w:iCs w:val="1"/>
          <w:color w:val="auto"/>
        </w:rPr>
        <w:t xml:space="preserve">ROIC-adjusted </w:t>
      </w:r>
      <w:r>
        <w:rPr>
          <w:rFonts w:ascii="Arial" w:cs="Arial" w:eastAsia="Arial" w:hAnsi="Arial"/>
          <w:sz w:val="13"/>
          <w:szCs w:val="13"/>
          <w:color w:val="auto"/>
        </w:rPr>
        <w:t>ROIC-adjusted is used by management and can be used by investors to review our investment and capital allocation decisions. We define ROIC-adjusted as EBIT-adjusted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trailing four quarters divided by ROIC-adjusted average net assets, which is considered to be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166" w:lineRule="exact"/>
        <w:rPr>
          <w:sz w:val="20"/>
          <w:szCs w:val="20"/>
          <w:color w:val="auto"/>
        </w:rPr>
      </w:pPr>
    </w:p>
    <w:p>
      <w:pPr>
        <w:jc w:val="both"/>
        <w:ind w:firstLine="127"/>
        <w:spacing w:after="0" w:line="247" w:lineRule="auto"/>
        <w:rPr>
          <w:sz w:val="20"/>
          <w:szCs w:val="20"/>
          <w:color w:val="auto"/>
        </w:rPr>
      </w:pPr>
      <w:r>
        <w:rPr>
          <w:rFonts w:ascii="Arial" w:cs="Arial" w:eastAsia="Arial" w:hAnsi="Arial"/>
          <w:sz w:val="13"/>
          <w:szCs w:val="13"/>
          <w:b w:val="1"/>
          <w:bCs w:val="1"/>
          <w:i w:val="1"/>
          <w:iCs w:val="1"/>
          <w:color w:val="auto"/>
        </w:rPr>
        <w:t xml:space="preserve">Adjusted automotive free cash flow </w:t>
      </w:r>
      <w:r>
        <w:rPr>
          <w:rFonts w:ascii="Arial" w:cs="Arial" w:eastAsia="Arial" w:hAnsi="Arial"/>
          <w:sz w:val="13"/>
          <w:szCs w:val="13"/>
          <w:color w:val="auto"/>
        </w:rPr>
        <w:t>Adjusted automotive free cash flow is used by management and can be used by investors to review the liquidity of our automotive operations and to measure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200" w:lineRule="exact"/>
        <w:rPr>
          <w:sz w:val="20"/>
          <w:szCs w:val="20"/>
          <w:color w:val="auto"/>
        </w:rPr>
      </w:pPr>
    </w:p>
    <w:p>
      <w:pPr>
        <w:spacing w:after="0" w:line="281"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80"/>
          </w:cols>
          <w:pgMar w:left="300" w:top="118"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income attributable to stockholders under U.S. GAAP to segment profit (loss) (dollars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80" w:type="dxa"/>
            <w:vAlign w:val="bottom"/>
            <w:gridSpan w:val="5"/>
          </w:tcPr>
          <w:p>
            <w:pPr>
              <w:ind w:left="780"/>
              <w:spacing w:after="0"/>
              <w:rPr>
                <w:sz w:val="20"/>
                <w:szCs w:val="20"/>
                <w:color w:val="auto"/>
              </w:rPr>
            </w:pPr>
            <w:r>
              <w:rPr>
                <w:rFonts w:ascii="Arial" w:cs="Arial" w:eastAsia="Arial" w:hAnsi="Arial"/>
                <w:sz w:val="10"/>
                <w:szCs w:val="10"/>
                <w:b w:val="1"/>
                <w:bCs w:val="1"/>
                <w:color w:val="auto"/>
              </w:rPr>
              <w:t>Three Months Ended</w:t>
            </w:r>
          </w:p>
        </w:tc>
        <w:tc>
          <w:tcPr>
            <w:tcW w:w="180" w:type="dxa"/>
            <w:vAlign w:val="bottom"/>
          </w:tcPr>
          <w:p>
            <w:pPr>
              <w:spacing w:after="0"/>
              <w:rPr>
                <w:sz w:val="11"/>
                <w:szCs w:val="11"/>
                <w:color w:val="auto"/>
              </w:rPr>
            </w:pPr>
          </w:p>
        </w:tc>
        <w:tc>
          <w:tcPr>
            <w:tcW w:w="2680" w:type="dxa"/>
            <w:vAlign w:val="bottom"/>
            <w:gridSpan w:val="4"/>
          </w:tcPr>
          <w:p>
            <w:pPr>
              <w:jc w:val="right"/>
              <w:ind w:right="1057"/>
              <w:spacing w:after="0"/>
              <w:rPr>
                <w:sz w:val="20"/>
                <w:szCs w:val="20"/>
                <w:color w:val="auto"/>
              </w:rPr>
            </w:pPr>
            <w:r>
              <w:rPr>
                <w:rFonts w:ascii="Arial" w:cs="Arial" w:eastAsia="Arial" w:hAnsi="Arial"/>
                <w:sz w:val="10"/>
                <w:szCs w:val="10"/>
                <w:b w:val="1"/>
                <w:bCs w:val="1"/>
                <w:color w:val="auto"/>
              </w:rPr>
              <w:t>Years Ended</w:t>
            </w:r>
          </w:p>
        </w:tc>
      </w:tr>
      <w:tr>
        <w:trPr>
          <w:trHeight w:val="132"/>
        </w:trPr>
        <w:tc>
          <w:tcPr>
            <w:tcW w:w="54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December 31, 2021</w:t>
            </w: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December 31, 2020</w:t>
            </w: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December 31, 2021</w:t>
            </w: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December 31, 2020</w:t>
            </w:r>
          </w:p>
        </w:tc>
      </w:tr>
      <w:tr>
        <w:trPr>
          <w:trHeight w:val="165"/>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attributable to stockholders(a)</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2,846</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10,019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6,427</w:t>
            </w:r>
          </w:p>
        </w:tc>
      </w:tr>
      <w:tr>
        <w:trPr>
          <w:trHeight w:val="168"/>
        </w:trPr>
        <w:tc>
          <w:tcPr>
            <w:tcW w:w="5440" w:type="dxa"/>
            <w:vAlign w:val="bottom"/>
          </w:tcPr>
          <w:p>
            <w:pPr>
              <w:ind w:left="20"/>
              <w:spacing w:after="0"/>
              <w:rPr>
                <w:sz w:val="20"/>
                <w:szCs w:val="20"/>
                <w:color w:val="auto"/>
              </w:rPr>
            </w:pPr>
            <w:r>
              <w:rPr>
                <w:rFonts w:ascii="Arial" w:cs="Arial" w:eastAsia="Arial" w:hAnsi="Arial"/>
                <w:sz w:val="13"/>
                <w:szCs w:val="13"/>
                <w:color w:val="auto"/>
              </w:rPr>
              <w:t>Income tax expense</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642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2,771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1,774</w:t>
            </w:r>
          </w:p>
        </w:tc>
      </w:tr>
      <w:tr>
        <w:trPr>
          <w:trHeight w:val="172"/>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1,098</w:t>
            </w:r>
          </w:p>
        </w:tc>
      </w:tr>
      <w:tr>
        <w:trPr>
          <w:trHeight w:val="168"/>
        </w:trPr>
        <w:tc>
          <w:tcPr>
            <w:tcW w:w="544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(241)</w:t>
            </w:r>
          </w:p>
        </w:tc>
      </w:tr>
      <w:tr>
        <w:trPr>
          <w:trHeight w:val="172"/>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68"/>
        </w:trPr>
        <w:tc>
          <w:tcPr>
            <w:tcW w:w="5440" w:type="dxa"/>
            <w:vAlign w:val="bottom"/>
          </w:tcPr>
          <w:p>
            <w:pPr>
              <w:ind w:left="100"/>
              <w:spacing w:after="0"/>
              <w:rPr>
                <w:sz w:val="20"/>
                <w:szCs w:val="20"/>
                <w:color w:val="auto"/>
              </w:rPr>
            </w:pPr>
            <w:r>
              <w:rPr>
                <w:rFonts w:ascii="Arial" w:cs="Arial" w:eastAsia="Arial" w:hAnsi="Arial"/>
                <w:sz w:val="13"/>
                <w:szCs w:val="13"/>
                <w:color w:val="auto"/>
              </w:rPr>
              <w:t>Patent royalty matters(b)</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5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GM Brazil indirect tax matters(c)</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5440" w:type="dxa"/>
            <w:vAlign w:val="bottom"/>
          </w:tcPr>
          <w:p>
            <w:pPr>
              <w:ind w:left="100"/>
              <w:spacing w:after="0"/>
              <w:rPr>
                <w:sz w:val="20"/>
                <w:szCs w:val="20"/>
                <w:color w:val="auto"/>
              </w:rPr>
            </w:pPr>
            <w:r>
              <w:rPr>
                <w:rFonts w:ascii="Arial" w:cs="Arial" w:eastAsia="Arial" w:hAnsi="Arial"/>
                <w:sz w:val="13"/>
                <w:szCs w:val="13"/>
                <w:color w:val="auto"/>
              </w:rPr>
              <w:t>Cadillac dealer strategy(d)</w:t>
            </w:r>
          </w:p>
        </w:tc>
        <w:tc>
          <w:tcPr>
            <w:tcW w:w="1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99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99</w:t>
            </w:r>
          </w:p>
        </w:tc>
      </w:tr>
      <w:tr>
        <w:trPr>
          <w:trHeight w:val="172"/>
        </w:trPr>
        <w:tc>
          <w:tcPr>
            <w:tcW w:w="5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GM Korea wage litigation(e)</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5440" w:type="dxa"/>
            <w:vAlign w:val="bottom"/>
          </w:tcPr>
          <w:p>
            <w:pPr>
              <w:ind w:left="100"/>
              <w:spacing w:after="0"/>
              <w:rPr>
                <w:sz w:val="20"/>
                <w:szCs w:val="20"/>
                <w:color w:val="auto"/>
              </w:rPr>
            </w:pPr>
            <w:r>
              <w:rPr>
                <w:rFonts w:ascii="Arial" w:cs="Arial" w:eastAsia="Arial" w:hAnsi="Arial"/>
                <w:sz w:val="13"/>
                <w:szCs w:val="13"/>
                <w:color w:val="auto"/>
              </w:rPr>
              <w:t>GMI restructuring(f)</w:t>
            </w:r>
          </w:p>
        </w:tc>
        <w:tc>
          <w:tcPr>
            <w:tcW w:w="1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683</w:t>
            </w:r>
          </w:p>
        </w:tc>
      </w:tr>
      <w:tr>
        <w:trPr>
          <w:trHeight w:val="170"/>
        </w:trPr>
        <w:tc>
          <w:tcPr>
            <w:tcW w:w="5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Ignition switch recall and related legal matters(g)</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r>
      <w:tr>
        <w:trPr>
          <w:trHeight w:val="16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adjustments</w:t>
            </w: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444</w:t>
            </w: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701</w:t>
            </w: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652</w:t>
            </w:r>
          </w:p>
        </w:tc>
      </w:tr>
      <w:tr>
        <w:trPr>
          <w:trHeight w:val="163"/>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EBIT-adjusted</w:t>
            </w:r>
          </w:p>
        </w:tc>
        <w:tc>
          <w:tcPr>
            <w:tcW w:w="1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2,839</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3,712</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14,295</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9,710</w:t>
            </w:r>
          </w:p>
        </w:tc>
      </w:tr>
      <w:tr>
        <w:trPr>
          <w:trHeight w:val="148"/>
        </w:trPr>
        <w:tc>
          <w:tcPr>
            <w:tcW w:w="5440" w:type="dxa"/>
            <w:vAlign w:val="bottom"/>
          </w:tcPr>
          <w:p>
            <w:pPr>
              <w:ind w:left="20"/>
              <w:spacing w:after="0" w:line="146" w:lineRule="exact"/>
              <w:rPr>
                <w:sz w:val="20"/>
                <w:szCs w:val="20"/>
                <w:color w:val="auto"/>
              </w:rPr>
            </w:pPr>
            <w:r>
              <w:rPr>
                <w:rFonts w:ascii="Arial" w:cs="Arial" w:eastAsia="Arial" w:hAnsi="Arial"/>
                <w:sz w:val="13"/>
                <w:szCs w:val="13"/>
                <w:color w:val="auto"/>
              </w:rPr>
              <w:t>Operating segments</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72"/>
        </w:trPr>
        <w:tc>
          <w:tcPr>
            <w:tcW w:w="5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GM North America (GMNA)</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10,318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9,071</w:t>
            </w:r>
          </w:p>
        </w:tc>
      </w:tr>
      <w:tr>
        <w:trPr>
          <w:trHeight w:val="168"/>
        </w:trPr>
        <w:tc>
          <w:tcPr>
            <w:tcW w:w="5440" w:type="dxa"/>
            <w:vAlign w:val="bottom"/>
          </w:tcPr>
          <w:p>
            <w:pPr>
              <w:ind w:left="120"/>
              <w:spacing w:after="0"/>
              <w:rPr>
                <w:sz w:val="20"/>
                <w:szCs w:val="20"/>
                <w:color w:val="auto"/>
              </w:rPr>
            </w:pPr>
            <w:r>
              <w:rPr>
                <w:rFonts w:ascii="Arial" w:cs="Arial" w:eastAsia="Arial" w:hAnsi="Arial"/>
                <w:sz w:val="13"/>
                <w:szCs w:val="13"/>
                <w:color w:val="auto"/>
              </w:rPr>
              <w:t>GM International (GMI)</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275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283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827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(528)</w:t>
            </w:r>
          </w:p>
        </w:tc>
      </w:tr>
      <w:tr>
        <w:trPr>
          <w:trHeight w:val="172"/>
        </w:trPr>
        <w:tc>
          <w:tcPr>
            <w:tcW w:w="5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Cruise</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w:t>
            </w:r>
          </w:p>
        </w:tc>
      </w:tr>
      <w:tr>
        <w:trPr>
          <w:trHeight w:val="168"/>
        </w:trPr>
        <w:tc>
          <w:tcPr>
            <w:tcW w:w="54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GM Financial(h)</w:t>
            </w: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1,039</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5,036</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2,702</w:t>
            </w:r>
          </w:p>
        </w:tc>
      </w:tr>
      <w:tr>
        <w:trPr>
          <w:trHeight w:val="163"/>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operating segments</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14,985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10,358</w:t>
            </w:r>
          </w:p>
        </w:tc>
      </w:tr>
      <w:tr>
        <w:trPr>
          <w:trHeight w:val="168"/>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 and eliminations(i)</w:t>
            </w: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(648)</w:t>
            </w:r>
          </w:p>
        </w:tc>
      </w:tr>
      <w:tr>
        <w:trPr>
          <w:trHeight w:val="18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EBIT-adjusted</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14,295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9,710</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 w:lineRule="exact"/>
        <w:rPr>
          <w:sz w:val="20"/>
          <w:szCs w:val="20"/>
          <w:color w:val="auto"/>
        </w:rPr>
      </w:pPr>
    </w:p>
    <w:p>
      <w:pPr>
        <w:ind w:left="320" w:hanging="251"/>
        <w:spacing w:after="0"/>
        <w:tabs>
          <w:tab w:leader="none" w:pos="320" w:val="left"/>
        </w:tabs>
        <w:numPr>
          <w:ilvl w:val="0"/>
          <w:numId w:val="2"/>
        </w:numPr>
        <w:rPr>
          <w:rFonts w:ascii="Arial" w:cs="Arial" w:eastAsia="Arial" w:hAnsi="Arial"/>
          <w:sz w:val="11"/>
          <w:szCs w:val="11"/>
          <w:color w:val="auto"/>
        </w:rPr>
      </w:pPr>
      <w:r>
        <w:rPr>
          <w:rFonts w:ascii="Arial" w:cs="Arial" w:eastAsia="Arial" w:hAnsi="Arial"/>
          <w:sz w:val="11"/>
          <w:szCs w:val="11"/>
          <w:color w:val="auto"/>
        </w:rPr>
        <w:t>Net of net loss attributable to noncontrolling interests.</w:t>
      </w:r>
    </w:p>
    <w:p>
      <w:pPr>
        <w:ind w:left="320" w:hanging="251"/>
        <w:spacing w:after="0"/>
        <w:tabs>
          <w:tab w:leader="none" w:pos="32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potential royalties accrued with respect to past-year sales.</w:t>
      </w:r>
    </w:p>
    <w:p>
      <w:pPr>
        <w:ind w:left="320" w:hanging="251"/>
        <w:spacing w:after="0"/>
        <w:tabs>
          <w:tab w:leader="none" w:pos="32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a potential settlement with certain third parties relating to retrospective recoveries of indirect taxes in Brazil.</w:t>
      </w:r>
    </w:p>
    <w:p>
      <w:pPr>
        <w:ind w:left="320" w:hanging="251"/>
        <w:spacing w:after="0"/>
        <w:tabs>
          <w:tab w:leader="none" w:pos="32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These adjustments were excluded because they relate to strategic activities to transition certain Cadillac dealers from the network as part of Cadillac's electric vehicle strategy.</w:t>
      </w:r>
    </w:p>
    <w:p>
      <w:pPr>
        <w:ind w:left="320" w:hanging="251"/>
        <w:spacing w:after="0"/>
        <w:tabs>
          <w:tab w:leader="none" w:pos="32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recent Supreme Court of the Republic of Korea (Korea Supreme Court) decisions related to our salaried workers.</w:t>
      </w:r>
    </w:p>
    <w:p>
      <w:pPr>
        <w:jc w:val="both"/>
        <w:ind w:left="320" w:hanging="251"/>
        <w:spacing w:after="0" w:line="241" w:lineRule="auto"/>
        <w:tabs>
          <w:tab w:leader="none" w:pos="31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 adjustments primarily consist of dealer restructurings, asset impairments, inventory provisions and employee separation charges in Australia, New Zealand, Thailand and India in the year ended December 31, 2020.</w:t>
      </w:r>
    </w:p>
    <w:p>
      <w:pPr>
        <w:ind w:left="320" w:hanging="251"/>
        <w:spacing w:after="0"/>
        <w:tabs>
          <w:tab w:leader="none" w:pos="32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These adjustments were excluded because of the unique events associated with the ignition switch recall, which included various investigations, inquiries and complaints from constituents.</w:t>
      </w:r>
    </w:p>
    <w:p>
      <w:pPr>
        <w:ind w:left="320" w:hanging="251"/>
        <w:spacing w:after="0"/>
        <w:tabs>
          <w:tab w:leader="none" w:pos="320" w:val="left"/>
        </w:tabs>
        <w:numPr>
          <w:ilvl w:val="0"/>
          <w:numId w:val="2"/>
        </w:numPr>
        <w:rPr>
          <w:rFonts w:ascii="Arial" w:cs="Arial" w:eastAsia="Arial" w:hAnsi="Arial"/>
          <w:sz w:val="11"/>
          <w:szCs w:val="11"/>
          <w:color w:val="auto"/>
        </w:rPr>
      </w:pPr>
      <w:r>
        <w:rPr>
          <w:rFonts w:ascii="Arial" w:cs="Arial" w:eastAsia="Arial" w:hAnsi="Arial"/>
          <w:sz w:val="11"/>
          <w:szCs w:val="11"/>
          <w:color w:val="auto"/>
        </w:rPr>
        <w:t>GM Financial amounts represent EBT-adjusted.</w:t>
      </w:r>
    </w:p>
    <w:p>
      <w:pPr>
        <w:ind w:left="320" w:hanging="251"/>
        <w:spacing w:after="0" w:line="260" w:lineRule="auto"/>
        <w:tabs>
          <w:tab w:leader="none" w:pos="314" w:val="left"/>
        </w:tabs>
        <w:numPr>
          <w:ilvl w:val="0"/>
          <w:numId w:val="2"/>
        </w:numPr>
        <w:rPr>
          <w:rFonts w:ascii="Arial" w:cs="Arial" w:eastAsia="Arial" w:hAnsi="Arial"/>
          <w:sz w:val="11"/>
          <w:szCs w:val="11"/>
          <w:color w:val="auto"/>
        </w:rPr>
      </w:pPr>
      <w:r>
        <w:rPr>
          <w:rFonts w:ascii="Arial" w:cs="Arial" w:eastAsia="Arial" w:hAnsi="Arial"/>
          <w:sz w:val="11"/>
          <w:szCs w:val="11"/>
          <w:color w:val="auto"/>
        </w:rPr>
        <w:t>GM's automotive interest income and interest expense, legacy costs from the Opel and Vauxhall businesses and certain other assets in Europe, which are primarily pension costs, corporate expenditures and certain nonsegment-specific revenues and expenses are recorded centrally in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80"/>
          </w:cols>
          <w:pgMar w:left="300" w:top="698"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income attributable to stockholders under U.S. GAAP to EBIT-adjusted (dollars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68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Years Ended December 31,</w:t>
            </w: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r>
      <w:tr>
        <w:trPr>
          <w:trHeight w:val="132"/>
        </w:trPr>
        <w:tc>
          <w:tcPr>
            <w:tcW w:w="68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558"/>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37"/>
              <w:spacing w:after="0"/>
              <w:rPr>
                <w:sz w:val="20"/>
                <w:szCs w:val="20"/>
                <w:color w:val="auto"/>
              </w:rPr>
            </w:pPr>
            <w:r>
              <w:rPr>
                <w:rFonts w:ascii="Arial" w:cs="Arial" w:eastAsia="Arial" w:hAnsi="Arial"/>
                <w:sz w:val="10"/>
                <w:szCs w:val="10"/>
                <w:b w:val="1"/>
                <w:bCs w:val="1"/>
                <w:color w:val="auto"/>
              </w:rPr>
              <w:t>2019</w:t>
            </w:r>
          </w:p>
        </w:tc>
      </w:tr>
      <w:tr>
        <w:trPr>
          <w:trHeight w:val="165"/>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attributable to stockholders</w:t>
            </w:r>
          </w:p>
        </w:tc>
        <w:tc>
          <w:tcPr>
            <w:tcW w:w="900" w:type="dxa"/>
            <w:vAlign w:val="bottom"/>
            <w:shd w:val="clear" w:color="auto" w:fill="CCEEFF"/>
          </w:tcPr>
          <w:p>
            <w:pPr>
              <w:jc w:val="right"/>
              <w:ind w:right="761"/>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6,732</w:t>
            </w:r>
          </w:p>
        </w:tc>
      </w:tr>
      <w:tr>
        <w:trPr>
          <w:trHeight w:val="168"/>
        </w:trPr>
        <w:tc>
          <w:tcPr>
            <w:tcW w:w="6800" w:type="dxa"/>
            <w:vAlign w:val="bottom"/>
          </w:tcPr>
          <w:p>
            <w:pPr>
              <w:ind w:left="20"/>
              <w:spacing w:after="0"/>
              <w:rPr>
                <w:sz w:val="20"/>
                <w:szCs w:val="20"/>
                <w:color w:val="auto"/>
              </w:rPr>
            </w:pPr>
            <w:r>
              <w:rPr>
                <w:rFonts w:ascii="Arial" w:cs="Arial" w:eastAsia="Arial" w:hAnsi="Arial"/>
                <w:sz w:val="13"/>
                <w:szCs w:val="13"/>
                <w:color w:val="auto"/>
              </w:rPr>
              <w:t>Income tax expense</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2,771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1,774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769</w:t>
            </w:r>
          </w:p>
        </w:tc>
      </w:tr>
      <w:tr>
        <w:trPr>
          <w:trHeight w:val="172"/>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782</w:t>
            </w:r>
          </w:p>
        </w:tc>
      </w:tr>
      <w:tr>
        <w:trPr>
          <w:trHeight w:val="168"/>
        </w:trPr>
        <w:tc>
          <w:tcPr>
            <w:tcW w:w="680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(241)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(429)</w:t>
            </w:r>
          </w:p>
        </w:tc>
      </w:tr>
      <w:tr>
        <w:trPr>
          <w:trHeight w:val="172"/>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8"/>
        </w:trPr>
        <w:tc>
          <w:tcPr>
            <w:tcW w:w="6800" w:type="dxa"/>
            <w:vAlign w:val="bottom"/>
          </w:tcPr>
          <w:p>
            <w:pPr>
              <w:ind w:left="100"/>
              <w:spacing w:after="0"/>
              <w:rPr>
                <w:sz w:val="20"/>
                <w:szCs w:val="20"/>
                <w:color w:val="auto"/>
              </w:rPr>
            </w:pPr>
            <w:r>
              <w:rPr>
                <w:rFonts w:ascii="Arial" w:cs="Arial" w:eastAsia="Arial" w:hAnsi="Arial"/>
                <w:sz w:val="13"/>
                <w:szCs w:val="13"/>
                <w:color w:val="auto"/>
              </w:rPr>
              <w:t>Patent royalty matters(a)</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6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GM Brazil indirect tax matters(b)</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(1,360)</w:t>
            </w:r>
          </w:p>
        </w:tc>
      </w:tr>
      <w:tr>
        <w:trPr>
          <w:trHeight w:val="168"/>
        </w:trPr>
        <w:tc>
          <w:tcPr>
            <w:tcW w:w="6800" w:type="dxa"/>
            <w:vAlign w:val="bottom"/>
          </w:tcPr>
          <w:p>
            <w:pPr>
              <w:ind w:left="100"/>
              <w:spacing w:after="0"/>
              <w:rPr>
                <w:sz w:val="20"/>
                <w:szCs w:val="20"/>
                <w:color w:val="auto"/>
              </w:rPr>
            </w:pPr>
            <w:r>
              <w:rPr>
                <w:rFonts w:ascii="Arial" w:cs="Arial" w:eastAsia="Arial" w:hAnsi="Arial"/>
                <w:sz w:val="13"/>
                <w:szCs w:val="13"/>
                <w:color w:val="auto"/>
              </w:rPr>
              <w:t>Cadillac dealer strategy(c)</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6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GM Korea wage litigation(d)</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800" w:type="dxa"/>
            <w:vAlign w:val="bottom"/>
          </w:tcPr>
          <w:p>
            <w:pPr>
              <w:ind w:left="100"/>
              <w:spacing w:after="0"/>
              <w:rPr>
                <w:sz w:val="20"/>
                <w:szCs w:val="20"/>
                <w:color w:val="auto"/>
              </w:rPr>
            </w:pPr>
            <w:r>
              <w:rPr>
                <w:rFonts w:ascii="Arial" w:cs="Arial" w:eastAsia="Arial" w:hAnsi="Arial"/>
                <w:sz w:val="13"/>
                <w:szCs w:val="13"/>
                <w:color w:val="auto"/>
              </w:rPr>
              <w:t>GMI restructuring(e)</w:t>
            </w:r>
          </w:p>
        </w:tc>
        <w:tc>
          <w:tcPr>
            <w:tcW w:w="9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683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6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Ignition switch recall and related legal matters(f)</w:t>
            </w:r>
          </w:p>
        </w:tc>
        <w:tc>
          <w:tcPr>
            <w:tcW w:w="9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800" w:type="dxa"/>
            <w:vAlign w:val="bottom"/>
          </w:tcPr>
          <w:p>
            <w:pPr>
              <w:ind w:left="100"/>
              <w:spacing w:after="0"/>
              <w:rPr>
                <w:sz w:val="20"/>
                <w:szCs w:val="20"/>
                <w:color w:val="auto"/>
              </w:rPr>
            </w:pPr>
            <w:r>
              <w:rPr>
                <w:rFonts w:ascii="Arial" w:cs="Arial" w:eastAsia="Arial" w:hAnsi="Arial"/>
                <w:sz w:val="13"/>
                <w:szCs w:val="13"/>
                <w:color w:val="auto"/>
              </w:rPr>
              <w:t>Transformation activities(g)</w:t>
            </w:r>
          </w:p>
        </w:tc>
        <w:tc>
          <w:tcPr>
            <w:tcW w:w="9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1,735</w:t>
            </w:r>
          </w:p>
        </w:tc>
      </w:tr>
      <w:tr>
        <w:trPr>
          <w:trHeight w:val="170"/>
        </w:trPr>
        <w:tc>
          <w:tcPr>
            <w:tcW w:w="6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FAW-GM divestiture(h)</w:t>
            </w:r>
          </w:p>
        </w:tc>
        <w:tc>
          <w:tcPr>
            <w:tcW w:w="9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r>
      <w:tr>
        <w:trPr>
          <w:trHeight w:val="16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adjustments</w:t>
            </w:r>
          </w:p>
        </w:tc>
        <w:tc>
          <w:tcPr>
            <w:tcW w:w="9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701</w:t>
            </w: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652</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539</w:t>
            </w:r>
          </w:p>
        </w:tc>
      </w:tr>
      <w:tr>
        <w:trPr>
          <w:trHeight w:val="18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EBIT-adjusted</w:t>
            </w:r>
          </w:p>
        </w:tc>
        <w:tc>
          <w:tcPr>
            <w:tcW w:w="90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14,295</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9,710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8,393</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 w:lineRule="exact"/>
        <w:rPr>
          <w:sz w:val="20"/>
          <w:szCs w:val="20"/>
          <w:color w:val="auto"/>
        </w:rPr>
      </w:pPr>
    </w:p>
    <w:p>
      <w:pPr>
        <w:ind w:left="320" w:hanging="251"/>
        <w:spacing w:after="0"/>
        <w:tabs>
          <w:tab w:leader="none" w:pos="32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potential royalties accrued with respect to past-year sales.</w:t>
      </w:r>
    </w:p>
    <w:p>
      <w:pPr>
        <w:ind w:left="320" w:hanging="251"/>
        <w:spacing w:after="0" w:line="241" w:lineRule="auto"/>
        <w:tabs>
          <w:tab w:leader="none" w:pos="31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the unique events associated with decisions rendered by the Superior Judicial Court of Brazil resulting in retrospective recoveries of indirect taxes in the year ended December 31, 2019, and a potential settlement with certain third parties relating to these recoveries in the year ended December 31, 2021.</w:t>
      </w:r>
    </w:p>
    <w:p>
      <w:pPr>
        <w:ind w:left="320" w:hanging="251"/>
        <w:spacing w:after="0"/>
        <w:tabs>
          <w:tab w:leader="none" w:pos="32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they relate to strategic activities to transition certain Cadillac dealers from the network as part of Cadillac's electric vehicle strategy.</w:t>
      </w:r>
    </w:p>
    <w:p>
      <w:pPr>
        <w:ind w:left="320" w:hanging="251"/>
        <w:spacing w:after="0"/>
        <w:tabs>
          <w:tab w:leader="none" w:pos="32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recent Korea Supreme Court decisions related to our salaried workers.</w:t>
      </w:r>
    </w:p>
    <w:p>
      <w:pPr>
        <w:jc w:val="both"/>
        <w:ind w:left="320" w:hanging="251"/>
        <w:spacing w:after="0" w:line="241" w:lineRule="auto"/>
        <w:tabs>
          <w:tab w:leader="none" w:pos="31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 adjustments primarily consist of dealer restructurings, asset impairments, inventory provisions and employee separation charges in Australia, New Zealand, Thailand and India in the year ended December 31, 2020.</w:t>
      </w:r>
    </w:p>
    <w:p>
      <w:pPr>
        <w:ind w:left="320" w:hanging="251"/>
        <w:spacing w:after="0"/>
        <w:tabs>
          <w:tab w:leader="none" w:pos="32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the unique events associated with the ignition switch recall, which included various investigations, inquiries and complaints from constituents.</w:t>
      </w:r>
    </w:p>
    <w:p>
      <w:pPr>
        <w:jc w:val="both"/>
        <w:ind w:left="320" w:hanging="251"/>
        <w:spacing w:after="0" w:line="243" w:lineRule="auto"/>
        <w:tabs>
          <w:tab w:leader="none" w:pos="31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accelerated depreciation, supplier-related charges, pension and other curtailment charges and employee-related separation charges in the year ended December 31, 2019.</w:t>
      </w:r>
    </w:p>
    <w:p>
      <w:pPr>
        <w:spacing w:after="0" w:line="125" w:lineRule="exact"/>
        <w:rPr>
          <w:rFonts w:ascii="Arial" w:cs="Arial" w:eastAsia="Arial" w:hAnsi="Arial"/>
          <w:sz w:val="11"/>
          <w:szCs w:val="11"/>
          <w:color w:val="auto"/>
        </w:rPr>
      </w:pPr>
    </w:p>
    <w:p>
      <w:pPr>
        <w:ind w:left="320" w:hanging="251"/>
        <w:spacing w:after="0" w:line="260" w:lineRule="auto"/>
        <w:tabs>
          <w:tab w:leader="none" w:pos="31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we divested our joint venture FAW-GM Light Duty Commercial Vehicle Co., Ltd. (FAW-GM), as a result of a strategic decision by both shareholders, allowing us to focus our resources on opportunities expected to deliver higher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80"/>
          </w:cols>
          <w:pgMar w:left="300" w:top="698"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reconciles diluted earnings per common share under U.S. GAAP to EPS-diluted-adjusted (dollars in millions, except per share amounts):</w:t>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37"/>
        </w:trPr>
        <w:tc>
          <w:tcPr>
            <w:tcW w:w="39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5"/>
          </w:tcPr>
          <w:p>
            <w:pPr>
              <w:ind w:left="280"/>
              <w:spacing w:after="0"/>
              <w:rPr>
                <w:sz w:val="20"/>
                <w:szCs w:val="20"/>
                <w:color w:val="auto"/>
              </w:rPr>
            </w:pPr>
            <w:r>
              <w:rPr>
                <w:rFonts w:ascii="Arial" w:cs="Arial" w:eastAsia="Arial" w:hAnsi="Arial"/>
                <w:sz w:val="10"/>
                <w:szCs w:val="10"/>
                <w:b w:val="1"/>
                <w:bCs w:val="1"/>
                <w:color w:val="auto"/>
              </w:rPr>
              <w:t>Three Months Ended</w:t>
            </w: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5"/>
          </w:tcPr>
          <w:p>
            <w:pPr>
              <w:ind w:left="460"/>
              <w:spacing w:after="0"/>
              <w:rPr>
                <w:sz w:val="20"/>
                <w:szCs w:val="20"/>
                <w:color w:val="auto"/>
              </w:rPr>
            </w:pPr>
            <w:r>
              <w:rPr>
                <w:rFonts w:ascii="Arial" w:cs="Arial" w:eastAsia="Arial" w:hAnsi="Arial"/>
                <w:sz w:val="10"/>
                <w:szCs w:val="10"/>
                <w:b w:val="1"/>
                <w:bCs w:val="1"/>
                <w:color w:val="auto"/>
              </w:rPr>
              <w:t>Years Ended</w:t>
            </w: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r>
      <w:tr>
        <w:trPr>
          <w:trHeight w:val="132"/>
        </w:trPr>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5"/>
          </w:tcPr>
          <w:p>
            <w:pPr>
              <w:ind w:left="280"/>
              <w:spacing w:after="0"/>
              <w:rPr>
                <w:sz w:val="20"/>
                <w:szCs w:val="20"/>
                <w:color w:val="auto"/>
              </w:rPr>
            </w:pPr>
            <w:r>
              <w:rPr>
                <w:rFonts w:ascii="Arial" w:cs="Arial" w:eastAsia="Arial" w:hAnsi="Arial"/>
                <w:sz w:val="10"/>
                <w:szCs w:val="10"/>
                <w:b w:val="1"/>
                <w:bCs w:val="1"/>
                <w:color w:val="auto"/>
              </w:rPr>
              <w:t>December 31, 2021</w:t>
            </w:r>
          </w:p>
        </w:tc>
        <w:tc>
          <w:tcPr>
            <w:tcW w:w="140" w:type="dxa"/>
            <w:vAlign w:val="bottom"/>
          </w:tcPr>
          <w:p>
            <w:pPr>
              <w:spacing w:after="0"/>
              <w:rPr>
                <w:sz w:val="11"/>
                <w:szCs w:val="11"/>
                <w:color w:val="auto"/>
              </w:rPr>
            </w:pPr>
          </w:p>
        </w:tc>
        <w:tc>
          <w:tcPr>
            <w:tcW w:w="1620" w:type="dxa"/>
            <w:vAlign w:val="bottom"/>
            <w:gridSpan w:val="4"/>
          </w:tcPr>
          <w:p>
            <w:pPr>
              <w:jc w:val="right"/>
              <w:ind w:right="379"/>
              <w:spacing w:after="0"/>
              <w:rPr>
                <w:sz w:val="20"/>
                <w:szCs w:val="20"/>
                <w:color w:val="auto"/>
              </w:rPr>
            </w:pPr>
            <w:r>
              <w:rPr>
                <w:rFonts w:ascii="Arial" w:cs="Arial" w:eastAsia="Arial" w:hAnsi="Arial"/>
                <w:sz w:val="10"/>
                <w:szCs w:val="10"/>
                <w:b w:val="1"/>
                <w:bCs w:val="1"/>
                <w:color w:val="auto"/>
              </w:rPr>
              <w:t>December 31, 2020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5"/>
          </w:tcPr>
          <w:p>
            <w:pPr>
              <w:ind w:left="280"/>
              <w:spacing w:after="0"/>
              <w:rPr>
                <w:sz w:val="20"/>
                <w:szCs w:val="20"/>
                <w:color w:val="auto"/>
              </w:rPr>
            </w:pPr>
            <w:r>
              <w:rPr>
                <w:rFonts w:ascii="Arial" w:cs="Arial" w:eastAsia="Arial" w:hAnsi="Arial"/>
                <w:sz w:val="10"/>
                <w:szCs w:val="10"/>
                <w:b w:val="1"/>
                <w:bCs w:val="1"/>
                <w:color w:val="auto"/>
              </w:rPr>
              <w:t>December 31, 2021</w:t>
            </w:r>
          </w:p>
        </w:tc>
        <w:tc>
          <w:tcPr>
            <w:tcW w:w="140" w:type="dxa"/>
            <w:vAlign w:val="bottom"/>
          </w:tcPr>
          <w:p>
            <w:pPr>
              <w:spacing w:after="0"/>
              <w:rPr>
                <w:sz w:val="11"/>
                <w:szCs w:val="11"/>
                <w:color w:val="auto"/>
              </w:rPr>
            </w:pPr>
          </w:p>
        </w:tc>
        <w:tc>
          <w:tcPr>
            <w:tcW w:w="1620" w:type="dxa"/>
            <w:vAlign w:val="bottom"/>
            <w:gridSpan w:val="4"/>
          </w:tcPr>
          <w:p>
            <w:pPr>
              <w:ind w:left="280"/>
              <w:spacing w:after="0"/>
              <w:rPr>
                <w:sz w:val="20"/>
                <w:szCs w:val="20"/>
                <w:color w:val="auto"/>
              </w:rPr>
            </w:pPr>
            <w:r>
              <w:rPr>
                <w:rFonts w:ascii="Arial" w:cs="Arial" w:eastAsia="Arial" w:hAnsi="Arial"/>
                <w:sz w:val="10"/>
                <w:szCs w:val="10"/>
                <w:b w:val="1"/>
                <w:bCs w:val="1"/>
                <w:color w:val="auto"/>
              </w:rPr>
              <w:t>December 31, 2020</w:t>
            </w:r>
          </w:p>
        </w:tc>
      </w:tr>
      <w:tr>
        <w:trPr>
          <w:trHeight w:val="129"/>
        </w:trPr>
        <w:tc>
          <w:tcPr>
            <w:tcW w:w="39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40"/>
              <w:spacing w:after="0"/>
              <w:rPr>
                <w:sz w:val="20"/>
                <w:szCs w:val="20"/>
                <w:color w:val="auto"/>
              </w:rPr>
            </w:pPr>
            <w:r>
              <w:rPr>
                <w:rFonts w:ascii="Arial" w:cs="Arial" w:eastAsia="Arial" w:hAnsi="Arial"/>
                <w:sz w:val="10"/>
                <w:szCs w:val="10"/>
                <w:b w:val="1"/>
                <w:bCs w:val="1"/>
                <w:color w:val="auto"/>
              </w:rPr>
              <w:t>Per Share</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39"/>
              <w:spacing w:after="0"/>
              <w:rPr>
                <w:sz w:val="20"/>
                <w:szCs w:val="20"/>
                <w:color w:val="auto"/>
              </w:rPr>
            </w:pPr>
            <w:r>
              <w:rPr>
                <w:rFonts w:ascii="Arial" w:cs="Arial" w:eastAsia="Arial" w:hAnsi="Arial"/>
                <w:sz w:val="10"/>
                <w:szCs w:val="10"/>
                <w:b w:val="1"/>
                <w:bCs w:val="1"/>
                <w:color w:val="auto"/>
              </w:rPr>
              <w:t>Per Share</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40"/>
              <w:spacing w:after="0"/>
              <w:rPr>
                <w:sz w:val="20"/>
                <w:szCs w:val="20"/>
                <w:color w:val="auto"/>
              </w:rPr>
            </w:pPr>
            <w:r>
              <w:rPr>
                <w:rFonts w:ascii="Arial" w:cs="Arial" w:eastAsia="Arial" w:hAnsi="Arial"/>
                <w:sz w:val="10"/>
                <w:szCs w:val="10"/>
                <w:b w:val="1"/>
                <w:bCs w:val="1"/>
                <w:color w:val="auto"/>
              </w:rPr>
              <w:t>Per Share</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ind w:left="60"/>
              <w:spacing w:after="0"/>
              <w:rPr>
                <w:sz w:val="20"/>
                <w:szCs w:val="20"/>
                <w:color w:val="auto"/>
              </w:rPr>
            </w:pPr>
            <w:r>
              <w:rPr>
                <w:rFonts w:ascii="Arial" w:cs="Arial" w:eastAsia="Arial" w:hAnsi="Arial"/>
                <w:sz w:val="10"/>
                <w:szCs w:val="10"/>
                <w:b w:val="1"/>
                <w:bCs w:val="1"/>
                <w:color w:val="auto"/>
              </w:rPr>
              <w:t>Per Share</w:t>
            </w:r>
          </w:p>
        </w:tc>
      </w:tr>
      <w:tr>
        <w:trPr>
          <w:trHeight w:val="165"/>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Diluted earnings per common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9,837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6,247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center"/>
              <w:ind w:left="279"/>
              <w:spacing w:after="0"/>
              <w:rPr>
                <w:sz w:val="20"/>
                <w:szCs w:val="20"/>
                <w:color w:val="auto"/>
              </w:rPr>
            </w:pPr>
            <w:r>
              <w:rPr>
                <w:rFonts w:ascii="Arial" w:cs="Arial" w:eastAsia="Arial" w:hAnsi="Arial"/>
                <w:sz w:val="13"/>
                <w:szCs w:val="13"/>
                <w:color w:val="auto"/>
                <w:w w:val="94"/>
              </w:rPr>
              <w:t>4.33</w:t>
            </w:r>
          </w:p>
        </w:tc>
      </w:tr>
      <w:tr>
        <w:trPr>
          <w:trHeight w:val="168"/>
        </w:trPr>
        <w:tc>
          <w:tcPr>
            <w:tcW w:w="390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left="279"/>
              <w:spacing w:after="0"/>
              <w:rPr>
                <w:sz w:val="20"/>
                <w:szCs w:val="20"/>
                <w:color w:val="auto"/>
              </w:rPr>
            </w:pPr>
            <w:r>
              <w:rPr>
                <w:rFonts w:ascii="Arial" w:cs="Arial" w:eastAsia="Arial" w:hAnsi="Arial"/>
                <w:sz w:val="13"/>
                <w:szCs w:val="13"/>
                <w:color w:val="auto"/>
                <w:w w:val="94"/>
              </w:rPr>
              <w:t>0.46</w:t>
            </w:r>
          </w:p>
        </w:tc>
      </w:tr>
      <w:tr>
        <w:trPr>
          <w:trHeight w:val="172"/>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effect on adjustments(b)</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center"/>
              <w:ind w:left="279"/>
              <w:spacing w:after="0"/>
              <w:rPr>
                <w:sz w:val="20"/>
                <w:szCs w:val="20"/>
                <w:color w:val="auto"/>
              </w:rPr>
            </w:pPr>
            <w:r>
              <w:rPr>
                <w:rFonts w:ascii="Arial" w:cs="Arial" w:eastAsia="Arial" w:hAnsi="Arial"/>
                <w:sz w:val="13"/>
                <w:szCs w:val="13"/>
                <w:color w:val="auto"/>
                <w:w w:val="94"/>
              </w:rPr>
              <w:t>(0.05)</w:t>
            </w:r>
          </w:p>
        </w:tc>
      </w:tr>
      <w:tr>
        <w:trPr>
          <w:trHeight w:val="168"/>
        </w:trPr>
        <w:tc>
          <w:tcPr>
            <w:tcW w:w="3900" w:type="dxa"/>
            <w:vAlign w:val="bottom"/>
          </w:tcPr>
          <w:p>
            <w:pPr>
              <w:ind w:left="20"/>
              <w:spacing w:after="0"/>
              <w:rPr>
                <w:sz w:val="20"/>
                <w:szCs w:val="20"/>
                <w:color w:val="auto"/>
              </w:rPr>
            </w:pPr>
            <w:r>
              <w:rPr>
                <w:rFonts w:ascii="Arial" w:cs="Arial" w:eastAsia="Arial" w:hAnsi="Arial"/>
                <w:sz w:val="13"/>
                <w:szCs w:val="13"/>
                <w:color w:val="auto"/>
              </w:rPr>
              <w:t>Tax adjustments(c)</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left="279"/>
              <w:spacing w:after="0"/>
              <w:rPr>
                <w:sz w:val="20"/>
                <w:szCs w:val="20"/>
                <w:color w:val="auto"/>
              </w:rPr>
            </w:pPr>
            <w:r>
              <w:rPr>
                <w:rFonts w:ascii="Arial" w:cs="Arial" w:eastAsia="Arial" w:hAnsi="Arial"/>
                <w:sz w:val="13"/>
                <w:szCs w:val="13"/>
                <w:color w:val="auto"/>
                <w:w w:val="94"/>
              </w:rPr>
              <w:t>0.16</w:t>
            </w:r>
          </w:p>
        </w:tc>
      </w:tr>
      <w:tr>
        <w:trPr>
          <w:trHeight w:val="188"/>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EPS-diluted-adjusted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10,382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7,065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center"/>
              <w:ind w:left="279"/>
              <w:spacing w:after="0"/>
              <w:rPr>
                <w:sz w:val="20"/>
                <w:szCs w:val="20"/>
                <w:color w:val="auto"/>
              </w:rPr>
            </w:pPr>
            <w:r>
              <w:rPr>
                <w:rFonts w:ascii="Arial" w:cs="Arial" w:eastAsia="Arial" w:hAnsi="Arial"/>
                <w:sz w:val="13"/>
                <w:szCs w:val="13"/>
                <w:color w:val="auto"/>
                <w:w w:val="94"/>
              </w:rPr>
              <w:t>4.90</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ind w:left="260" w:hanging="255"/>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Refer to the reconciliation of Net income attributable to stockholders under U.S. GAAP to segment profit (loss) for adjustment details.</w:t>
      </w:r>
    </w:p>
    <w:p>
      <w:pPr>
        <w:ind w:left="260" w:hanging="255"/>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tax effect of each adjustment is determined based on the tax laws and valuation allowance status of the jurisdiction to which the adjustment relates.</w:t>
      </w:r>
    </w:p>
    <w:p>
      <w:pPr>
        <w:spacing w:after="0" w:line="11" w:lineRule="exact"/>
        <w:rPr>
          <w:rFonts w:ascii="Arial" w:cs="Arial" w:eastAsia="Arial" w:hAnsi="Arial"/>
          <w:sz w:val="11"/>
          <w:szCs w:val="11"/>
          <w:color w:val="auto"/>
        </w:rPr>
      </w:pPr>
    </w:p>
    <w:p>
      <w:pPr>
        <w:jc w:val="both"/>
        <w:ind w:left="260" w:hanging="255"/>
        <w:spacing w:after="0" w:line="254" w:lineRule="auto"/>
        <w:tabs>
          <w:tab w:leader="none" w:pos="278" w:val="left"/>
        </w:tabs>
        <w:numPr>
          <w:ilvl w:val="0"/>
          <w:numId w:val="4"/>
        </w:numPr>
        <w:rPr>
          <w:rFonts w:ascii="Arial" w:cs="Arial" w:eastAsia="Arial" w:hAnsi="Arial"/>
          <w:sz w:val="11"/>
          <w:szCs w:val="11"/>
          <w:color w:val="auto"/>
        </w:rPr>
      </w:pPr>
      <w:r>
        <w:rPr>
          <w:rFonts w:ascii="Arial" w:cs="Arial" w:eastAsia="Arial" w:hAnsi="Arial"/>
          <w:sz w:val="11"/>
          <w:szCs w:val="11"/>
          <w:color w:val="auto"/>
        </w:rPr>
        <w:t>In the year ended December 31, 2021, the adjustments consist of tax benefits related to a deduction for an investment in a subsidiary and resolution of uncertainty relating to an indirect tax refund claim in Brazil, partially offset by tax expense related to the establishment of a valuation allowance against Cruise deferred tax assets. In the year ended December 31, 2020, the adjustment consists of tax expense related to the establishment of a valuation allowance against deferred tax assets in Australia and New Zealand. These adjustments were excluded because of the unique nature of these events and significant impacts of valuation allowances are not considered part of our core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reconciles our effective tax rate under U.S. GAAP to ETR-adjusted (dollars in millions):</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47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0"/>
                <w:szCs w:val="10"/>
                <w:b w:val="1"/>
                <w:bCs w:val="1"/>
                <w:color w:val="auto"/>
              </w:rPr>
              <w:t>Years Ended December 31,</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7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4720" w:type="dxa"/>
            <w:vAlign w:val="bottom"/>
          </w:tcPr>
          <w:p>
            <w:pPr>
              <w:spacing w:after="0"/>
              <w:rPr>
                <w:sz w:val="7"/>
                <w:szCs w:val="7"/>
                <w:color w:val="auto"/>
              </w:rPr>
            </w:pPr>
          </w:p>
        </w:tc>
        <w:tc>
          <w:tcPr>
            <w:tcW w:w="1260" w:type="dxa"/>
            <w:vAlign w:val="bottom"/>
            <w:gridSpan w:val="3"/>
          </w:tcPr>
          <w:p>
            <w:pPr>
              <w:ind w:left="60"/>
              <w:spacing w:after="0" w:line="91" w:lineRule="exact"/>
              <w:rPr>
                <w:sz w:val="20"/>
                <w:szCs w:val="20"/>
                <w:color w:val="auto"/>
              </w:rPr>
            </w:pPr>
            <w:r>
              <w:rPr>
                <w:rFonts w:ascii="Arial" w:cs="Arial" w:eastAsia="Arial" w:hAnsi="Arial"/>
                <w:sz w:val="10"/>
                <w:szCs w:val="10"/>
                <w:b w:val="1"/>
                <w:bCs w:val="1"/>
                <w:color w:val="auto"/>
              </w:rPr>
              <w:t>Income before income</w:t>
            </w:r>
          </w:p>
        </w:tc>
        <w:tc>
          <w:tcPr>
            <w:tcW w:w="140" w:type="dxa"/>
            <w:vAlign w:val="bottom"/>
          </w:tcPr>
          <w:p>
            <w:pPr>
              <w:spacing w:after="0"/>
              <w:rPr>
                <w:sz w:val="7"/>
                <w:szCs w:val="7"/>
                <w:color w:val="auto"/>
              </w:rPr>
            </w:pPr>
          </w:p>
        </w:tc>
        <w:tc>
          <w:tcPr>
            <w:tcW w:w="780" w:type="dxa"/>
            <w:vAlign w:val="bottom"/>
          </w:tcPr>
          <w:p>
            <w:pPr>
              <w:jc w:val="right"/>
              <w:ind w:right="142"/>
              <w:spacing w:after="0" w:line="91" w:lineRule="exact"/>
              <w:rPr>
                <w:sz w:val="20"/>
                <w:szCs w:val="20"/>
                <w:color w:val="auto"/>
              </w:rPr>
            </w:pPr>
            <w:r>
              <w:rPr>
                <w:rFonts w:ascii="Arial" w:cs="Arial" w:eastAsia="Arial" w:hAnsi="Arial"/>
                <w:sz w:val="10"/>
                <w:szCs w:val="10"/>
                <w:b w:val="1"/>
                <w:bCs w:val="1"/>
                <w:color w:val="auto"/>
              </w:rPr>
              <w:t>Income tax</w:t>
            </w:r>
          </w:p>
        </w:tc>
        <w:tc>
          <w:tcPr>
            <w:tcW w:w="100" w:type="dxa"/>
            <w:vAlign w:val="bottom"/>
          </w:tcPr>
          <w:p>
            <w:pPr>
              <w:spacing w:after="0"/>
              <w:rPr>
                <w:sz w:val="7"/>
                <w:szCs w:val="7"/>
                <w:color w:val="auto"/>
              </w:rPr>
            </w:pPr>
          </w:p>
        </w:tc>
        <w:tc>
          <w:tcPr>
            <w:tcW w:w="940" w:type="dxa"/>
            <w:vAlign w:val="bottom"/>
            <w:vMerge w:val="restart"/>
          </w:tcPr>
          <w:p>
            <w:pPr>
              <w:jc w:val="right"/>
              <w:ind w:right="31"/>
              <w:spacing w:after="0"/>
              <w:rPr>
                <w:sz w:val="20"/>
                <w:szCs w:val="20"/>
                <w:color w:val="auto"/>
              </w:rPr>
            </w:pPr>
            <w:r>
              <w:rPr>
                <w:rFonts w:ascii="Arial" w:cs="Arial" w:eastAsia="Arial" w:hAnsi="Arial"/>
                <w:sz w:val="10"/>
                <w:szCs w:val="10"/>
                <w:b w:val="1"/>
                <w:bCs w:val="1"/>
                <w:color w:val="auto"/>
              </w:rPr>
              <w:t>Effective tax rate</w:t>
            </w:r>
          </w:p>
        </w:tc>
        <w:tc>
          <w:tcPr>
            <w:tcW w:w="80" w:type="dxa"/>
            <w:vAlign w:val="bottom"/>
            <w:vMerge w:val="restart"/>
          </w:tcPr>
          <w:p>
            <w:pPr>
              <w:spacing w:after="0"/>
              <w:rPr>
                <w:sz w:val="7"/>
                <w:szCs w:val="7"/>
                <w:color w:val="auto"/>
              </w:rPr>
            </w:pPr>
          </w:p>
        </w:tc>
        <w:tc>
          <w:tcPr>
            <w:tcW w:w="1260" w:type="dxa"/>
            <w:vAlign w:val="bottom"/>
            <w:gridSpan w:val="3"/>
          </w:tcPr>
          <w:p>
            <w:pPr>
              <w:ind w:left="60"/>
              <w:spacing w:after="0" w:line="91" w:lineRule="exact"/>
              <w:rPr>
                <w:sz w:val="20"/>
                <w:szCs w:val="20"/>
                <w:color w:val="auto"/>
              </w:rPr>
            </w:pPr>
            <w:r>
              <w:rPr>
                <w:rFonts w:ascii="Arial" w:cs="Arial" w:eastAsia="Arial" w:hAnsi="Arial"/>
                <w:sz w:val="10"/>
                <w:szCs w:val="10"/>
                <w:b w:val="1"/>
                <w:bCs w:val="1"/>
                <w:color w:val="auto"/>
              </w:rPr>
              <w:t>Income before income</w:t>
            </w:r>
          </w:p>
        </w:tc>
        <w:tc>
          <w:tcPr>
            <w:tcW w:w="160" w:type="dxa"/>
            <w:vAlign w:val="bottom"/>
          </w:tcPr>
          <w:p>
            <w:pPr>
              <w:spacing w:after="0"/>
              <w:rPr>
                <w:sz w:val="7"/>
                <w:szCs w:val="7"/>
                <w:color w:val="auto"/>
              </w:rPr>
            </w:pPr>
          </w:p>
        </w:tc>
        <w:tc>
          <w:tcPr>
            <w:tcW w:w="780" w:type="dxa"/>
            <w:vAlign w:val="bottom"/>
          </w:tcPr>
          <w:p>
            <w:pPr>
              <w:jc w:val="right"/>
              <w:ind w:right="162"/>
              <w:spacing w:after="0" w:line="91" w:lineRule="exact"/>
              <w:rPr>
                <w:sz w:val="20"/>
                <w:szCs w:val="20"/>
                <w:color w:val="auto"/>
              </w:rPr>
            </w:pPr>
            <w:r>
              <w:rPr>
                <w:rFonts w:ascii="Arial" w:cs="Arial" w:eastAsia="Arial" w:hAnsi="Arial"/>
                <w:sz w:val="10"/>
                <w:szCs w:val="10"/>
                <w:b w:val="1"/>
                <w:bCs w:val="1"/>
                <w:color w:val="auto"/>
              </w:rPr>
              <w:t>Income tax</w:t>
            </w:r>
          </w:p>
        </w:tc>
        <w:tc>
          <w:tcPr>
            <w:tcW w:w="80" w:type="dxa"/>
            <w:vAlign w:val="bottom"/>
          </w:tcPr>
          <w:p>
            <w:pPr>
              <w:spacing w:after="0"/>
              <w:rPr>
                <w:sz w:val="7"/>
                <w:szCs w:val="7"/>
                <w:color w:val="auto"/>
              </w:rPr>
            </w:pPr>
          </w:p>
        </w:tc>
        <w:tc>
          <w:tcPr>
            <w:tcW w:w="940" w:type="dxa"/>
            <w:vAlign w:val="bottom"/>
            <w:vMerge w:val="restart"/>
          </w:tcPr>
          <w:p>
            <w:pPr>
              <w:jc w:val="right"/>
              <w:ind w:right="11"/>
              <w:spacing w:after="0"/>
              <w:rPr>
                <w:sz w:val="20"/>
                <w:szCs w:val="20"/>
                <w:color w:val="auto"/>
              </w:rPr>
            </w:pPr>
            <w:r>
              <w:rPr>
                <w:rFonts w:ascii="Arial" w:cs="Arial" w:eastAsia="Arial" w:hAnsi="Arial"/>
                <w:sz w:val="10"/>
                <w:szCs w:val="10"/>
                <w:b w:val="1"/>
                <w:bCs w:val="1"/>
                <w:color w:val="auto"/>
              </w:rPr>
              <w:t>Effective tax rate</w:t>
            </w:r>
          </w:p>
        </w:tc>
        <w:tc>
          <w:tcPr>
            <w:tcW w:w="0" w:type="dxa"/>
            <w:vAlign w:val="bottom"/>
          </w:tcPr>
          <w:p>
            <w:pPr>
              <w:spacing w:after="0"/>
              <w:rPr>
                <w:sz w:val="1"/>
                <w:szCs w:val="1"/>
                <w:color w:val="auto"/>
              </w:rPr>
            </w:pPr>
          </w:p>
        </w:tc>
      </w:tr>
      <w:tr>
        <w:trPr>
          <w:trHeight w:val="134"/>
        </w:trPr>
        <w:tc>
          <w:tcPr>
            <w:tcW w:w="47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0"/>
                <w:szCs w:val="10"/>
                <w:b w:val="1"/>
                <w:bCs w:val="1"/>
                <w:color w:val="auto"/>
              </w:rPr>
              <w:t>taxes</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auto"/>
              </w:rPr>
              <w:t>expense</w:t>
            </w:r>
          </w:p>
        </w:tc>
        <w:tc>
          <w:tcPr>
            <w:tcW w:w="10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taxes</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rPr>
              <w:t>expense</w:t>
            </w:r>
          </w:p>
        </w:tc>
        <w:tc>
          <w:tcPr>
            <w:tcW w:w="8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Effective tax rate</w:t>
            </w:r>
          </w:p>
        </w:tc>
        <w:tc>
          <w:tcPr>
            <w:tcW w:w="260" w:type="dxa"/>
            <w:vAlign w:val="bottom"/>
            <w:shd w:val="clear" w:color="auto" w:fill="CCEEFF"/>
          </w:tcPr>
          <w:p>
            <w:pPr>
              <w:jc w:val="right"/>
              <w:ind w:right="121"/>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2,771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21.8 %</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1,774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21.9 %</w:t>
            </w:r>
          </w:p>
        </w:tc>
        <w:tc>
          <w:tcPr>
            <w:tcW w:w="0" w:type="dxa"/>
            <w:vAlign w:val="bottom"/>
          </w:tcPr>
          <w:p>
            <w:pPr>
              <w:spacing w:after="0"/>
              <w:rPr>
                <w:sz w:val="1"/>
                <w:szCs w:val="1"/>
                <w:color w:val="auto"/>
              </w:rPr>
            </w:pPr>
          </w:p>
        </w:tc>
      </w:tr>
      <w:tr>
        <w:trPr>
          <w:trHeight w:val="168"/>
        </w:trPr>
        <w:tc>
          <w:tcPr>
            <w:tcW w:w="472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652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2"/>
              <w:spacing w:after="0"/>
              <w:rPr>
                <w:sz w:val="20"/>
                <w:szCs w:val="20"/>
                <w:color w:val="auto"/>
              </w:rPr>
            </w:pPr>
            <w:r>
              <w:rPr>
                <w:rFonts w:ascii="Arial" w:cs="Arial" w:eastAsia="Arial" w:hAnsi="Arial"/>
                <w:sz w:val="13"/>
                <w:szCs w:val="13"/>
                <w:color w:val="auto"/>
              </w:rPr>
              <w:t>70</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adjustments(b)</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720" w:type="dxa"/>
            <w:vAlign w:val="bottom"/>
          </w:tcPr>
          <w:p>
            <w:pPr>
              <w:ind w:left="20"/>
              <w:spacing w:after="0"/>
              <w:rPr>
                <w:sz w:val="20"/>
                <w:szCs w:val="20"/>
                <w:color w:val="auto"/>
              </w:rPr>
            </w:pPr>
            <w:r>
              <w:rPr>
                <w:rFonts w:ascii="Arial" w:cs="Arial" w:eastAsia="Arial" w:hAnsi="Arial"/>
                <w:sz w:val="13"/>
                <w:szCs w:val="13"/>
                <w:color w:val="auto"/>
              </w:rPr>
              <w:t>ETR-adjusted</w:t>
            </w:r>
          </w:p>
        </w:tc>
        <w:tc>
          <w:tcPr>
            <w:tcW w:w="26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13,442</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2,927</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21.8 %</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8,747</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1,608</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18.4 %</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ind w:left="260" w:hanging="255"/>
        <w:spacing w:after="0" w:line="241" w:lineRule="auto"/>
        <w:tabs>
          <w:tab w:leader="none" w:pos="276" w:val="left"/>
        </w:tabs>
        <w:numPr>
          <w:ilvl w:val="0"/>
          <w:numId w:val="5"/>
        </w:numPr>
        <w:rPr>
          <w:rFonts w:ascii="Arial" w:cs="Arial" w:eastAsia="Arial" w:hAnsi="Arial"/>
          <w:sz w:val="11"/>
          <w:szCs w:val="11"/>
          <w:color w:val="auto"/>
        </w:rPr>
      </w:pPr>
      <w:r>
        <w:rPr>
          <w:rFonts w:ascii="Arial" w:cs="Arial" w:eastAsia="Arial" w:hAnsi="Arial"/>
          <w:sz w:val="11"/>
          <w:szCs w:val="11"/>
          <w:color w:val="auto"/>
        </w:rPr>
        <w:t>Refer to the reconciliation of Net income attributable to stockholders under U.S. GAAP to segment profit (loss) for adjustment details. Net income attributable to noncontrolling interests for these adjustments is included in the years ended December 31, 2021. The tax effect of each adjustment is determined based on the tax laws and valuation allowance status of the jurisdiction to which the adjustment relates.</w:t>
      </w:r>
    </w:p>
    <w:p>
      <w:pPr>
        <w:ind w:left="260" w:hanging="255"/>
        <w:spacing w:after="0"/>
        <w:tabs>
          <w:tab w:leader="none" w:pos="26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Refer to the reconciliation of diluted earnings (loss) per common share under U.S. GAAP to EPS-diluted-adjusted within the previous section for adjustment details.</w:t>
      </w:r>
    </w:p>
    <w:p>
      <w:pPr>
        <w:spacing w:after="0" w:line="190" w:lineRule="exact"/>
        <w:rPr>
          <w:sz w:val="20"/>
          <w:szCs w:val="20"/>
          <w:color w:val="auto"/>
        </w:rPr>
      </w:pPr>
    </w:p>
    <w:p>
      <w:pPr>
        <w:ind w:firstLine="127"/>
        <w:spacing w:after="0" w:line="244" w:lineRule="auto"/>
        <w:rPr>
          <w:sz w:val="20"/>
          <w:szCs w:val="20"/>
          <w:color w:val="auto"/>
        </w:rPr>
      </w:pPr>
      <w:r>
        <w:rPr>
          <w:rFonts w:ascii="Arial" w:cs="Arial" w:eastAsia="Arial" w:hAnsi="Arial"/>
          <w:sz w:val="13"/>
          <w:szCs w:val="13"/>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8560" w:type="dxa"/>
            <w:vAlign w:val="bottom"/>
          </w:tcPr>
          <w:p>
            <w:pPr>
              <w:spacing w:after="0"/>
              <w:rPr>
                <w:sz w:val="11"/>
                <w:szCs w:val="11"/>
                <w:color w:val="auto"/>
              </w:rPr>
            </w:pPr>
          </w:p>
        </w:tc>
        <w:tc>
          <w:tcPr>
            <w:tcW w:w="222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10"/>
                <w:szCs w:val="10"/>
                <w:b w:val="1"/>
                <w:bCs w:val="1"/>
                <w:color w:val="auto"/>
              </w:rPr>
              <w:t>Years Ended December 31,</w:t>
            </w:r>
          </w:p>
        </w:tc>
        <w:tc>
          <w:tcPr>
            <w:tcW w:w="480" w:type="dxa"/>
            <w:vAlign w:val="bottom"/>
            <w:tcBorders>
              <w:bottom w:val="single" w:sz="8" w:color="auto"/>
            </w:tcBorders>
          </w:tcPr>
          <w:p>
            <w:pPr>
              <w:spacing w:after="0"/>
              <w:rPr>
                <w:sz w:val="11"/>
                <w:szCs w:val="11"/>
                <w:color w:val="auto"/>
              </w:rPr>
            </w:pPr>
          </w:p>
        </w:tc>
      </w:tr>
      <w:tr>
        <w:trPr>
          <w:trHeight w:val="132"/>
        </w:trPr>
        <w:tc>
          <w:tcPr>
            <w:tcW w:w="85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0"/>
                <w:szCs w:val="10"/>
                <w:b w:val="1"/>
                <w:bCs w:val="1"/>
                <w:color w:val="auto"/>
              </w:rPr>
              <w:t>2020</w:t>
            </w:r>
          </w:p>
        </w:tc>
        <w:tc>
          <w:tcPr>
            <w:tcW w:w="480" w:type="dxa"/>
            <w:vAlign w:val="bottom"/>
            <w:tcBorders>
              <w:bottom w:val="single" w:sz="8" w:color="auto"/>
            </w:tcBorders>
          </w:tcPr>
          <w:p>
            <w:pPr>
              <w:spacing w:after="0"/>
              <w:rPr>
                <w:sz w:val="11"/>
                <w:szCs w:val="11"/>
                <w:color w:val="auto"/>
              </w:rPr>
            </w:pPr>
          </w:p>
        </w:tc>
      </w:tr>
      <w:tr>
        <w:trPr>
          <w:trHeight w:val="165"/>
        </w:trPr>
        <w:tc>
          <w:tcPr>
            <w:tcW w:w="856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attributable to stockholders</w:t>
            </w: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81"/>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6.4</w:t>
            </w:r>
          </w:p>
        </w:tc>
      </w:tr>
      <w:tr>
        <w:trPr>
          <w:trHeight w:val="168"/>
        </w:trPr>
        <w:tc>
          <w:tcPr>
            <w:tcW w:w="8560" w:type="dxa"/>
            <w:vAlign w:val="bottom"/>
          </w:tcPr>
          <w:p>
            <w:pPr>
              <w:spacing w:after="0"/>
              <w:rPr>
                <w:sz w:val="20"/>
                <w:szCs w:val="20"/>
                <w:color w:val="auto"/>
              </w:rPr>
            </w:pPr>
            <w:r>
              <w:rPr>
                <w:rFonts w:ascii="Arial" w:cs="Arial" w:eastAsia="Arial" w:hAnsi="Arial"/>
                <w:sz w:val="13"/>
                <w:szCs w:val="13"/>
                <w:color w:val="auto"/>
              </w:rPr>
              <w:t>Average equity(a)</w:t>
            </w:r>
          </w:p>
        </w:tc>
        <w:tc>
          <w:tcPr>
            <w:tcW w:w="820" w:type="dxa"/>
            <w:vAlign w:val="bottom"/>
          </w:tcPr>
          <w:p>
            <w:pPr>
              <w:jc w:val="right"/>
              <w:ind w:right="663"/>
              <w:spacing w:after="0"/>
              <w:rPr>
                <w:sz w:val="20"/>
                <w:szCs w:val="20"/>
                <w:color w:val="auto"/>
              </w:rPr>
            </w:pPr>
            <w:r>
              <w:rPr>
                <w:rFonts w:ascii="Arial" w:cs="Arial" w:eastAsia="Arial" w:hAnsi="Arial"/>
                <w:sz w:val="13"/>
                <w:szCs w:val="13"/>
                <w:color w:val="auto"/>
              </w:rPr>
              <w:t>$</w:t>
            </w:r>
          </w:p>
        </w:tc>
        <w:tc>
          <w:tcPr>
            <w:tcW w:w="480" w:type="dxa"/>
            <w:vAlign w:val="bottom"/>
          </w:tcPr>
          <w:p>
            <w:pPr>
              <w:ind w:left="80"/>
              <w:spacing w:after="0"/>
              <w:rPr>
                <w:sz w:val="20"/>
                <w:szCs w:val="20"/>
                <w:color w:val="auto"/>
              </w:rPr>
            </w:pPr>
            <w:r>
              <w:rPr>
                <w:rFonts w:ascii="Arial" w:cs="Arial" w:eastAsia="Arial" w:hAnsi="Arial"/>
                <w:sz w:val="13"/>
                <w:szCs w:val="13"/>
                <w:color w:val="auto"/>
              </w:rPr>
              <w:t>56.5</w:t>
            </w:r>
          </w:p>
        </w:tc>
        <w:tc>
          <w:tcPr>
            <w:tcW w:w="100" w:type="dxa"/>
            <w:vAlign w:val="bottom"/>
          </w:tcPr>
          <w:p>
            <w:pPr>
              <w:spacing w:after="0"/>
              <w:rPr>
                <w:sz w:val="14"/>
                <w:szCs w:val="14"/>
                <w:color w:val="auto"/>
              </w:rPr>
            </w:pPr>
          </w:p>
        </w:tc>
        <w:tc>
          <w:tcPr>
            <w:tcW w:w="820" w:type="dxa"/>
            <w:vAlign w:val="bottom"/>
          </w:tcPr>
          <w:p>
            <w:pPr>
              <w:jc w:val="right"/>
              <w:ind w:right="681"/>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ind w:right="116"/>
              <w:spacing w:after="0"/>
              <w:rPr>
                <w:sz w:val="20"/>
                <w:szCs w:val="20"/>
                <w:color w:val="auto"/>
              </w:rPr>
            </w:pPr>
            <w:r>
              <w:rPr>
                <w:rFonts w:ascii="Arial" w:cs="Arial" w:eastAsia="Arial" w:hAnsi="Arial"/>
                <w:sz w:val="13"/>
                <w:szCs w:val="13"/>
                <w:color w:val="auto"/>
              </w:rPr>
              <w:t>43.3</w:t>
            </w:r>
          </w:p>
        </w:tc>
      </w:tr>
      <w:tr>
        <w:trPr>
          <w:trHeight w:val="172"/>
        </w:trPr>
        <w:tc>
          <w:tcPr>
            <w:tcW w:w="8560" w:type="dxa"/>
            <w:vAlign w:val="bottom"/>
            <w:shd w:val="clear" w:color="auto" w:fill="CCEEFF"/>
          </w:tcPr>
          <w:p>
            <w:pPr>
              <w:spacing w:after="0"/>
              <w:rPr>
                <w:sz w:val="20"/>
                <w:szCs w:val="20"/>
                <w:color w:val="auto"/>
              </w:rPr>
            </w:pPr>
            <w:r>
              <w:rPr>
                <w:rFonts w:ascii="Arial" w:cs="Arial" w:eastAsia="Arial" w:hAnsi="Arial"/>
                <w:sz w:val="13"/>
                <w:szCs w:val="13"/>
                <w:color w:val="auto"/>
              </w:rPr>
              <w:t>ROE</w:t>
            </w: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17.7 %</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14.9 %</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ind w:left="260" w:hanging="255"/>
        <w:spacing w:after="0"/>
        <w:tabs>
          <w:tab w:leader="none" w:pos="26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Includes equity of noncontrolling interests where the corresponding earnings (loss) are included in Net income (loss) attributable to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80"/>
          </w:cols>
          <w:pgMar w:left="300" w:top="698"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the calculation of ROIC-adjusted (dollars in billions):</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8560" w:type="dxa"/>
            <w:vAlign w:val="bottom"/>
          </w:tcPr>
          <w:p>
            <w:pPr>
              <w:spacing w:after="0"/>
              <w:rPr>
                <w:sz w:val="11"/>
                <w:szCs w:val="11"/>
                <w:color w:val="auto"/>
              </w:rPr>
            </w:pPr>
          </w:p>
        </w:tc>
        <w:tc>
          <w:tcPr>
            <w:tcW w:w="22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0"/>
                <w:szCs w:val="10"/>
                <w:b w:val="1"/>
                <w:bCs w:val="1"/>
                <w:color w:val="auto"/>
              </w:rPr>
              <w:t>Years Ended December 31,</w:t>
            </w:r>
          </w:p>
        </w:tc>
        <w:tc>
          <w:tcPr>
            <w:tcW w:w="500" w:type="dxa"/>
            <w:vAlign w:val="bottom"/>
            <w:tcBorders>
              <w:bottom w:val="single" w:sz="8" w:color="auto"/>
            </w:tcBorders>
          </w:tcPr>
          <w:p>
            <w:pPr>
              <w:spacing w:after="0"/>
              <w:rPr>
                <w:sz w:val="11"/>
                <w:szCs w:val="11"/>
                <w:color w:val="auto"/>
              </w:rPr>
            </w:pPr>
          </w:p>
        </w:tc>
      </w:tr>
      <w:tr>
        <w:trPr>
          <w:trHeight w:val="132"/>
        </w:trPr>
        <w:tc>
          <w:tcPr>
            <w:tcW w:w="856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auto"/>
            </w:tcBorders>
          </w:tcPr>
          <w:p>
            <w:pPr>
              <w:spacing w:after="0"/>
              <w:rPr>
                <w:sz w:val="11"/>
                <w:szCs w:val="11"/>
                <w:color w:val="auto"/>
              </w:rPr>
            </w:pPr>
          </w:p>
        </w:tc>
      </w:tr>
      <w:tr>
        <w:trPr>
          <w:trHeight w:val="165"/>
        </w:trPr>
        <w:tc>
          <w:tcPr>
            <w:tcW w:w="8560" w:type="dxa"/>
            <w:vAlign w:val="bottom"/>
            <w:shd w:val="clear" w:color="auto" w:fill="CCEEFF"/>
          </w:tcPr>
          <w:p>
            <w:pPr>
              <w:spacing w:after="0"/>
              <w:rPr>
                <w:sz w:val="20"/>
                <w:szCs w:val="20"/>
                <w:color w:val="auto"/>
              </w:rPr>
            </w:pPr>
            <w:r>
              <w:rPr>
                <w:rFonts w:ascii="Arial" w:cs="Arial" w:eastAsia="Arial" w:hAnsi="Arial"/>
                <w:sz w:val="13"/>
                <w:szCs w:val="13"/>
                <w:color w:val="auto"/>
              </w:rPr>
              <w:t>EBIT-adjusted(a)</w:t>
            </w: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14.3</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9.7</w:t>
            </w:r>
          </w:p>
        </w:tc>
      </w:tr>
      <w:tr>
        <w:trPr>
          <w:trHeight w:val="168"/>
        </w:trPr>
        <w:tc>
          <w:tcPr>
            <w:tcW w:w="8560" w:type="dxa"/>
            <w:vAlign w:val="bottom"/>
          </w:tcPr>
          <w:p>
            <w:pPr>
              <w:spacing w:after="0"/>
              <w:rPr>
                <w:sz w:val="20"/>
                <w:szCs w:val="20"/>
                <w:color w:val="auto"/>
              </w:rPr>
            </w:pPr>
            <w:r>
              <w:rPr>
                <w:rFonts w:ascii="Arial" w:cs="Arial" w:eastAsia="Arial" w:hAnsi="Arial"/>
                <w:sz w:val="13"/>
                <w:szCs w:val="13"/>
                <w:color w:val="auto"/>
              </w:rPr>
              <w:t>Average equity(b)</w:t>
            </w:r>
          </w:p>
        </w:tc>
        <w:tc>
          <w:tcPr>
            <w:tcW w:w="800" w:type="dxa"/>
            <w:vAlign w:val="bottom"/>
          </w:tcPr>
          <w:p>
            <w:pPr>
              <w:jc w:val="right"/>
              <w:ind w:right="642"/>
              <w:spacing w:after="0"/>
              <w:rPr>
                <w:sz w:val="20"/>
                <w:szCs w:val="20"/>
                <w:color w:val="auto"/>
              </w:rPr>
            </w:pPr>
            <w:r>
              <w:rPr>
                <w:rFonts w:ascii="Arial" w:cs="Arial" w:eastAsia="Arial" w:hAnsi="Arial"/>
                <w:sz w:val="13"/>
                <w:szCs w:val="13"/>
                <w:color w:val="auto"/>
              </w:rPr>
              <w:t>$</w:t>
            </w:r>
          </w:p>
        </w:tc>
        <w:tc>
          <w:tcPr>
            <w:tcW w:w="500" w:type="dxa"/>
            <w:vAlign w:val="bottom"/>
          </w:tcPr>
          <w:p>
            <w:pPr>
              <w:ind w:left="100"/>
              <w:spacing w:after="0"/>
              <w:rPr>
                <w:sz w:val="20"/>
                <w:szCs w:val="20"/>
                <w:color w:val="auto"/>
              </w:rPr>
            </w:pPr>
            <w:r>
              <w:rPr>
                <w:rFonts w:ascii="Arial" w:cs="Arial" w:eastAsia="Arial" w:hAnsi="Arial"/>
                <w:sz w:val="13"/>
                <w:szCs w:val="13"/>
                <w:color w:val="auto"/>
              </w:rPr>
              <w:t>56.5</w:t>
            </w:r>
          </w:p>
        </w:tc>
        <w:tc>
          <w:tcPr>
            <w:tcW w:w="100" w:type="dxa"/>
            <w:vAlign w:val="bottom"/>
          </w:tcPr>
          <w:p>
            <w:pPr>
              <w:spacing w:after="0"/>
              <w:rPr>
                <w:sz w:val="14"/>
                <w:szCs w:val="14"/>
                <w:color w:val="auto"/>
              </w:rPr>
            </w:pPr>
          </w:p>
        </w:tc>
        <w:tc>
          <w:tcPr>
            <w:tcW w:w="800" w:type="dxa"/>
            <w:vAlign w:val="bottom"/>
          </w:tcPr>
          <w:p>
            <w:pPr>
              <w:jc w:val="right"/>
              <w:ind w:right="660"/>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ind w:right="116"/>
              <w:spacing w:after="0"/>
              <w:rPr>
                <w:sz w:val="20"/>
                <w:szCs w:val="20"/>
                <w:color w:val="auto"/>
              </w:rPr>
            </w:pPr>
            <w:r>
              <w:rPr>
                <w:rFonts w:ascii="Arial" w:cs="Arial" w:eastAsia="Arial" w:hAnsi="Arial"/>
                <w:sz w:val="13"/>
                <w:szCs w:val="13"/>
                <w:color w:val="auto"/>
              </w:rPr>
              <w:t>43.3</w:t>
            </w:r>
          </w:p>
        </w:tc>
      </w:tr>
      <w:tr>
        <w:trPr>
          <w:trHeight w:val="172"/>
        </w:trPr>
        <w:tc>
          <w:tcPr>
            <w:tcW w:w="8560" w:type="dxa"/>
            <w:vAlign w:val="bottom"/>
            <w:shd w:val="clear" w:color="auto" w:fill="CCEEFF"/>
          </w:tcPr>
          <w:p>
            <w:pPr>
              <w:spacing w:after="0"/>
              <w:rPr>
                <w:sz w:val="20"/>
                <w:szCs w:val="20"/>
                <w:color w:val="auto"/>
              </w:rPr>
            </w:pPr>
            <w:r>
              <w:rPr>
                <w:rFonts w:ascii="Arial" w:cs="Arial" w:eastAsia="Arial" w:hAnsi="Arial"/>
                <w:sz w:val="13"/>
                <w:szCs w:val="13"/>
                <w:color w:val="auto"/>
              </w:rPr>
              <w:t>Add: Average automotive debt and interest liabilities (excluding finance leases)</w:t>
            </w: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17.1</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27.8</w:t>
            </w:r>
          </w:p>
        </w:tc>
      </w:tr>
      <w:tr>
        <w:trPr>
          <w:trHeight w:val="168"/>
        </w:trPr>
        <w:tc>
          <w:tcPr>
            <w:tcW w:w="8560" w:type="dxa"/>
            <w:vAlign w:val="bottom"/>
          </w:tcPr>
          <w:p>
            <w:pPr>
              <w:spacing w:after="0"/>
              <w:rPr>
                <w:sz w:val="20"/>
                <w:szCs w:val="20"/>
                <w:color w:val="auto"/>
              </w:rPr>
            </w:pPr>
            <w:r>
              <w:rPr>
                <w:rFonts w:ascii="Arial" w:cs="Arial" w:eastAsia="Arial" w:hAnsi="Arial"/>
                <w:sz w:val="13"/>
                <w:szCs w:val="13"/>
                <w:color w:val="auto"/>
              </w:rPr>
              <w:t>Add: Average automotive net pension &amp; OPEB liability</w:t>
            </w:r>
          </w:p>
        </w:tc>
        <w:tc>
          <w:tcPr>
            <w:tcW w:w="800" w:type="dxa"/>
            <w:vAlign w:val="bottom"/>
          </w:tcPr>
          <w:p>
            <w:pPr>
              <w:spacing w:after="0"/>
              <w:rPr>
                <w:sz w:val="14"/>
                <w:szCs w:val="14"/>
                <w:color w:val="auto"/>
              </w:rPr>
            </w:pPr>
          </w:p>
        </w:tc>
        <w:tc>
          <w:tcPr>
            <w:tcW w:w="500" w:type="dxa"/>
            <w:vAlign w:val="bottom"/>
          </w:tcPr>
          <w:p>
            <w:pPr>
              <w:ind w:left="100"/>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ind w:right="116"/>
              <w:spacing w:after="0"/>
              <w:rPr>
                <w:sz w:val="20"/>
                <w:szCs w:val="20"/>
                <w:color w:val="auto"/>
              </w:rPr>
            </w:pPr>
            <w:r>
              <w:rPr>
                <w:rFonts w:ascii="Arial" w:cs="Arial" w:eastAsia="Arial" w:hAnsi="Arial"/>
                <w:sz w:val="13"/>
                <w:szCs w:val="13"/>
                <w:color w:val="auto"/>
              </w:rPr>
              <w:t>17.6</w:t>
            </w:r>
          </w:p>
        </w:tc>
      </w:tr>
      <w:tr>
        <w:trPr>
          <w:trHeight w:val="170"/>
        </w:trPr>
        <w:tc>
          <w:tcPr>
            <w:tcW w:w="8560" w:type="dxa"/>
            <w:vAlign w:val="bottom"/>
            <w:shd w:val="clear" w:color="auto" w:fill="CCEEFF"/>
          </w:tcPr>
          <w:p>
            <w:pPr>
              <w:spacing w:after="0"/>
              <w:rPr>
                <w:sz w:val="20"/>
                <w:szCs w:val="20"/>
                <w:color w:val="auto"/>
              </w:rPr>
            </w:pPr>
            <w:r>
              <w:rPr>
                <w:rFonts w:ascii="Arial" w:cs="Arial" w:eastAsia="Arial" w:hAnsi="Arial"/>
                <w:sz w:val="13"/>
                <w:szCs w:val="13"/>
                <w:color w:val="auto"/>
              </w:rPr>
              <w:t>Less: Average automotive net income tax asset</w:t>
            </w:r>
          </w:p>
        </w:tc>
        <w:tc>
          <w:tcPr>
            <w:tcW w:w="8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(22.2)</w:t>
            </w:r>
          </w:p>
        </w:tc>
        <w:tc>
          <w:tcPr>
            <w:tcW w:w="10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99"/>
              </w:rPr>
              <w:t>(24.0)</w:t>
            </w:r>
          </w:p>
        </w:tc>
      </w:tr>
      <w:tr>
        <w:trPr>
          <w:trHeight w:val="163"/>
        </w:trPr>
        <w:tc>
          <w:tcPr>
            <w:tcW w:w="8560" w:type="dxa"/>
            <w:vAlign w:val="bottom"/>
          </w:tcPr>
          <w:p>
            <w:pPr>
              <w:spacing w:after="0"/>
              <w:rPr>
                <w:sz w:val="20"/>
                <w:szCs w:val="20"/>
                <w:color w:val="auto"/>
              </w:rPr>
            </w:pPr>
            <w:r>
              <w:rPr>
                <w:rFonts w:ascii="Arial" w:cs="Arial" w:eastAsia="Arial" w:hAnsi="Arial"/>
                <w:sz w:val="13"/>
                <w:szCs w:val="13"/>
                <w:color w:val="auto"/>
              </w:rPr>
              <w:t>ROIC-adjusted average net assets</w:t>
            </w:r>
          </w:p>
        </w:tc>
        <w:tc>
          <w:tcPr>
            <w:tcW w:w="800" w:type="dxa"/>
            <w:vAlign w:val="bottom"/>
            <w:tcBorders>
              <w:bottom w:val="single" w:sz="8" w:color="auto"/>
            </w:tcBorders>
          </w:tcPr>
          <w:p>
            <w:pPr>
              <w:jc w:val="right"/>
              <w:ind w:right="642"/>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67.2</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660"/>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64.7</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52"/>
        </w:trPr>
        <w:tc>
          <w:tcPr>
            <w:tcW w:w="8560" w:type="dxa"/>
            <w:vAlign w:val="bottom"/>
            <w:shd w:val="clear" w:color="auto" w:fill="CCEEFF"/>
          </w:tcPr>
          <w:p>
            <w:pPr>
              <w:spacing w:after="0"/>
              <w:rPr>
                <w:sz w:val="20"/>
                <w:szCs w:val="20"/>
                <w:color w:val="auto"/>
              </w:rPr>
            </w:pPr>
            <w:r>
              <w:rPr>
                <w:rFonts w:ascii="Arial" w:cs="Arial" w:eastAsia="Arial" w:hAnsi="Arial"/>
                <w:sz w:val="13"/>
                <w:szCs w:val="13"/>
                <w:color w:val="auto"/>
              </w:rPr>
              <w:t>ROIC-adjusted</w:t>
            </w:r>
          </w:p>
        </w:tc>
        <w:tc>
          <w:tcPr>
            <w:tcW w:w="800" w:type="dxa"/>
            <w:vAlign w:val="bottom"/>
            <w:shd w:val="clear" w:color="auto" w:fill="CCEEFF"/>
          </w:tcPr>
          <w:p>
            <w:pPr>
              <w:spacing w:after="0"/>
              <w:rPr>
                <w:sz w:val="13"/>
                <w:szCs w:val="13"/>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3"/>
              </w:rPr>
              <w:t>21.3 %</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15.0 %</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ind w:left="260" w:hanging="255"/>
        <w:spacing w:after="0"/>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Refer to the reconciliation of Net income attributable to stockholders under U.S. GAAP to segment profit (loss) for adjustment details.</w:t>
      </w:r>
    </w:p>
    <w:p>
      <w:pPr>
        <w:ind w:left="260" w:hanging="255"/>
        <w:spacing w:after="0"/>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Includes equity of noncontrolling interests where the corresponding earnings (loss) are included in EBIT-adjusted.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80"/>
          </w:cols>
          <w:pgMar w:left="300" w:top="698" w:right="319" w:bottom="1440" w:gutter="0" w:footer="0" w:header="0"/>
        </w:sectPr>
      </w:pPr>
    </w:p>
    <w:bookmarkStart w:id="16" w:name="page17"/>
    <w:bookmarkEnd w:id="16"/>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The following table reconciles Net automotive cash provided by operating activities under U.S. GAAP to adjusted automotive free cash flow (dollars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4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40" w:type="dxa"/>
            <w:vAlign w:val="bottom"/>
            <w:gridSpan w:val="5"/>
          </w:tcPr>
          <w:p>
            <w:pPr>
              <w:ind w:left="620"/>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Pr>
          <w:p>
            <w:pPr>
              <w:spacing w:after="0"/>
              <w:rPr>
                <w:sz w:val="11"/>
                <w:szCs w:val="11"/>
                <w:color w:val="auto"/>
              </w:rPr>
            </w:pPr>
          </w:p>
        </w:tc>
        <w:tc>
          <w:tcPr>
            <w:tcW w:w="2360" w:type="dxa"/>
            <w:vAlign w:val="bottom"/>
            <w:gridSpan w:val="4"/>
          </w:tcPr>
          <w:p>
            <w:pPr>
              <w:jc w:val="right"/>
              <w:ind w:right="878"/>
              <w:spacing w:after="0"/>
              <w:rPr>
                <w:sz w:val="20"/>
                <w:szCs w:val="20"/>
                <w:color w:val="auto"/>
              </w:rPr>
            </w:pPr>
            <w:r>
              <w:rPr>
                <w:rFonts w:ascii="Arial" w:cs="Arial" w:eastAsia="Arial" w:hAnsi="Arial"/>
                <w:sz w:val="10"/>
                <w:szCs w:val="10"/>
                <w:b w:val="1"/>
                <w:bCs w:val="1"/>
                <w:color w:val="auto"/>
              </w:rPr>
              <w:t>Years Ended</w:t>
            </w:r>
          </w:p>
        </w:tc>
        <w:tc>
          <w:tcPr>
            <w:tcW w:w="0" w:type="dxa"/>
            <w:vAlign w:val="bottom"/>
          </w:tcPr>
          <w:p>
            <w:pPr>
              <w:spacing w:after="0"/>
              <w:rPr>
                <w:sz w:val="1"/>
                <w:szCs w:val="1"/>
                <w:color w:val="auto"/>
              </w:rPr>
            </w:pPr>
          </w:p>
        </w:tc>
      </w:tr>
      <w:tr>
        <w:trPr>
          <w:trHeight w:val="132"/>
        </w:trPr>
        <w:tc>
          <w:tcPr>
            <w:tcW w:w="4400" w:type="dxa"/>
            <w:vAlign w:val="bottom"/>
            <w:tcBorders>
              <w:bottom w:val="single" w:sz="8" w:color="CCEEFF"/>
            </w:tcBorders>
          </w:tcPr>
          <w:p>
            <w:pPr>
              <w:spacing w:after="0"/>
              <w:rPr>
                <w:sz w:val="11"/>
                <w:szCs w:val="11"/>
                <w:color w:val="auto"/>
              </w:rPr>
            </w:pPr>
          </w:p>
        </w:tc>
        <w:tc>
          <w:tcPr>
            <w:tcW w:w="18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0"/>
                <w:szCs w:val="10"/>
                <w:b w:val="1"/>
                <w:bCs w:val="1"/>
                <w:color w:val="auto"/>
                <w:w w:val="99"/>
              </w:rPr>
              <w:t>December 31, 2021</w:t>
            </w:r>
          </w:p>
        </w:tc>
        <w:tc>
          <w:tcPr>
            <w:tcW w:w="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0"/>
                <w:szCs w:val="10"/>
                <w:b w:val="1"/>
                <w:bCs w:val="1"/>
                <w:color w:val="auto"/>
                <w:w w:val="99"/>
              </w:rPr>
              <w:t>December 31, 2020</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0"/>
                <w:szCs w:val="10"/>
                <w:b w:val="1"/>
                <w:bCs w:val="1"/>
                <w:color w:val="auto"/>
                <w:w w:val="99"/>
              </w:rPr>
              <w:t>December 31, 2021</w:t>
            </w:r>
          </w:p>
        </w:tc>
        <w:tc>
          <w:tcPr>
            <w:tcW w:w="10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w w:val="99"/>
              </w:rPr>
              <w:t>December 31, 2020</w:t>
            </w:r>
          </w:p>
        </w:tc>
        <w:tc>
          <w:tcPr>
            <w:tcW w:w="0" w:type="dxa"/>
            <w:vAlign w:val="bottom"/>
          </w:tcPr>
          <w:p>
            <w:pPr>
              <w:spacing w:after="0"/>
              <w:rPr>
                <w:sz w:val="1"/>
                <w:szCs w:val="1"/>
                <w:color w:val="auto"/>
              </w:rPr>
            </w:pPr>
          </w:p>
        </w:tc>
      </w:tr>
      <w:tr>
        <w:trPr>
          <w:trHeight w:val="165"/>
        </w:trPr>
        <w:tc>
          <w:tcPr>
            <w:tcW w:w="4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automotive cash provided by operating activities</w:t>
            </w:r>
          </w:p>
        </w:tc>
        <w:tc>
          <w:tcPr>
            <w:tcW w:w="1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9,384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7,519</w:t>
            </w:r>
          </w:p>
        </w:tc>
        <w:tc>
          <w:tcPr>
            <w:tcW w:w="0" w:type="dxa"/>
            <w:vAlign w:val="bottom"/>
          </w:tcPr>
          <w:p>
            <w:pPr>
              <w:spacing w:after="0"/>
              <w:rPr>
                <w:sz w:val="1"/>
                <w:szCs w:val="1"/>
                <w:color w:val="auto"/>
              </w:rPr>
            </w:pPr>
          </w:p>
        </w:tc>
      </w:tr>
      <w:tr>
        <w:trPr>
          <w:trHeight w:val="168"/>
        </w:trPr>
        <w:tc>
          <w:tcPr>
            <w:tcW w:w="4400" w:type="dxa"/>
            <w:vAlign w:val="bottom"/>
          </w:tcPr>
          <w:p>
            <w:pPr>
              <w:ind w:left="20"/>
              <w:spacing w:after="0"/>
              <w:rPr>
                <w:sz w:val="20"/>
                <w:szCs w:val="20"/>
                <w:color w:val="auto"/>
              </w:rPr>
            </w:pPr>
            <w:r>
              <w:rPr>
                <w:rFonts w:ascii="Arial" w:cs="Arial" w:eastAsia="Arial" w:hAnsi="Arial"/>
                <w:sz w:val="13"/>
                <w:szCs w:val="13"/>
                <w:color w:val="auto"/>
              </w:rPr>
              <w:t>Less: Capital expenditures</w:t>
            </w: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(3,154)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(1,959)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(7,389)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(5,251)</w:t>
            </w: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Cadillac dealer strategy</w:t>
            </w:r>
          </w:p>
        </w:tc>
        <w:tc>
          <w:tcPr>
            <w:tcW w:w="1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68"/>
        </w:trPr>
        <w:tc>
          <w:tcPr>
            <w:tcW w:w="4400" w:type="dxa"/>
            <w:vAlign w:val="bottom"/>
          </w:tcPr>
          <w:p>
            <w:pPr>
              <w:ind w:left="20"/>
              <w:spacing w:after="0"/>
              <w:rPr>
                <w:sz w:val="20"/>
                <w:szCs w:val="20"/>
                <w:color w:val="auto"/>
              </w:rPr>
            </w:pPr>
            <w:r>
              <w:rPr>
                <w:rFonts w:ascii="Arial" w:cs="Arial" w:eastAsia="Arial" w:hAnsi="Arial"/>
                <w:sz w:val="13"/>
                <w:szCs w:val="13"/>
                <w:color w:val="auto"/>
              </w:rPr>
              <w:t>Add: GM Korea Wage Litigation</w:t>
            </w: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GMI restructuring</w:t>
            </w:r>
          </w:p>
        </w:tc>
        <w:tc>
          <w:tcPr>
            <w:tcW w:w="1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w:t>
            </w:r>
          </w:p>
        </w:tc>
        <w:tc>
          <w:tcPr>
            <w:tcW w:w="0" w:type="dxa"/>
            <w:vAlign w:val="bottom"/>
          </w:tcPr>
          <w:p>
            <w:pPr>
              <w:spacing w:after="0"/>
              <w:rPr>
                <w:sz w:val="1"/>
                <w:szCs w:val="1"/>
                <w:color w:val="auto"/>
              </w:rPr>
            </w:pPr>
          </w:p>
        </w:tc>
      </w:tr>
      <w:tr>
        <w:trPr>
          <w:trHeight w:val="168"/>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GM Brazil indirect tax recoveries</w:t>
            </w:r>
          </w:p>
        </w:tc>
        <w:tc>
          <w:tcPr>
            <w:tcW w:w="18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80"/>
        </w:trPr>
        <w:tc>
          <w:tcPr>
            <w:tcW w:w="44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Adjusted automotive free cash flow</w:t>
            </w:r>
          </w:p>
        </w:tc>
        <w:tc>
          <w:tcPr>
            <w:tcW w:w="1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right"/>
              <w:ind w:right="216"/>
              <w:spacing w:after="0"/>
              <w:rPr>
                <w:sz w:val="20"/>
                <w:szCs w:val="20"/>
                <w:color w:val="auto"/>
              </w:rPr>
            </w:pPr>
            <w:r>
              <w:rPr>
                <w:rFonts w:ascii="Arial" w:cs="Arial" w:eastAsia="Arial" w:hAnsi="Arial"/>
                <w:sz w:val="13"/>
                <w:szCs w:val="13"/>
                <w:color w:val="auto"/>
              </w:rPr>
              <w:t>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1"/>
        </w:trPr>
        <w:tc>
          <w:tcPr>
            <w:tcW w:w="44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8"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Supplemental Material</w:t>
      </w:r>
    </w:p>
    <w:p>
      <w:pPr>
        <w:jc w:val="center"/>
        <w:ind w:right="-19"/>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tables summarize key financial information by segment (dollars in millions):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92"/>
        </w:trPr>
        <w:tc>
          <w:tcPr>
            <w:tcW w:w="2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80" w:type="dxa"/>
            <w:vAlign w:val="bottom"/>
          </w:tcPr>
          <w:p>
            <w:pPr>
              <w:spacing w:after="0"/>
              <w:rPr>
                <w:sz w:val="7"/>
                <w:szCs w:val="7"/>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220" w:type="dxa"/>
            <w:vAlign w:val="bottom"/>
          </w:tcPr>
          <w:p>
            <w:pPr>
              <w:spacing w:after="0"/>
              <w:rPr>
                <w:sz w:val="7"/>
                <w:szCs w:val="7"/>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8"/>
                <w:szCs w:val="8"/>
                <w:b w:val="1"/>
                <w:bCs w:val="1"/>
                <w:color w:val="auto"/>
              </w:rPr>
              <w:t>Eliminations</w:t>
            </w:r>
          </w:p>
        </w:tc>
        <w:tc>
          <w:tcPr>
            <w:tcW w:w="140" w:type="dxa"/>
            <w:vAlign w:val="bottom"/>
          </w:tcPr>
          <w:p>
            <w:pPr>
              <w:spacing w:after="0"/>
              <w:rPr>
                <w:sz w:val="7"/>
                <w:szCs w:val="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40" w:type="dxa"/>
            <w:vAlign w:val="bottom"/>
          </w:tcPr>
          <w:p>
            <w:pPr>
              <w:spacing w:after="0"/>
              <w:rPr>
                <w:sz w:val="7"/>
                <w:szCs w:val="7"/>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20" w:type="dxa"/>
            <w:vAlign w:val="bottom"/>
          </w:tcPr>
          <w:p>
            <w:pPr>
              <w:spacing w:after="0"/>
              <w:rPr>
                <w:sz w:val="7"/>
                <w:szCs w:val="7"/>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GM</w:t>
            </w:r>
          </w:p>
        </w:tc>
        <w:tc>
          <w:tcPr>
            <w:tcW w:w="1340" w:type="dxa"/>
            <w:vAlign w:val="bottom"/>
            <w:gridSpan w:val="3"/>
            <w:vMerge w:val="restart"/>
          </w:tcPr>
          <w:p>
            <w:pPr>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7"/>
                <w:szCs w:val="7"/>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2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Automotive</w:t>
            </w:r>
          </w:p>
        </w:tc>
        <w:tc>
          <w:tcPr>
            <w:tcW w:w="1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600" w:type="dxa"/>
            <w:vAlign w:val="bottom"/>
          </w:tcPr>
          <w:p>
            <w:pPr>
              <w:spacing w:after="0"/>
              <w:rPr>
                <w:sz w:val="20"/>
                <w:szCs w:val="20"/>
                <w:color w:val="auto"/>
              </w:rPr>
            </w:pPr>
            <w:r>
              <w:rPr>
                <w:rFonts w:ascii="Arial" w:cs="Arial" w:eastAsia="Arial" w:hAnsi="Arial"/>
                <w:sz w:val="8"/>
                <w:szCs w:val="8"/>
                <w:b w:val="1"/>
                <w:bCs w:val="1"/>
                <w:color w:val="auto"/>
              </w:rPr>
              <w:t>Three Months Ended December 31, 2021</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Net sales and revenue</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26,865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3,451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30,353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3,232</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33,584</w:t>
            </w:r>
          </w:p>
        </w:tc>
        <w:tc>
          <w:tcPr>
            <w:tcW w:w="0" w:type="dxa"/>
            <w:vAlign w:val="bottom"/>
          </w:tcPr>
          <w:p>
            <w:pPr>
              <w:spacing w:after="0"/>
              <w:rPr>
                <w:sz w:val="1"/>
                <w:szCs w:val="1"/>
                <w:color w:val="auto"/>
              </w:rPr>
            </w:pPr>
          </w:p>
        </w:tc>
      </w:tr>
      <w:tr>
        <w:trPr>
          <w:trHeight w:val="131"/>
        </w:trPr>
        <w:tc>
          <w:tcPr>
            <w:tcW w:w="2600" w:type="dxa"/>
            <w:vAlign w:val="bottom"/>
          </w:tcPr>
          <w:p>
            <w:pPr>
              <w:spacing w:after="0"/>
              <w:rPr>
                <w:sz w:val="20"/>
                <w:szCs w:val="20"/>
                <w:color w:val="auto"/>
              </w:rPr>
            </w:pPr>
            <w:r>
              <w:rPr>
                <w:rFonts w:ascii="Arial" w:cs="Arial" w:eastAsia="Arial" w:hAnsi="Arial"/>
                <w:sz w:val="8"/>
                <w:szCs w:val="8"/>
                <w:color w:val="auto"/>
              </w:rPr>
              <w:t>Expenditures for property</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2,716</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421</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17</w:t>
            </w:r>
          </w:p>
        </w:tc>
        <w:tc>
          <w:tcPr>
            <w:tcW w:w="10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3"/>
              <w:spacing w:after="0"/>
              <w:rPr>
                <w:sz w:val="20"/>
                <w:szCs w:val="20"/>
                <w:color w:val="auto"/>
              </w:rPr>
            </w:pPr>
            <w:r>
              <w:rPr>
                <w:rFonts w:ascii="Arial" w:cs="Arial" w:eastAsia="Arial" w:hAnsi="Arial"/>
                <w:sz w:val="10"/>
                <w:szCs w:val="10"/>
                <w:color w:val="auto"/>
              </w:rPr>
              <w:t>3,154</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34</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11"/>
              <w:spacing w:after="0"/>
              <w:rPr>
                <w:sz w:val="20"/>
                <w:szCs w:val="20"/>
                <w:color w:val="auto"/>
              </w:rPr>
            </w:pPr>
            <w:r>
              <w:rPr>
                <w:rFonts w:ascii="Arial" w:cs="Arial" w:eastAsia="Arial" w:hAnsi="Arial"/>
                <w:sz w:val="10"/>
                <w:szCs w:val="10"/>
                <w:color w:val="auto"/>
              </w:rPr>
              <w:t>5</w:t>
            </w:r>
          </w:p>
        </w:tc>
        <w:tc>
          <w:tcPr>
            <w:tcW w:w="8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3,199</w:t>
            </w:r>
          </w:p>
        </w:tc>
        <w:tc>
          <w:tcPr>
            <w:tcW w:w="0" w:type="dxa"/>
            <w:vAlign w:val="bottom"/>
          </w:tcPr>
          <w:p>
            <w:pPr>
              <w:spacing w:after="0"/>
              <w:rPr>
                <w:sz w:val="1"/>
                <w:szCs w:val="1"/>
                <w:color w:val="auto"/>
              </w:rPr>
            </w:pPr>
          </w:p>
        </w:tc>
      </w:tr>
      <w:tr>
        <w:trPr>
          <w:trHeight w:val="145"/>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Depreciation and amortization</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1,449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1,589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1,333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2,937</w:t>
            </w:r>
          </w:p>
        </w:tc>
        <w:tc>
          <w:tcPr>
            <w:tcW w:w="0" w:type="dxa"/>
            <w:vAlign w:val="bottom"/>
          </w:tcPr>
          <w:p>
            <w:pPr>
              <w:spacing w:after="0"/>
              <w:rPr>
                <w:sz w:val="1"/>
                <w:szCs w:val="1"/>
                <w:color w:val="auto"/>
              </w:rPr>
            </w:pPr>
          </w:p>
        </w:tc>
      </w:tr>
      <w:tr>
        <w:trPr>
          <w:trHeight w:val="131"/>
        </w:trPr>
        <w:tc>
          <w:tcPr>
            <w:tcW w:w="2600" w:type="dxa"/>
            <w:vAlign w:val="bottom"/>
          </w:tcPr>
          <w:p>
            <w:pPr>
              <w:spacing w:after="0"/>
              <w:rPr>
                <w:sz w:val="20"/>
                <w:szCs w:val="20"/>
                <w:color w:val="auto"/>
              </w:rPr>
            </w:pPr>
            <w:r>
              <w:rPr>
                <w:rFonts w:ascii="Arial" w:cs="Arial" w:eastAsia="Arial" w:hAnsi="Arial"/>
                <w:sz w:val="8"/>
                <w:szCs w:val="8"/>
                <w:color w:val="auto"/>
              </w:rPr>
              <w:t>Impairment charges</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5"/>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Equity income(a)</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242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44</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286</w:t>
            </w: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80" w:type="dxa"/>
            <w:vAlign w:val="bottom"/>
          </w:tcPr>
          <w:p>
            <w:pPr>
              <w:spacing w:after="0"/>
              <w:rPr>
                <w:sz w:val="24"/>
                <w:szCs w:val="24"/>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24"/>
                <w:szCs w:val="2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220" w:type="dxa"/>
            <w:vAlign w:val="bottom"/>
          </w:tcPr>
          <w:p>
            <w:pPr>
              <w:spacing w:after="0"/>
              <w:rPr>
                <w:sz w:val="24"/>
                <w:szCs w:val="2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8"/>
                <w:szCs w:val="8"/>
                <w:b w:val="1"/>
                <w:bCs w:val="1"/>
                <w:color w:val="auto"/>
              </w:rPr>
              <w:t>Eliminations</w:t>
            </w:r>
          </w:p>
        </w:tc>
        <w:tc>
          <w:tcPr>
            <w:tcW w:w="14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40" w:type="dxa"/>
            <w:vAlign w:val="bottom"/>
          </w:tcPr>
          <w:p>
            <w:pPr>
              <w:spacing w:after="0"/>
              <w:rPr>
                <w:sz w:val="24"/>
                <w:szCs w:val="2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2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GM</w:t>
            </w:r>
          </w:p>
        </w:tc>
        <w:tc>
          <w:tcPr>
            <w:tcW w:w="1340" w:type="dxa"/>
            <w:vAlign w:val="bottom"/>
            <w:gridSpan w:val="3"/>
            <w:vMerge w:val="restart"/>
          </w:tcPr>
          <w:p>
            <w:pPr>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24"/>
                <w:szCs w:val="24"/>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2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Automotive</w:t>
            </w:r>
          </w:p>
        </w:tc>
        <w:tc>
          <w:tcPr>
            <w:tcW w:w="1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600" w:type="dxa"/>
            <w:vAlign w:val="bottom"/>
          </w:tcPr>
          <w:p>
            <w:pPr>
              <w:spacing w:after="0"/>
              <w:rPr>
                <w:sz w:val="20"/>
                <w:szCs w:val="20"/>
                <w:color w:val="auto"/>
              </w:rPr>
            </w:pPr>
            <w:r>
              <w:rPr>
                <w:rFonts w:ascii="Arial" w:cs="Arial" w:eastAsia="Arial" w:hAnsi="Arial"/>
                <w:sz w:val="8"/>
                <w:szCs w:val="8"/>
                <w:b w:val="1"/>
                <w:bCs w:val="1"/>
                <w:color w:val="auto"/>
              </w:rPr>
              <w:t>Three Months Ended December 31, 2020</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Net sales and revenue</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30,170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3,894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34,093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3,426</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37,518</w:t>
            </w:r>
          </w:p>
        </w:tc>
        <w:tc>
          <w:tcPr>
            <w:tcW w:w="0" w:type="dxa"/>
            <w:vAlign w:val="bottom"/>
          </w:tcPr>
          <w:p>
            <w:pPr>
              <w:spacing w:after="0"/>
              <w:rPr>
                <w:sz w:val="1"/>
                <w:szCs w:val="1"/>
                <w:color w:val="auto"/>
              </w:rPr>
            </w:pPr>
          </w:p>
        </w:tc>
      </w:tr>
      <w:tr>
        <w:trPr>
          <w:trHeight w:val="131"/>
        </w:trPr>
        <w:tc>
          <w:tcPr>
            <w:tcW w:w="2600" w:type="dxa"/>
            <w:vAlign w:val="bottom"/>
          </w:tcPr>
          <w:p>
            <w:pPr>
              <w:spacing w:after="0"/>
              <w:rPr>
                <w:sz w:val="20"/>
                <w:szCs w:val="20"/>
                <w:color w:val="auto"/>
              </w:rPr>
            </w:pPr>
            <w:r>
              <w:rPr>
                <w:rFonts w:ascii="Arial" w:cs="Arial" w:eastAsia="Arial" w:hAnsi="Arial"/>
                <w:sz w:val="8"/>
                <w:szCs w:val="8"/>
                <w:color w:val="auto"/>
              </w:rPr>
              <w:t>Expenditures for property</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1,798</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155</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3"/>
              <w:spacing w:after="0"/>
              <w:rPr>
                <w:sz w:val="20"/>
                <w:szCs w:val="20"/>
                <w:color w:val="auto"/>
              </w:rPr>
            </w:pPr>
            <w:r>
              <w:rPr>
                <w:rFonts w:ascii="Arial" w:cs="Arial" w:eastAsia="Arial" w:hAnsi="Arial"/>
                <w:sz w:val="10"/>
                <w:szCs w:val="10"/>
                <w:color w:val="auto"/>
              </w:rPr>
              <w:t>1,959</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1,972</w:t>
            </w:r>
          </w:p>
        </w:tc>
        <w:tc>
          <w:tcPr>
            <w:tcW w:w="0" w:type="dxa"/>
            <w:vAlign w:val="bottom"/>
          </w:tcPr>
          <w:p>
            <w:pPr>
              <w:spacing w:after="0"/>
              <w:rPr>
                <w:sz w:val="1"/>
                <w:szCs w:val="1"/>
                <w:color w:val="auto"/>
              </w:rPr>
            </w:pPr>
          </w:p>
        </w:tc>
      </w:tr>
      <w:tr>
        <w:trPr>
          <w:trHeight w:val="145"/>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Depreciation and amortization</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163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1,371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1,678</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3,062</w:t>
            </w:r>
          </w:p>
        </w:tc>
        <w:tc>
          <w:tcPr>
            <w:tcW w:w="0" w:type="dxa"/>
            <w:vAlign w:val="bottom"/>
          </w:tcPr>
          <w:p>
            <w:pPr>
              <w:spacing w:after="0"/>
              <w:rPr>
                <w:sz w:val="1"/>
                <w:szCs w:val="1"/>
                <w:color w:val="auto"/>
              </w:rPr>
            </w:pPr>
          </w:p>
        </w:tc>
      </w:tr>
      <w:tr>
        <w:trPr>
          <w:trHeight w:val="131"/>
        </w:trPr>
        <w:tc>
          <w:tcPr>
            <w:tcW w:w="2600" w:type="dxa"/>
            <w:vAlign w:val="bottom"/>
          </w:tcPr>
          <w:p>
            <w:pPr>
              <w:spacing w:after="0"/>
              <w:rPr>
                <w:sz w:val="20"/>
                <w:szCs w:val="20"/>
                <w:color w:val="auto"/>
              </w:rPr>
            </w:pPr>
            <w:r>
              <w:rPr>
                <w:rFonts w:ascii="Arial" w:cs="Arial" w:eastAsia="Arial" w:hAnsi="Arial"/>
                <w:sz w:val="8"/>
                <w:szCs w:val="8"/>
                <w:color w:val="auto"/>
              </w:rPr>
              <w:t>Impairment charges</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18</w:t>
            </w:r>
          </w:p>
        </w:tc>
        <w:tc>
          <w:tcPr>
            <w:tcW w:w="0" w:type="dxa"/>
            <w:vAlign w:val="bottom"/>
          </w:tcPr>
          <w:p>
            <w:pPr>
              <w:spacing w:after="0"/>
              <w:rPr>
                <w:sz w:val="1"/>
                <w:szCs w:val="1"/>
                <w:color w:val="auto"/>
              </w:rPr>
            </w:pPr>
          </w:p>
        </w:tc>
      </w:tr>
      <w:tr>
        <w:trPr>
          <w:trHeight w:val="145"/>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Equity income(a)</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249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251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34</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285</w:t>
            </w: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80" w:type="dxa"/>
            <w:vAlign w:val="bottom"/>
          </w:tcPr>
          <w:p>
            <w:pPr>
              <w:spacing w:after="0"/>
              <w:rPr>
                <w:sz w:val="24"/>
                <w:szCs w:val="24"/>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24"/>
                <w:szCs w:val="2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220" w:type="dxa"/>
            <w:vAlign w:val="bottom"/>
          </w:tcPr>
          <w:p>
            <w:pPr>
              <w:spacing w:after="0"/>
              <w:rPr>
                <w:sz w:val="24"/>
                <w:szCs w:val="2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8"/>
                <w:szCs w:val="8"/>
                <w:b w:val="1"/>
                <w:bCs w:val="1"/>
                <w:color w:val="auto"/>
              </w:rPr>
              <w:t>Eliminations</w:t>
            </w:r>
          </w:p>
        </w:tc>
        <w:tc>
          <w:tcPr>
            <w:tcW w:w="14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40" w:type="dxa"/>
            <w:vAlign w:val="bottom"/>
          </w:tcPr>
          <w:p>
            <w:pPr>
              <w:spacing w:after="0"/>
              <w:rPr>
                <w:sz w:val="24"/>
                <w:szCs w:val="2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2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GM</w:t>
            </w:r>
          </w:p>
        </w:tc>
        <w:tc>
          <w:tcPr>
            <w:tcW w:w="1340" w:type="dxa"/>
            <w:vAlign w:val="bottom"/>
            <w:gridSpan w:val="3"/>
            <w:vMerge w:val="restart"/>
          </w:tcPr>
          <w:p>
            <w:pPr>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24"/>
                <w:szCs w:val="24"/>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2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Automotive</w:t>
            </w:r>
          </w:p>
        </w:tc>
        <w:tc>
          <w:tcPr>
            <w:tcW w:w="1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600" w:type="dxa"/>
            <w:vAlign w:val="bottom"/>
          </w:tcPr>
          <w:p>
            <w:pPr>
              <w:spacing w:after="0"/>
              <w:rPr>
                <w:sz w:val="20"/>
                <w:szCs w:val="20"/>
                <w:color w:val="auto"/>
              </w:rPr>
            </w:pPr>
            <w:r>
              <w:rPr>
                <w:rFonts w:ascii="Arial" w:cs="Arial" w:eastAsia="Arial" w:hAnsi="Arial"/>
                <w:sz w:val="8"/>
                <w:szCs w:val="8"/>
                <w:b w:val="1"/>
                <w:bCs w:val="1"/>
                <w:color w:val="auto"/>
              </w:rPr>
              <w:t>Year Ended December 31, 2021</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Net sales and revenue</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101,308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12,172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113,584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13,419</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127,004</w:t>
            </w:r>
          </w:p>
        </w:tc>
        <w:tc>
          <w:tcPr>
            <w:tcW w:w="0" w:type="dxa"/>
            <w:vAlign w:val="bottom"/>
          </w:tcPr>
          <w:p>
            <w:pPr>
              <w:spacing w:after="0"/>
              <w:rPr>
                <w:sz w:val="1"/>
                <w:szCs w:val="1"/>
                <w:color w:val="auto"/>
              </w:rPr>
            </w:pPr>
          </w:p>
        </w:tc>
      </w:tr>
      <w:tr>
        <w:trPr>
          <w:trHeight w:val="131"/>
        </w:trPr>
        <w:tc>
          <w:tcPr>
            <w:tcW w:w="2600" w:type="dxa"/>
            <w:vAlign w:val="bottom"/>
          </w:tcPr>
          <w:p>
            <w:pPr>
              <w:spacing w:after="0"/>
              <w:rPr>
                <w:sz w:val="20"/>
                <w:szCs w:val="20"/>
                <w:color w:val="auto"/>
              </w:rPr>
            </w:pPr>
            <w:r>
              <w:rPr>
                <w:rFonts w:ascii="Arial" w:cs="Arial" w:eastAsia="Arial" w:hAnsi="Arial"/>
                <w:sz w:val="8"/>
                <w:szCs w:val="8"/>
                <w:color w:val="auto"/>
              </w:rPr>
              <w:t>Expenditures for property</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6,576</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783</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30</w:t>
            </w:r>
          </w:p>
        </w:tc>
        <w:tc>
          <w:tcPr>
            <w:tcW w:w="10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3"/>
              <w:spacing w:after="0"/>
              <w:rPr>
                <w:sz w:val="20"/>
                <w:szCs w:val="20"/>
                <w:color w:val="auto"/>
              </w:rPr>
            </w:pPr>
            <w:r>
              <w:rPr>
                <w:rFonts w:ascii="Arial" w:cs="Arial" w:eastAsia="Arial" w:hAnsi="Arial"/>
                <w:sz w:val="10"/>
                <w:szCs w:val="10"/>
                <w:color w:val="auto"/>
              </w:rPr>
              <w:t>7,389</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89</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26</w:t>
            </w:r>
          </w:p>
        </w:tc>
        <w:tc>
          <w:tcPr>
            <w:tcW w:w="10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11"/>
              <w:spacing w:after="0"/>
              <w:rPr>
                <w:sz w:val="20"/>
                <w:szCs w:val="20"/>
                <w:color w:val="auto"/>
              </w:rPr>
            </w:pPr>
            <w:r>
              <w:rPr>
                <w:rFonts w:ascii="Arial" w:cs="Arial" w:eastAsia="Arial" w:hAnsi="Arial"/>
                <w:sz w:val="10"/>
                <w:szCs w:val="10"/>
                <w:color w:val="auto"/>
              </w:rPr>
              <w:t>5</w:t>
            </w:r>
          </w:p>
        </w:tc>
        <w:tc>
          <w:tcPr>
            <w:tcW w:w="8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7,509</w:t>
            </w:r>
          </w:p>
        </w:tc>
        <w:tc>
          <w:tcPr>
            <w:tcW w:w="0" w:type="dxa"/>
            <w:vAlign w:val="bottom"/>
          </w:tcPr>
          <w:p>
            <w:pPr>
              <w:spacing w:after="0"/>
              <w:rPr>
                <w:sz w:val="1"/>
                <w:szCs w:val="1"/>
                <w:color w:val="auto"/>
              </w:rPr>
            </w:pPr>
          </w:p>
        </w:tc>
      </w:tr>
      <w:tr>
        <w:trPr>
          <w:trHeight w:val="145"/>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Depreciation and amortization</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5,298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5,861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6,134</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12,047</w:t>
            </w:r>
          </w:p>
        </w:tc>
        <w:tc>
          <w:tcPr>
            <w:tcW w:w="0" w:type="dxa"/>
            <w:vAlign w:val="bottom"/>
          </w:tcPr>
          <w:p>
            <w:pPr>
              <w:spacing w:after="0"/>
              <w:rPr>
                <w:sz w:val="1"/>
                <w:szCs w:val="1"/>
                <w:color w:val="auto"/>
              </w:rPr>
            </w:pPr>
          </w:p>
        </w:tc>
      </w:tr>
      <w:tr>
        <w:trPr>
          <w:trHeight w:val="131"/>
        </w:trPr>
        <w:tc>
          <w:tcPr>
            <w:tcW w:w="2600" w:type="dxa"/>
            <w:vAlign w:val="bottom"/>
          </w:tcPr>
          <w:p>
            <w:pPr>
              <w:spacing w:after="0"/>
              <w:rPr>
                <w:sz w:val="20"/>
                <w:szCs w:val="20"/>
                <w:color w:val="auto"/>
              </w:rPr>
            </w:pPr>
            <w:r>
              <w:rPr>
                <w:rFonts w:ascii="Arial" w:cs="Arial" w:eastAsia="Arial" w:hAnsi="Arial"/>
                <w:sz w:val="8"/>
                <w:szCs w:val="8"/>
                <w:color w:val="auto"/>
              </w:rPr>
              <w:t>Impairment charges</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45"/>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Equity income(a)</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1,092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1,100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201</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1,301</w:t>
            </w: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80" w:type="dxa"/>
            <w:vAlign w:val="bottom"/>
          </w:tcPr>
          <w:p>
            <w:pPr>
              <w:spacing w:after="0"/>
              <w:rPr>
                <w:sz w:val="24"/>
                <w:szCs w:val="24"/>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24"/>
                <w:szCs w:val="2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220" w:type="dxa"/>
            <w:vAlign w:val="bottom"/>
          </w:tcPr>
          <w:p>
            <w:pPr>
              <w:spacing w:after="0"/>
              <w:rPr>
                <w:sz w:val="24"/>
                <w:szCs w:val="2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8"/>
                <w:szCs w:val="8"/>
                <w:b w:val="1"/>
                <w:bCs w:val="1"/>
                <w:color w:val="auto"/>
              </w:rPr>
              <w:t>Eliminations</w:t>
            </w:r>
          </w:p>
        </w:tc>
        <w:tc>
          <w:tcPr>
            <w:tcW w:w="14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40" w:type="dxa"/>
            <w:vAlign w:val="bottom"/>
          </w:tcPr>
          <w:p>
            <w:pPr>
              <w:spacing w:after="0"/>
              <w:rPr>
                <w:sz w:val="24"/>
                <w:szCs w:val="2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2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GM</w:t>
            </w:r>
          </w:p>
        </w:tc>
        <w:tc>
          <w:tcPr>
            <w:tcW w:w="1340" w:type="dxa"/>
            <w:vAlign w:val="bottom"/>
            <w:gridSpan w:val="3"/>
            <w:vMerge w:val="restart"/>
          </w:tcPr>
          <w:p>
            <w:pPr>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24"/>
                <w:szCs w:val="24"/>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2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Automotive</w:t>
            </w:r>
          </w:p>
        </w:tc>
        <w:tc>
          <w:tcPr>
            <w:tcW w:w="1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600" w:type="dxa"/>
            <w:vAlign w:val="bottom"/>
          </w:tcPr>
          <w:p>
            <w:pPr>
              <w:spacing w:after="0"/>
              <w:rPr>
                <w:sz w:val="20"/>
                <w:szCs w:val="20"/>
                <w:color w:val="auto"/>
              </w:rPr>
            </w:pPr>
            <w:r>
              <w:rPr>
                <w:rFonts w:ascii="Arial" w:cs="Arial" w:eastAsia="Arial" w:hAnsi="Arial"/>
                <w:sz w:val="8"/>
                <w:szCs w:val="8"/>
                <w:b w:val="1"/>
                <w:bCs w:val="1"/>
                <w:color w:val="auto"/>
              </w:rPr>
              <w:t>Year Ended December 31, 2020</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Net sales and revenue</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96,733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11,586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108,669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13,831</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122,485</w:t>
            </w:r>
          </w:p>
        </w:tc>
        <w:tc>
          <w:tcPr>
            <w:tcW w:w="0" w:type="dxa"/>
            <w:vAlign w:val="bottom"/>
          </w:tcPr>
          <w:p>
            <w:pPr>
              <w:spacing w:after="0"/>
              <w:rPr>
                <w:sz w:val="1"/>
                <w:szCs w:val="1"/>
                <w:color w:val="auto"/>
              </w:rPr>
            </w:pPr>
          </w:p>
        </w:tc>
      </w:tr>
      <w:tr>
        <w:trPr>
          <w:trHeight w:val="131"/>
        </w:trPr>
        <w:tc>
          <w:tcPr>
            <w:tcW w:w="2600" w:type="dxa"/>
            <w:vAlign w:val="bottom"/>
          </w:tcPr>
          <w:p>
            <w:pPr>
              <w:spacing w:after="0"/>
              <w:rPr>
                <w:sz w:val="20"/>
                <w:szCs w:val="20"/>
                <w:color w:val="auto"/>
              </w:rPr>
            </w:pPr>
            <w:r>
              <w:rPr>
                <w:rFonts w:ascii="Arial" w:cs="Arial" w:eastAsia="Arial" w:hAnsi="Arial"/>
                <w:sz w:val="8"/>
                <w:szCs w:val="8"/>
                <w:color w:val="auto"/>
              </w:rPr>
              <w:t>Expenditures for property</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4,501</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729</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21</w:t>
            </w:r>
          </w:p>
        </w:tc>
        <w:tc>
          <w:tcPr>
            <w:tcW w:w="10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3"/>
              <w:spacing w:after="0"/>
              <w:rPr>
                <w:sz w:val="20"/>
                <w:szCs w:val="20"/>
                <w:color w:val="auto"/>
              </w:rPr>
            </w:pPr>
            <w:r>
              <w:rPr>
                <w:rFonts w:ascii="Arial" w:cs="Arial" w:eastAsia="Arial" w:hAnsi="Arial"/>
                <w:sz w:val="10"/>
                <w:szCs w:val="10"/>
                <w:color w:val="auto"/>
              </w:rPr>
              <w:t>5,251</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15</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34</w:t>
            </w:r>
          </w:p>
        </w:tc>
        <w:tc>
          <w:tcPr>
            <w:tcW w:w="10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5,300</w:t>
            </w:r>
          </w:p>
        </w:tc>
        <w:tc>
          <w:tcPr>
            <w:tcW w:w="0" w:type="dxa"/>
            <w:vAlign w:val="bottom"/>
          </w:tcPr>
          <w:p>
            <w:pPr>
              <w:spacing w:after="0"/>
              <w:rPr>
                <w:sz w:val="1"/>
                <w:szCs w:val="1"/>
                <w:color w:val="auto"/>
              </w:rPr>
            </w:pPr>
          </w:p>
        </w:tc>
      </w:tr>
      <w:tr>
        <w:trPr>
          <w:trHeight w:val="145"/>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Depreciation and amortization</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4,739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5,388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7,245</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12,676</w:t>
            </w:r>
          </w:p>
        </w:tc>
        <w:tc>
          <w:tcPr>
            <w:tcW w:w="0" w:type="dxa"/>
            <w:vAlign w:val="bottom"/>
          </w:tcPr>
          <w:p>
            <w:pPr>
              <w:spacing w:after="0"/>
              <w:rPr>
                <w:sz w:val="1"/>
                <w:szCs w:val="1"/>
                <w:color w:val="auto"/>
              </w:rPr>
            </w:pPr>
          </w:p>
        </w:tc>
      </w:tr>
      <w:tr>
        <w:trPr>
          <w:trHeight w:val="131"/>
        </w:trPr>
        <w:tc>
          <w:tcPr>
            <w:tcW w:w="2600" w:type="dxa"/>
            <w:vAlign w:val="bottom"/>
          </w:tcPr>
          <w:p>
            <w:pPr>
              <w:spacing w:after="0"/>
              <w:rPr>
                <w:sz w:val="20"/>
                <w:szCs w:val="20"/>
                <w:color w:val="auto"/>
              </w:rPr>
            </w:pPr>
            <w:r>
              <w:rPr>
                <w:rFonts w:ascii="Arial" w:cs="Arial" w:eastAsia="Arial" w:hAnsi="Arial"/>
                <w:sz w:val="8"/>
                <w:szCs w:val="8"/>
                <w:color w:val="auto"/>
              </w:rPr>
              <w:t>Impairment charges</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99</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3"/>
              <w:spacing w:after="0"/>
              <w:rPr>
                <w:sz w:val="20"/>
                <w:szCs w:val="20"/>
                <w:color w:val="auto"/>
              </w:rPr>
            </w:pPr>
            <w:r>
              <w:rPr>
                <w:rFonts w:ascii="Arial" w:cs="Arial" w:eastAsia="Arial" w:hAnsi="Arial"/>
                <w:sz w:val="10"/>
                <w:szCs w:val="10"/>
                <w:color w:val="auto"/>
              </w:rPr>
              <w:t>119</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139</w:t>
            </w:r>
          </w:p>
        </w:tc>
        <w:tc>
          <w:tcPr>
            <w:tcW w:w="0" w:type="dxa"/>
            <w:vAlign w:val="bottom"/>
          </w:tcPr>
          <w:p>
            <w:pPr>
              <w:spacing w:after="0"/>
              <w:rPr>
                <w:sz w:val="1"/>
                <w:szCs w:val="1"/>
                <w:color w:val="auto"/>
              </w:rPr>
            </w:pPr>
          </w:p>
        </w:tc>
      </w:tr>
      <w:tr>
        <w:trPr>
          <w:trHeight w:val="145"/>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Equity income(a)</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510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527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147</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674</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ind w:left="260" w:hanging="255"/>
        <w:spacing w:after="0"/>
        <w:tabs>
          <w:tab w:leader="none" w:pos="260" w:val="left"/>
        </w:tabs>
        <w:numPr>
          <w:ilvl w:val="0"/>
          <w:numId w:val="8"/>
        </w:numPr>
        <w:rPr>
          <w:rFonts w:ascii="Arial" w:cs="Arial" w:eastAsia="Arial" w:hAnsi="Arial"/>
          <w:sz w:val="10"/>
          <w:szCs w:val="10"/>
          <w:color w:val="auto"/>
        </w:rPr>
      </w:pPr>
      <w:r>
        <w:rPr>
          <w:rFonts w:ascii="Arial" w:cs="Arial" w:eastAsia="Arial" w:hAnsi="Arial"/>
          <w:sz w:val="10"/>
          <w:szCs w:val="10"/>
          <w:color w:val="auto"/>
        </w:rPr>
        <w:t>Includes Automotive China equity income of $244 million and $248 million in the three months ended December 31, 2021 and 2020 and $1,098 million and $512 million in the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60"/>
          </w:cols>
          <w:pgMar w:left="300" w:top="69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Vehicle Sales</w:t>
      </w:r>
    </w:p>
    <w:p>
      <w:pPr>
        <w:spacing w:after="0" w:line="206" w:lineRule="exact"/>
        <w:rPr>
          <w:sz w:val="20"/>
          <w:szCs w:val="20"/>
          <w:color w:val="auto"/>
        </w:rPr>
      </w:pPr>
    </w:p>
    <w:p>
      <w:pPr>
        <w:jc w:val="both"/>
        <w:ind w:firstLine="127"/>
        <w:spacing w:after="0" w:line="244" w:lineRule="auto"/>
        <w:rPr>
          <w:sz w:val="20"/>
          <w:szCs w:val="20"/>
          <w:color w:val="auto"/>
        </w:rPr>
      </w:pPr>
      <w:r>
        <w:rPr>
          <w:rFonts w:ascii="Arial" w:cs="Arial" w:eastAsia="Arial" w:hAnsi="Arial"/>
          <w:sz w:val="13"/>
          <w:szCs w:val="13"/>
          <w:color w:val="auto"/>
        </w:rPr>
        <w:t>GM presents both wholesale and total vehicle sales data to assist in the analysis of our revenue and our market share. Cuba, Iran, North Korea, Sudan and Syria are subject to broad economic sanctions. Accordingly, these countries are excluded from industry sales data and the corresponding calculation of GM's market share.</w:t>
      </w:r>
    </w:p>
    <w:p>
      <w:pPr>
        <w:spacing w:after="0" w:line="184" w:lineRule="exact"/>
        <w:rPr>
          <w:sz w:val="20"/>
          <w:szCs w:val="20"/>
          <w:color w:val="auto"/>
        </w:rPr>
      </w:pPr>
    </w:p>
    <w:p>
      <w:pPr>
        <w:jc w:val="both"/>
        <w:ind w:firstLine="127"/>
        <w:spacing w:after="0" w:line="241" w:lineRule="auto"/>
        <w:rPr>
          <w:sz w:val="20"/>
          <w:szCs w:val="20"/>
          <w:color w:val="auto"/>
        </w:rPr>
      </w:pPr>
      <w:r>
        <w:rPr>
          <w:rFonts w:ascii="Arial" w:cs="Arial" w:eastAsia="Arial" w:hAnsi="Arial"/>
          <w:sz w:val="13"/>
          <w:szCs w:val="13"/>
          <w:color w:val="auto"/>
        </w:rPr>
        <w:t>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year ended December 31, 2021, 30% of our wholesale vehicle sales volume was generated outside the U.S. The following table summarizes wholesale vehicle sales by automotive segment (vehicles in thousands):</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4640" w:type="dxa"/>
            <w:vAlign w:val="bottom"/>
          </w:tcPr>
          <w:p>
            <w:pPr>
              <w:spacing w:after="0"/>
              <w:rPr>
                <w:sz w:val="11"/>
                <w:szCs w:val="11"/>
                <w:color w:val="auto"/>
              </w:rPr>
            </w:pPr>
          </w:p>
        </w:tc>
        <w:tc>
          <w:tcPr>
            <w:tcW w:w="3340" w:type="dxa"/>
            <w:vAlign w:val="bottom"/>
            <w:gridSpan w:val="5"/>
          </w:tcPr>
          <w:p>
            <w:pPr>
              <w:ind w:left="1140"/>
              <w:spacing w:after="0"/>
              <w:rPr>
                <w:sz w:val="20"/>
                <w:szCs w:val="20"/>
                <w:color w:val="auto"/>
              </w:rPr>
            </w:pPr>
            <w:r>
              <w:rPr>
                <w:rFonts w:ascii="Arial" w:cs="Arial" w:eastAsia="Arial" w:hAnsi="Arial"/>
                <w:sz w:val="10"/>
                <w:szCs w:val="10"/>
                <w:b w:val="1"/>
                <w:bCs w:val="1"/>
                <w:color w:val="auto"/>
              </w:rPr>
              <w:t>Three Months Ended</w:t>
            </w:r>
          </w:p>
        </w:tc>
        <w:tc>
          <w:tcPr>
            <w:tcW w:w="1980" w:type="dxa"/>
            <w:vAlign w:val="bottom"/>
            <w:gridSpan w:val="3"/>
          </w:tcPr>
          <w:p>
            <w:pPr>
              <w:ind w:left="1340"/>
              <w:spacing w:after="0"/>
              <w:rPr>
                <w:sz w:val="20"/>
                <w:szCs w:val="20"/>
                <w:color w:val="auto"/>
              </w:rPr>
            </w:pPr>
            <w:r>
              <w:rPr>
                <w:rFonts w:ascii="Arial" w:cs="Arial" w:eastAsia="Arial" w:hAnsi="Arial"/>
                <w:sz w:val="10"/>
                <w:szCs w:val="10"/>
                <w:b w:val="1"/>
                <w:bCs w:val="1"/>
                <w:color w:val="auto"/>
              </w:rPr>
              <w:t>Years Ended</w:t>
            </w:r>
          </w:p>
        </w:tc>
        <w:tc>
          <w:tcPr>
            <w:tcW w:w="1280" w:type="dxa"/>
            <w:vAlign w:val="bottom"/>
          </w:tcPr>
          <w:p>
            <w:pPr>
              <w:spacing w:after="0"/>
              <w:rPr>
                <w:sz w:val="11"/>
                <w:szCs w:val="11"/>
                <w:color w:val="auto"/>
              </w:rPr>
            </w:pPr>
          </w:p>
        </w:tc>
      </w:tr>
      <w:tr>
        <w:trPr>
          <w:trHeight w:val="132"/>
        </w:trPr>
        <w:tc>
          <w:tcPr>
            <w:tcW w:w="4640" w:type="dxa"/>
            <w:vAlign w:val="bottom"/>
            <w:tcBorders>
              <w:bottom w:val="single" w:sz="8" w:color="CCEEFF"/>
            </w:tcBorders>
          </w:tcPr>
          <w:p>
            <w:pPr>
              <w:spacing w:after="0"/>
              <w:rPr>
                <w:sz w:val="11"/>
                <w:szCs w:val="11"/>
                <w:color w:val="auto"/>
              </w:rPr>
            </w:pPr>
          </w:p>
        </w:tc>
        <w:tc>
          <w:tcPr>
            <w:tcW w:w="12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0"/>
                <w:szCs w:val="10"/>
                <w:b w:val="1"/>
                <w:bCs w:val="1"/>
                <w:color w:val="auto"/>
                <w:w w:val="99"/>
              </w:rPr>
              <w:t>December 31, 2021</w:t>
            </w:r>
          </w:p>
        </w:tc>
        <w:tc>
          <w:tcPr>
            <w:tcW w:w="3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5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0"/>
                <w:szCs w:val="10"/>
                <w:b w:val="1"/>
                <w:bCs w:val="1"/>
                <w:color w:val="auto"/>
              </w:rPr>
              <w:t>December 31, 2020</w:t>
            </w:r>
          </w:p>
        </w:tc>
        <w:tc>
          <w:tcPr>
            <w:tcW w:w="100" w:type="dxa"/>
            <w:vAlign w:val="bottom"/>
            <w:tcBorders>
              <w:bottom w:val="single" w:sz="8" w:color="CCEEFF"/>
            </w:tcBorders>
          </w:tcPr>
          <w:p>
            <w:pPr>
              <w:spacing w:after="0"/>
              <w:rPr>
                <w:sz w:val="11"/>
                <w:szCs w:val="11"/>
                <w:color w:val="auto"/>
              </w:rPr>
            </w:pPr>
          </w:p>
        </w:tc>
        <w:tc>
          <w:tcPr>
            <w:tcW w:w="158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December 31, 2021</w:t>
            </w:r>
          </w:p>
        </w:tc>
        <w:tc>
          <w:tcPr>
            <w:tcW w:w="100" w:type="dxa"/>
            <w:vAlign w:val="bottom"/>
            <w:tcBorders>
              <w:top w:val="single" w:sz="8" w:color="auto"/>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0"/>
                <w:szCs w:val="10"/>
                <w:b w:val="1"/>
                <w:bCs w:val="1"/>
                <w:color w:val="auto"/>
              </w:rPr>
              <w:t>December 31, 2020</w:t>
            </w:r>
          </w:p>
        </w:tc>
      </w:tr>
      <w:tr>
        <w:trPr>
          <w:trHeight w:val="165"/>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GMNA</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2,308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2,707</w:t>
            </w:r>
          </w:p>
        </w:tc>
      </w:tr>
      <w:tr>
        <w:trPr>
          <w:trHeight w:val="168"/>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GMI</w:t>
            </w:r>
          </w:p>
        </w:tc>
        <w:tc>
          <w:tcPr>
            <w:tcW w:w="1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w:t>
            </w:r>
          </w:p>
        </w:tc>
        <w:tc>
          <w:tcPr>
            <w:tcW w:w="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w:t>
            </w:r>
          </w:p>
        </w:tc>
        <w:tc>
          <w:tcPr>
            <w:tcW w:w="1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551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663</w:t>
            </w:r>
          </w:p>
        </w:tc>
      </w:tr>
      <w:tr>
        <w:trPr>
          <w:trHeight w:val="18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2,859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80"/>
          </w:cols>
          <w:pgMar w:left="300" w:top="698" w:right="319" w:bottom="1440" w:gutter="0" w:footer="0" w:header="0"/>
        </w:sectPr>
      </w:pPr>
    </w:p>
    <w:bookmarkStart w:id="19" w:name="page20"/>
    <w:bookmarkEnd w:id="19"/>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jc w:val="both"/>
        <w:ind w:firstLine="127"/>
        <w:spacing w:after="0" w:line="263" w:lineRule="auto"/>
        <w:rPr>
          <w:sz w:val="20"/>
          <w:szCs w:val="20"/>
          <w:color w:val="auto"/>
        </w:rPr>
      </w:pPr>
      <w:r>
        <w:rPr>
          <w:rFonts w:ascii="Arial" w:cs="Arial" w:eastAsia="Arial" w:hAnsi="Arial"/>
          <w:sz w:val="12"/>
          <w:szCs w:val="12"/>
          <w:color w:val="auto"/>
        </w:rPr>
        <w:t>Total vehicle sales data represents: (1) retail sales (i.e., sales to consumers who purchase new vehicles from dealers or distributors); (2) fleet sales, such as sales to large and small businesses, governments, and daily rental car companies; and (3) vehicles used by dealers in their businesses, including courtesy transportation vehicles.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total vehicle sales by geographic region (vehicles 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740" w:type="dxa"/>
            <w:vAlign w:val="bottom"/>
          </w:tcPr>
          <w:p>
            <w:pPr>
              <w:spacing w:after="0"/>
              <w:rPr>
                <w:sz w:val="11"/>
                <w:szCs w:val="11"/>
                <w:color w:val="auto"/>
              </w:rPr>
            </w:pPr>
          </w:p>
        </w:tc>
        <w:tc>
          <w:tcPr>
            <w:tcW w:w="3300" w:type="dxa"/>
            <w:vAlign w:val="bottom"/>
            <w:gridSpan w:val="4"/>
          </w:tcPr>
          <w:p>
            <w:pPr>
              <w:ind w:left="1120"/>
              <w:spacing w:after="0"/>
              <w:rPr>
                <w:sz w:val="20"/>
                <w:szCs w:val="20"/>
                <w:color w:val="auto"/>
              </w:rPr>
            </w:pPr>
            <w:r>
              <w:rPr>
                <w:rFonts w:ascii="Arial" w:cs="Arial" w:eastAsia="Arial" w:hAnsi="Arial"/>
                <w:sz w:val="10"/>
                <w:szCs w:val="10"/>
                <w:b w:val="1"/>
                <w:bCs w:val="1"/>
                <w:color w:val="auto"/>
              </w:rPr>
              <w:t>Three Months Ended</w:t>
            </w:r>
          </w:p>
        </w:tc>
        <w:tc>
          <w:tcPr>
            <w:tcW w:w="1960" w:type="dxa"/>
            <w:vAlign w:val="bottom"/>
            <w:gridSpan w:val="3"/>
          </w:tcPr>
          <w:p>
            <w:pPr>
              <w:ind w:left="1320"/>
              <w:spacing w:after="0"/>
              <w:rPr>
                <w:sz w:val="20"/>
                <w:szCs w:val="20"/>
                <w:color w:val="auto"/>
              </w:rPr>
            </w:pPr>
            <w:r>
              <w:rPr>
                <w:rFonts w:ascii="Arial" w:cs="Arial" w:eastAsia="Arial" w:hAnsi="Arial"/>
                <w:sz w:val="10"/>
                <w:szCs w:val="10"/>
                <w:b w:val="1"/>
                <w:bCs w:val="1"/>
                <w:color w:val="auto"/>
              </w:rPr>
              <w:t>Years Ended</w:t>
            </w:r>
          </w:p>
        </w:tc>
        <w:tc>
          <w:tcPr>
            <w:tcW w:w="1260" w:type="dxa"/>
            <w:vAlign w:val="bottom"/>
          </w:tcPr>
          <w:p>
            <w:pPr>
              <w:spacing w:after="0"/>
              <w:rPr>
                <w:sz w:val="11"/>
                <w:szCs w:val="11"/>
                <w:color w:val="auto"/>
              </w:rPr>
            </w:pPr>
          </w:p>
        </w:tc>
      </w:tr>
      <w:tr>
        <w:trPr>
          <w:trHeight w:val="127"/>
        </w:trPr>
        <w:tc>
          <w:tcPr>
            <w:tcW w:w="4740" w:type="dxa"/>
            <w:vAlign w:val="bottom"/>
          </w:tcPr>
          <w:p>
            <w:pPr>
              <w:spacing w:after="0"/>
              <w:rPr>
                <w:sz w:val="11"/>
                <w:szCs w:val="11"/>
                <w:color w:val="auto"/>
              </w:rPr>
            </w:pPr>
          </w:p>
        </w:tc>
        <w:tc>
          <w:tcPr>
            <w:tcW w:w="1660" w:type="dxa"/>
            <w:vAlign w:val="bottom"/>
            <w:tcBorders>
              <w:top w:val="single" w:sz="8" w:color="auto"/>
            </w:tcBorders>
            <w:gridSpan w:val="2"/>
          </w:tcPr>
          <w:p>
            <w:pPr>
              <w:ind w:left="340"/>
              <w:spacing w:after="0"/>
              <w:rPr>
                <w:sz w:val="20"/>
                <w:szCs w:val="20"/>
                <w:color w:val="auto"/>
              </w:rPr>
            </w:pPr>
            <w:r>
              <w:rPr>
                <w:rFonts w:ascii="Arial" w:cs="Arial" w:eastAsia="Arial" w:hAnsi="Arial"/>
                <w:sz w:val="10"/>
                <w:szCs w:val="10"/>
                <w:b w:val="1"/>
                <w:bCs w:val="1"/>
                <w:color w:val="auto"/>
              </w:rPr>
              <w:t>December 31, 2021</w:t>
            </w:r>
          </w:p>
        </w:tc>
        <w:tc>
          <w:tcPr>
            <w:tcW w:w="1560" w:type="dxa"/>
            <w:vAlign w:val="bottom"/>
            <w:tcBorders>
              <w:top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December 31, 2020</w:t>
            </w:r>
          </w:p>
        </w:tc>
        <w:tc>
          <w:tcPr>
            <w:tcW w:w="80" w:type="dxa"/>
            <w:vAlign w:val="bottom"/>
          </w:tcPr>
          <w:p>
            <w:pPr>
              <w:spacing w:after="0"/>
              <w:rPr>
                <w:sz w:val="11"/>
                <w:szCs w:val="11"/>
                <w:color w:val="auto"/>
              </w:rPr>
            </w:pPr>
          </w:p>
        </w:tc>
        <w:tc>
          <w:tcPr>
            <w:tcW w:w="1960" w:type="dxa"/>
            <w:vAlign w:val="bottom"/>
            <w:tcBorders>
              <w:top w:val="single" w:sz="8" w:color="auto"/>
            </w:tcBorders>
            <w:gridSpan w:val="3"/>
          </w:tcPr>
          <w:p>
            <w:pPr>
              <w:ind w:left="340"/>
              <w:spacing w:after="0"/>
              <w:rPr>
                <w:sz w:val="20"/>
                <w:szCs w:val="20"/>
                <w:color w:val="auto"/>
              </w:rPr>
            </w:pPr>
            <w:r>
              <w:rPr>
                <w:rFonts w:ascii="Arial" w:cs="Arial" w:eastAsia="Arial" w:hAnsi="Arial"/>
                <w:sz w:val="10"/>
                <w:szCs w:val="10"/>
                <w:b w:val="1"/>
                <w:bCs w:val="1"/>
                <w:color w:val="auto"/>
              </w:rPr>
              <w:t>December 31, 2021</w:t>
            </w:r>
          </w:p>
        </w:tc>
        <w:tc>
          <w:tcPr>
            <w:tcW w:w="1260" w:type="dxa"/>
            <w:vAlign w:val="bottom"/>
            <w:tcBorders>
              <w:top w:val="single" w:sz="8" w:color="auto"/>
            </w:tcBorders>
          </w:tcPr>
          <w:p>
            <w:pPr>
              <w:jc w:val="right"/>
              <w:ind w:right="277"/>
              <w:spacing w:after="0"/>
              <w:rPr>
                <w:sz w:val="20"/>
                <w:szCs w:val="20"/>
                <w:color w:val="auto"/>
              </w:rPr>
            </w:pPr>
            <w:r>
              <w:rPr>
                <w:rFonts w:ascii="Arial" w:cs="Arial" w:eastAsia="Arial" w:hAnsi="Arial"/>
                <w:sz w:val="10"/>
                <w:szCs w:val="10"/>
                <w:b w:val="1"/>
                <w:bCs w:val="1"/>
                <w:color w:val="auto"/>
                <w:w w:val="99"/>
              </w:rPr>
              <w:t>December 31, 2020</w:t>
            </w:r>
          </w:p>
        </w:tc>
      </w:tr>
      <w:tr>
        <w:trPr>
          <w:trHeight w:val="156"/>
        </w:trPr>
        <w:tc>
          <w:tcPr>
            <w:tcW w:w="474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r>
      <w:tr>
        <w:trPr>
          <w:trHeight w:val="172"/>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Chevrolet – Cars</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r>
      <w:tr>
        <w:trPr>
          <w:trHeight w:val="168"/>
        </w:trPr>
        <w:tc>
          <w:tcPr>
            <w:tcW w:w="4740" w:type="dxa"/>
            <w:vAlign w:val="bottom"/>
          </w:tcPr>
          <w:p>
            <w:pPr>
              <w:ind w:left="180"/>
              <w:spacing w:after="0"/>
              <w:rPr>
                <w:sz w:val="20"/>
                <w:szCs w:val="20"/>
                <w:color w:val="auto"/>
              </w:rPr>
            </w:pPr>
            <w:r>
              <w:rPr>
                <w:rFonts w:ascii="Arial" w:cs="Arial" w:eastAsia="Arial" w:hAnsi="Arial"/>
                <w:sz w:val="13"/>
                <w:szCs w:val="13"/>
                <w:color w:val="auto"/>
              </w:rPr>
              <w:t>Chevrolet – Trucks</w:t>
            </w:r>
          </w:p>
        </w:tc>
        <w:tc>
          <w:tcPr>
            <w:tcW w:w="1560" w:type="dxa"/>
            <w:vAlign w:val="bottom"/>
          </w:tcPr>
          <w:p>
            <w:pPr>
              <w:jc w:val="right"/>
              <w:spacing w:after="0"/>
              <w:rPr>
                <w:sz w:val="20"/>
                <w:szCs w:val="20"/>
                <w:color w:val="auto"/>
              </w:rPr>
            </w:pPr>
            <w:r>
              <w:rPr>
                <w:rFonts w:ascii="Arial" w:cs="Arial" w:eastAsia="Arial" w:hAnsi="Arial"/>
                <w:sz w:val="13"/>
                <w:szCs w:val="13"/>
                <w:color w:val="auto"/>
              </w:rPr>
              <w:t>191</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269</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807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876</w:t>
            </w:r>
          </w:p>
        </w:tc>
      </w:tr>
      <w:tr>
        <w:trPr>
          <w:trHeight w:val="172"/>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Chevrolet – Crossovers</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w:t>
            </w:r>
          </w:p>
        </w:tc>
      </w:tr>
      <w:tr>
        <w:trPr>
          <w:trHeight w:val="168"/>
        </w:trPr>
        <w:tc>
          <w:tcPr>
            <w:tcW w:w="4740" w:type="dxa"/>
            <w:vAlign w:val="bottom"/>
          </w:tcPr>
          <w:p>
            <w:pPr>
              <w:ind w:left="180"/>
              <w:spacing w:after="0"/>
              <w:rPr>
                <w:sz w:val="20"/>
                <w:szCs w:val="20"/>
                <w:color w:val="auto"/>
              </w:rPr>
            </w:pPr>
            <w:r>
              <w:rPr>
                <w:rFonts w:ascii="Arial" w:cs="Arial" w:eastAsia="Arial" w:hAnsi="Arial"/>
                <w:sz w:val="13"/>
                <w:szCs w:val="13"/>
                <w:color w:val="auto"/>
              </w:rPr>
              <w:t>Cadillac</w:t>
            </w:r>
          </w:p>
        </w:tc>
        <w:tc>
          <w:tcPr>
            <w:tcW w:w="156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43</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129</w:t>
            </w:r>
          </w:p>
        </w:tc>
      </w:tr>
      <w:tr>
        <w:trPr>
          <w:trHeight w:val="172"/>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Buick</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w:t>
            </w:r>
          </w:p>
        </w:tc>
      </w:tr>
      <w:tr>
        <w:trPr>
          <w:trHeight w:val="168"/>
        </w:trPr>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GMC</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w:t>
            </w:r>
          </w:p>
        </w:tc>
        <w:tc>
          <w:tcPr>
            <w:tcW w:w="8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516</w:t>
            </w:r>
          </w:p>
        </w:tc>
      </w:tr>
      <w:tr>
        <w:trPr>
          <w:trHeight w:val="163"/>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United States</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2,547</w:t>
            </w:r>
          </w:p>
        </w:tc>
      </w:tr>
      <w:tr>
        <w:trPr>
          <w:trHeight w:val="16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Canada, Mexico and Other</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w:t>
            </w:r>
          </w:p>
        </w:tc>
        <w:tc>
          <w:tcPr>
            <w:tcW w:w="10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w:t>
            </w:r>
          </w:p>
        </w:tc>
        <w:tc>
          <w:tcPr>
            <w:tcW w:w="8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w:t>
            </w:r>
          </w:p>
        </w:tc>
      </w:tr>
      <w:tr>
        <w:trPr>
          <w:trHeight w:val="163"/>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North America</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100" w:type="dxa"/>
            <w:vAlign w:val="bottom"/>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875</w:t>
            </w:r>
          </w:p>
        </w:tc>
        <w:tc>
          <w:tcPr>
            <w:tcW w:w="80" w:type="dxa"/>
            <w:vAlign w:val="bottom"/>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2,924</w:t>
            </w:r>
          </w:p>
        </w:tc>
      </w:tr>
      <w:tr>
        <w:trPr>
          <w:trHeight w:val="148"/>
        </w:trPr>
        <w:tc>
          <w:tcPr>
            <w:tcW w:w="4740" w:type="dxa"/>
            <w:vAlign w:val="bottom"/>
          </w:tcPr>
          <w:p>
            <w:pPr>
              <w:ind w:left="20"/>
              <w:spacing w:after="0" w:line="146" w:lineRule="exact"/>
              <w:rPr>
                <w:sz w:val="20"/>
                <w:szCs w:val="20"/>
                <w:color w:val="auto"/>
              </w:rPr>
            </w:pPr>
            <w:r>
              <w:rPr>
                <w:rFonts w:ascii="Arial" w:cs="Arial" w:eastAsia="Arial" w:hAnsi="Arial"/>
                <w:sz w:val="13"/>
                <w:szCs w:val="13"/>
                <w:color w:val="auto"/>
              </w:rPr>
              <w:t>Asia/Pacific, Middle East and Africa</w:t>
            </w: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72"/>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Chevrolet</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764</w:t>
            </w:r>
          </w:p>
        </w:tc>
      </w:tr>
      <w:tr>
        <w:trPr>
          <w:trHeight w:val="168"/>
        </w:trPr>
        <w:tc>
          <w:tcPr>
            <w:tcW w:w="4740" w:type="dxa"/>
            <w:vAlign w:val="bottom"/>
          </w:tcPr>
          <w:p>
            <w:pPr>
              <w:ind w:left="180"/>
              <w:spacing w:after="0"/>
              <w:rPr>
                <w:sz w:val="20"/>
                <w:szCs w:val="20"/>
                <w:color w:val="auto"/>
              </w:rPr>
            </w:pPr>
            <w:r>
              <w:rPr>
                <w:rFonts w:ascii="Arial" w:cs="Arial" w:eastAsia="Arial" w:hAnsi="Arial"/>
                <w:sz w:val="13"/>
                <w:szCs w:val="13"/>
                <w:color w:val="auto"/>
              </w:rPr>
              <w:t>Wuling</w:t>
            </w:r>
          </w:p>
        </w:tc>
        <w:tc>
          <w:tcPr>
            <w:tcW w:w="1560" w:type="dxa"/>
            <w:vAlign w:val="bottom"/>
          </w:tcPr>
          <w:p>
            <w:pPr>
              <w:jc w:val="right"/>
              <w:spacing w:after="0"/>
              <w:rPr>
                <w:sz w:val="20"/>
                <w:szCs w:val="20"/>
                <w:color w:val="auto"/>
              </w:rPr>
            </w:pPr>
            <w:r>
              <w:rPr>
                <w:rFonts w:ascii="Arial" w:cs="Arial" w:eastAsia="Arial" w:hAnsi="Arial"/>
                <w:sz w:val="13"/>
                <w:szCs w:val="13"/>
                <w:color w:val="auto"/>
              </w:rPr>
              <w:t>406</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377</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1,426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1,099</w:t>
            </w:r>
          </w:p>
        </w:tc>
      </w:tr>
      <w:tr>
        <w:trPr>
          <w:trHeight w:val="172"/>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Buick</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885</w:t>
            </w:r>
          </w:p>
        </w:tc>
      </w:tr>
      <w:tr>
        <w:trPr>
          <w:trHeight w:val="168"/>
        </w:trPr>
        <w:tc>
          <w:tcPr>
            <w:tcW w:w="4740" w:type="dxa"/>
            <w:vAlign w:val="bottom"/>
          </w:tcPr>
          <w:p>
            <w:pPr>
              <w:ind w:left="180"/>
              <w:spacing w:after="0"/>
              <w:rPr>
                <w:sz w:val="20"/>
                <w:szCs w:val="20"/>
                <w:color w:val="auto"/>
              </w:rPr>
            </w:pPr>
            <w:r>
              <w:rPr>
                <w:rFonts w:ascii="Arial" w:cs="Arial" w:eastAsia="Arial" w:hAnsi="Arial"/>
                <w:sz w:val="13"/>
                <w:szCs w:val="13"/>
                <w:color w:val="auto"/>
              </w:rPr>
              <w:t>Baojun</w:t>
            </w:r>
          </w:p>
        </w:tc>
        <w:tc>
          <w:tcPr>
            <w:tcW w:w="156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126</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211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402</w:t>
            </w:r>
          </w:p>
        </w:tc>
      </w:tr>
      <w:tr>
        <w:trPr>
          <w:trHeight w:val="172"/>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Cadillac</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w:t>
            </w:r>
          </w:p>
        </w:tc>
      </w:tr>
      <w:tr>
        <w:trPr>
          <w:trHeight w:val="168"/>
        </w:trPr>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8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w:t>
            </w:r>
          </w:p>
        </w:tc>
      </w:tr>
      <w:tr>
        <w:trPr>
          <w:trHeight w:val="163"/>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Asia/Pacific, Middle East and Africa</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848</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1,083</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3,431</w:t>
            </w:r>
          </w:p>
        </w:tc>
      </w:tr>
      <w:tr>
        <w:trPr>
          <w:trHeight w:val="16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South America(a)</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w:t>
            </w:r>
          </w:p>
        </w:tc>
        <w:tc>
          <w:tcPr>
            <w:tcW w:w="8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w:t>
            </w:r>
          </w:p>
        </w:tc>
      </w:tr>
      <w:tr>
        <w:trPr>
          <w:trHeight w:val="163"/>
        </w:trPr>
        <w:tc>
          <w:tcPr>
            <w:tcW w:w="4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in GM markets</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1,477</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2,117</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6,825</w:t>
            </w:r>
          </w:p>
        </w:tc>
      </w:tr>
      <w:tr>
        <w:trPr>
          <w:trHeight w:val="168"/>
        </w:trPr>
        <w:tc>
          <w:tcPr>
            <w:tcW w:w="4740" w:type="dxa"/>
            <w:vAlign w:val="bottom"/>
          </w:tcPr>
          <w:p>
            <w:pPr>
              <w:ind w:left="20"/>
              <w:spacing w:after="0"/>
              <w:rPr>
                <w:sz w:val="20"/>
                <w:szCs w:val="20"/>
                <w:color w:val="auto"/>
              </w:rPr>
            </w:pPr>
            <w:r>
              <w:rPr>
                <w:rFonts w:ascii="Arial" w:cs="Arial" w:eastAsia="Arial" w:hAnsi="Arial"/>
                <w:sz w:val="13"/>
                <w:szCs w:val="13"/>
                <w:color w:val="auto"/>
              </w:rPr>
              <w:t>Total Europe</w:t>
            </w:r>
          </w:p>
        </w:tc>
        <w:tc>
          <w:tcPr>
            <w:tcW w:w="1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8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6,826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w:t>
      </w:r>
    </w:p>
    <w:p>
      <w:pPr>
        <w:spacing w:after="0" w:line="1" w:lineRule="exact"/>
        <w:rPr>
          <w:sz w:val="20"/>
          <w:szCs w:val="20"/>
          <w:color w:val="auto"/>
        </w:rPr>
      </w:pPr>
    </w:p>
    <w:p>
      <w:pPr>
        <w:ind w:left="260" w:hanging="255"/>
        <w:spacing w:after="0"/>
        <w:tabs>
          <w:tab w:leader="none" w:pos="260" w:val="left"/>
        </w:tabs>
        <w:numPr>
          <w:ilvl w:val="0"/>
          <w:numId w:val="9"/>
        </w:numPr>
        <w:rPr>
          <w:rFonts w:ascii="Arial" w:cs="Arial" w:eastAsia="Arial" w:hAnsi="Arial"/>
          <w:sz w:val="11"/>
          <w:szCs w:val="11"/>
          <w:color w:val="auto"/>
        </w:rPr>
      </w:pPr>
      <w:r>
        <w:rPr>
          <w:rFonts w:ascii="Arial" w:cs="Arial" w:eastAsia="Arial" w:hAnsi="Arial"/>
          <w:sz w:val="11"/>
          <w:szCs w:val="11"/>
          <w:color w:val="auto"/>
        </w:rPr>
        <w:t>Primarily Chevrolet.</w:t>
      </w:r>
    </w:p>
    <w:p>
      <w:pPr>
        <w:spacing w:after="0" w:line="38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vehicle sales at GM's China joint ventures presented in the following table are included in the preceding vehicle sales table (vehicles in thousands):</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4580" w:type="dxa"/>
            <w:vAlign w:val="bottom"/>
          </w:tcPr>
          <w:p>
            <w:pPr>
              <w:spacing w:after="0"/>
              <w:rPr>
                <w:sz w:val="11"/>
                <w:szCs w:val="11"/>
                <w:color w:val="auto"/>
              </w:rPr>
            </w:pPr>
          </w:p>
        </w:tc>
        <w:tc>
          <w:tcPr>
            <w:tcW w:w="2960" w:type="dxa"/>
            <w:vAlign w:val="bottom"/>
            <w:tcBorders>
              <w:bottom w:val="single" w:sz="8" w:color="auto"/>
            </w:tcBorders>
            <w:gridSpan w:val="4"/>
          </w:tcPr>
          <w:p>
            <w:pPr>
              <w:ind w:left="1140"/>
              <w:spacing w:after="0"/>
              <w:rPr>
                <w:sz w:val="20"/>
                <w:szCs w:val="20"/>
                <w:color w:val="auto"/>
              </w:rPr>
            </w:pPr>
            <w:r>
              <w:rPr>
                <w:rFonts w:ascii="Arial" w:cs="Arial" w:eastAsia="Arial" w:hAnsi="Arial"/>
                <w:sz w:val="10"/>
                <w:szCs w:val="10"/>
                <w:b w:val="1"/>
                <w:bCs w:val="1"/>
                <w:color w:val="auto"/>
              </w:rPr>
              <w:t>Three Months Ended</w:t>
            </w:r>
          </w:p>
        </w:tc>
        <w:tc>
          <w:tcPr>
            <w:tcW w:w="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Borders>
              <w:bottom w:val="single" w:sz="8" w:color="auto"/>
            </w:tcBorders>
            <w:gridSpan w:val="3"/>
          </w:tcPr>
          <w:p>
            <w:pPr>
              <w:ind w:left="1340"/>
              <w:spacing w:after="0"/>
              <w:rPr>
                <w:sz w:val="20"/>
                <w:szCs w:val="20"/>
                <w:color w:val="auto"/>
              </w:rPr>
            </w:pPr>
            <w:r>
              <w:rPr>
                <w:rFonts w:ascii="Arial" w:cs="Arial" w:eastAsia="Arial" w:hAnsi="Arial"/>
                <w:sz w:val="10"/>
                <w:szCs w:val="10"/>
                <w:b w:val="1"/>
                <w:bCs w:val="1"/>
                <w:color w:val="auto"/>
              </w:rPr>
              <w:t>Years Ended</w:t>
            </w:r>
          </w:p>
        </w:tc>
        <w:tc>
          <w:tcPr>
            <w:tcW w:w="1300" w:type="dxa"/>
            <w:vAlign w:val="bottom"/>
            <w:tcBorders>
              <w:bottom w:val="single" w:sz="8" w:color="auto"/>
            </w:tcBorders>
          </w:tcPr>
          <w:p>
            <w:pPr>
              <w:spacing w:after="0"/>
              <w:rPr>
                <w:sz w:val="11"/>
                <w:szCs w:val="11"/>
                <w:color w:val="auto"/>
              </w:rPr>
            </w:pPr>
          </w:p>
        </w:tc>
      </w:tr>
      <w:tr>
        <w:trPr>
          <w:trHeight w:val="132"/>
        </w:trPr>
        <w:tc>
          <w:tcPr>
            <w:tcW w:w="458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ind w:left="340"/>
              <w:spacing w:after="0"/>
              <w:rPr>
                <w:sz w:val="20"/>
                <w:szCs w:val="20"/>
                <w:color w:val="auto"/>
              </w:rPr>
            </w:pPr>
            <w:r>
              <w:rPr>
                <w:rFonts w:ascii="Arial" w:cs="Arial" w:eastAsia="Arial" w:hAnsi="Arial"/>
                <w:sz w:val="10"/>
                <w:szCs w:val="10"/>
                <w:b w:val="1"/>
                <w:bCs w:val="1"/>
                <w:color w:val="auto"/>
                <w:w w:val="99"/>
              </w:rPr>
              <w:t>December 31, 2021</w:t>
            </w: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w w:val="99"/>
              </w:rPr>
              <w:t>December 31, 2020</w:t>
            </w: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580" w:type="dxa"/>
            <w:vAlign w:val="bottom"/>
            <w:tcBorders>
              <w:bottom w:val="single" w:sz="8" w:color="auto"/>
            </w:tcBorders>
          </w:tcPr>
          <w:p>
            <w:pPr>
              <w:jc w:val="right"/>
              <w:ind w:right="283"/>
              <w:spacing w:after="0"/>
              <w:rPr>
                <w:sz w:val="20"/>
                <w:szCs w:val="20"/>
                <w:color w:val="auto"/>
              </w:rPr>
            </w:pPr>
            <w:r>
              <w:rPr>
                <w:rFonts w:ascii="Arial" w:cs="Arial" w:eastAsia="Arial" w:hAnsi="Arial"/>
                <w:sz w:val="10"/>
                <w:szCs w:val="10"/>
                <w:b w:val="1"/>
                <w:bCs w:val="1"/>
                <w:color w:val="auto"/>
              </w:rPr>
              <w:t>December 31, 2021</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December 31, 2020</w:t>
            </w:r>
          </w:p>
        </w:tc>
      </w:tr>
      <w:tr>
        <w:trPr>
          <w:trHeight w:val="165"/>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SAIC General Motors Sales Co., Ltd.</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1,277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1,407</w:t>
            </w:r>
          </w:p>
        </w:tc>
      </w:tr>
      <w:tr>
        <w:trPr>
          <w:trHeight w:val="165"/>
        </w:trPr>
        <w:tc>
          <w:tcPr>
            <w:tcW w:w="5840" w:type="dxa"/>
            <w:vAlign w:val="bottom"/>
            <w:gridSpan w:val="2"/>
          </w:tcPr>
          <w:p>
            <w:pPr>
              <w:ind w:left="20"/>
              <w:spacing w:after="0"/>
              <w:rPr>
                <w:sz w:val="20"/>
                <w:szCs w:val="20"/>
                <w:color w:val="auto"/>
              </w:rPr>
            </w:pPr>
            <w:r>
              <w:rPr>
                <w:rFonts w:ascii="Arial" w:cs="Arial" w:eastAsia="Arial" w:hAnsi="Arial"/>
                <w:sz w:val="13"/>
                <w:szCs w:val="13"/>
                <w:color w:val="auto"/>
              </w:rPr>
              <w:t>SAIC GM Wuling Automobile Co., Ltd.</w:t>
            </w:r>
          </w:p>
        </w:tc>
        <w:tc>
          <w:tcPr>
            <w:tcW w:w="340" w:type="dxa"/>
            <w:vAlign w:val="bottom"/>
          </w:tcPr>
          <w:p>
            <w:pPr>
              <w:jc w:val="right"/>
              <w:spacing w:after="0"/>
              <w:rPr>
                <w:sz w:val="20"/>
                <w:szCs w:val="20"/>
                <w:color w:val="auto"/>
              </w:rPr>
            </w:pPr>
            <w:r>
              <w:rPr>
                <w:rFonts w:ascii="Arial" w:cs="Arial" w:eastAsia="Arial" w:hAnsi="Arial"/>
                <w:sz w:val="13"/>
                <w:szCs w:val="13"/>
                <w:color w:val="auto"/>
              </w:rPr>
              <w:t>434</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499</w:t>
            </w:r>
          </w:p>
        </w:tc>
        <w:tc>
          <w:tcPr>
            <w:tcW w:w="100" w:type="dxa"/>
            <w:vAlign w:val="bottom"/>
          </w:tcPr>
          <w:p>
            <w:pPr>
              <w:spacing w:after="0"/>
              <w:rPr>
                <w:sz w:val="14"/>
                <w:szCs w:val="14"/>
                <w:color w:val="auto"/>
              </w:rPr>
            </w:pPr>
          </w:p>
        </w:tc>
        <w:tc>
          <w:tcPr>
            <w:tcW w:w="1580" w:type="dxa"/>
            <w:vAlign w:val="bottom"/>
          </w:tcPr>
          <w:p>
            <w:pPr>
              <w:jc w:val="right"/>
              <w:ind w:right="3"/>
              <w:spacing w:after="0"/>
              <w:rPr>
                <w:sz w:val="20"/>
                <w:szCs w:val="20"/>
                <w:color w:val="auto"/>
              </w:rPr>
            </w:pPr>
            <w:r>
              <w:rPr>
                <w:rFonts w:ascii="Arial" w:cs="Arial" w:eastAsia="Arial" w:hAnsi="Arial"/>
                <w:sz w:val="13"/>
                <w:szCs w:val="13"/>
                <w:color w:val="auto"/>
              </w:rPr>
              <w:t>1,615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1"/>
              <w:spacing w:after="0"/>
              <w:rPr>
                <w:sz w:val="20"/>
                <w:szCs w:val="20"/>
                <w:color w:val="auto"/>
              </w:rPr>
            </w:pPr>
            <w:r>
              <w:rPr>
                <w:rFonts w:ascii="Arial" w:cs="Arial" w:eastAsia="Arial" w:hAnsi="Arial"/>
                <w:sz w:val="13"/>
                <w:szCs w:val="13"/>
                <w:color w:val="auto"/>
              </w:rPr>
              <w:t>1,494</w:t>
            </w:r>
          </w:p>
        </w:tc>
      </w:tr>
      <w:tr>
        <w:trPr>
          <w:trHeight w:val="721"/>
        </w:trPr>
        <w:tc>
          <w:tcPr>
            <w:tcW w:w="4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9</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20" w:name="page21"/>
    <w:bookmarkEnd w:id="20"/>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360" w:type="dxa"/>
            <w:vAlign w:val="bottom"/>
          </w:tcPr>
          <w:p>
            <w:pPr>
              <w:spacing w:after="0"/>
              <w:rPr>
                <w:sz w:val="11"/>
                <w:szCs w:val="11"/>
                <w:color w:val="auto"/>
              </w:rPr>
            </w:pPr>
          </w:p>
        </w:tc>
        <w:tc>
          <w:tcPr>
            <w:tcW w:w="3480" w:type="dxa"/>
            <w:vAlign w:val="bottom"/>
            <w:gridSpan w:val="4"/>
          </w:tcPr>
          <w:p>
            <w:pPr>
              <w:ind w:left="1200"/>
              <w:spacing w:after="0"/>
              <w:rPr>
                <w:sz w:val="20"/>
                <w:szCs w:val="20"/>
                <w:color w:val="auto"/>
              </w:rPr>
            </w:pPr>
            <w:r>
              <w:rPr>
                <w:rFonts w:ascii="Arial" w:cs="Arial" w:eastAsia="Arial" w:hAnsi="Arial"/>
                <w:sz w:val="10"/>
                <w:szCs w:val="10"/>
                <w:b w:val="1"/>
                <w:bCs w:val="1"/>
                <w:color w:val="auto"/>
              </w:rPr>
              <w:t>Three Months Ended</w:t>
            </w:r>
          </w:p>
        </w:tc>
        <w:tc>
          <w:tcPr>
            <w:tcW w:w="2060" w:type="dxa"/>
            <w:vAlign w:val="bottom"/>
            <w:gridSpan w:val="3"/>
          </w:tcPr>
          <w:p>
            <w:pPr>
              <w:ind w:left="1400"/>
              <w:spacing w:after="0"/>
              <w:rPr>
                <w:sz w:val="20"/>
                <w:szCs w:val="20"/>
                <w:color w:val="auto"/>
              </w:rPr>
            </w:pPr>
            <w:r>
              <w:rPr>
                <w:rFonts w:ascii="Arial" w:cs="Arial" w:eastAsia="Arial" w:hAnsi="Arial"/>
                <w:sz w:val="10"/>
                <w:szCs w:val="10"/>
                <w:b w:val="1"/>
                <w:bCs w:val="1"/>
                <w:color w:val="auto"/>
              </w:rPr>
              <w:t>Years Ended</w:t>
            </w:r>
          </w:p>
        </w:tc>
        <w:tc>
          <w:tcPr>
            <w:tcW w:w="1340" w:type="dxa"/>
            <w:vAlign w:val="bottom"/>
          </w:tcPr>
          <w:p>
            <w:pPr>
              <w:spacing w:after="0"/>
              <w:rPr>
                <w:sz w:val="11"/>
                <w:szCs w:val="11"/>
                <w:color w:val="auto"/>
              </w:rPr>
            </w:pPr>
          </w:p>
        </w:tc>
      </w:tr>
      <w:tr>
        <w:trPr>
          <w:trHeight w:val="127"/>
        </w:trPr>
        <w:tc>
          <w:tcPr>
            <w:tcW w:w="4360" w:type="dxa"/>
            <w:vAlign w:val="bottom"/>
          </w:tcPr>
          <w:p>
            <w:pPr>
              <w:spacing w:after="0"/>
              <w:rPr>
                <w:sz w:val="11"/>
                <w:szCs w:val="11"/>
                <w:color w:val="auto"/>
              </w:rPr>
            </w:pPr>
          </w:p>
        </w:tc>
        <w:tc>
          <w:tcPr>
            <w:tcW w:w="1740" w:type="dxa"/>
            <w:vAlign w:val="bottom"/>
            <w:tcBorders>
              <w:top w:val="single" w:sz="8" w:color="auto"/>
            </w:tcBorders>
            <w:gridSpan w:val="2"/>
          </w:tcPr>
          <w:p>
            <w:pPr>
              <w:ind w:left="380"/>
              <w:spacing w:after="0"/>
              <w:rPr>
                <w:sz w:val="20"/>
                <w:szCs w:val="20"/>
                <w:color w:val="auto"/>
              </w:rPr>
            </w:pPr>
            <w:r>
              <w:rPr>
                <w:rFonts w:ascii="Arial" w:cs="Arial" w:eastAsia="Arial" w:hAnsi="Arial"/>
                <w:sz w:val="10"/>
                <w:szCs w:val="10"/>
                <w:b w:val="1"/>
                <w:bCs w:val="1"/>
                <w:color w:val="auto"/>
              </w:rPr>
              <w:t>December 31, 2021</w:t>
            </w:r>
          </w:p>
        </w:tc>
        <w:tc>
          <w:tcPr>
            <w:tcW w:w="1660" w:type="dxa"/>
            <w:vAlign w:val="bottom"/>
            <w:tcBorders>
              <w:top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December 31, 2020</w:t>
            </w:r>
          </w:p>
        </w:tc>
        <w:tc>
          <w:tcPr>
            <w:tcW w:w="80" w:type="dxa"/>
            <w:vAlign w:val="bottom"/>
          </w:tcPr>
          <w:p>
            <w:pPr>
              <w:spacing w:after="0"/>
              <w:rPr>
                <w:sz w:val="11"/>
                <w:szCs w:val="11"/>
                <w:color w:val="auto"/>
              </w:rPr>
            </w:pPr>
          </w:p>
        </w:tc>
        <w:tc>
          <w:tcPr>
            <w:tcW w:w="2060" w:type="dxa"/>
            <w:vAlign w:val="bottom"/>
            <w:tcBorders>
              <w:top w:val="single" w:sz="8" w:color="auto"/>
            </w:tcBorders>
            <w:gridSpan w:val="3"/>
          </w:tcPr>
          <w:p>
            <w:pPr>
              <w:ind w:left="380"/>
              <w:spacing w:after="0"/>
              <w:rPr>
                <w:sz w:val="20"/>
                <w:szCs w:val="20"/>
                <w:color w:val="auto"/>
              </w:rPr>
            </w:pPr>
            <w:r>
              <w:rPr>
                <w:rFonts w:ascii="Arial" w:cs="Arial" w:eastAsia="Arial" w:hAnsi="Arial"/>
                <w:sz w:val="10"/>
                <w:szCs w:val="10"/>
                <w:b w:val="1"/>
                <w:bCs w:val="1"/>
                <w:color w:val="auto"/>
              </w:rPr>
              <w:t>December 31, 2021</w:t>
            </w:r>
          </w:p>
        </w:tc>
        <w:tc>
          <w:tcPr>
            <w:tcW w:w="1340" w:type="dxa"/>
            <w:vAlign w:val="bottom"/>
            <w:tcBorders>
              <w:top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December 31, 2020</w:t>
            </w:r>
          </w:p>
        </w:tc>
      </w:tr>
      <w:tr>
        <w:trPr>
          <w:trHeight w:val="156"/>
        </w:trPr>
        <w:tc>
          <w:tcPr>
            <w:tcW w:w="4360" w:type="dxa"/>
            <w:vAlign w:val="bottom"/>
          </w:tcPr>
          <w:p>
            <w:pPr>
              <w:ind w:left="20"/>
              <w:spacing w:after="0"/>
              <w:rPr>
                <w:sz w:val="20"/>
                <w:szCs w:val="20"/>
                <w:color w:val="auto"/>
              </w:rPr>
            </w:pPr>
            <w:r>
              <w:rPr>
                <w:rFonts w:ascii="Arial" w:cs="Arial" w:eastAsia="Arial" w:hAnsi="Arial"/>
                <w:sz w:val="13"/>
                <w:szCs w:val="13"/>
                <w:color w:val="auto"/>
              </w:rPr>
              <w:t>Market Share</w:t>
            </w:r>
          </w:p>
        </w:tc>
        <w:tc>
          <w:tcPr>
            <w:tcW w:w="1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r>
      <w:tr>
        <w:trPr>
          <w:trHeight w:val="172"/>
        </w:trPr>
        <w:tc>
          <w:tcPr>
            <w:tcW w:w="4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United States – Cars</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7.1 %</w:t>
            </w:r>
          </w:p>
        </w:tc>
      </w:tr>
      <w:tr>
        <w:trPr>
          <w:trHeight w:val="168"/>
        </w:trPr>
        <w:tc>
          <w:tcPr>
            <w:tcW w:w="4360" w:type="dxa"/>
            <w:vAlign w:val="bottom"/>
          </w:tcPr>
          <w:p>
            <w:pPr>
              <w:ind w:left="140"/>
              <w:spacing w:after="0"/>
              <w:rPr>
                <w:sz w:val="20"/>
                <w:szCs w:val="20"/>
                <w:color w:val="auto"/>
              </w:rPr>
            </w:pPr>
            <w:r>
              <w:rPr>
                <w:rFonts w:ascii="Arial" w:cs="Arial" w:eastAsia="Arial" w:hAnsi="Arial"/>
                <w:sz w:val="13"/>
                <w:szCs w:val="13"/>
                <w:color w:val="auto"/>
              </w:rPr>
              <w:t>United States – Trucks</w:t>
            </w:r>
          </w:p>
        </w:tc>
        <w:tc>
          <w:tcPr>
            <w:tcW w:w="1660" w:type="dxa"/>
            <w:vAlign w:val="bottom"/>
          </w:tcPr>
          <w:p>
            <w:pPr>
              <w:jc w:val="right"/>
              <w:spacing w:after="0"/>
              <w:rPr>
                <w:sz w:val="20"/>
                <w:szCs w:val="20"/>
                <w:color w:val="auto"/>
              </w:rPr>
            </w:pPr>
            <w:r>
              <w:rPr>
                <w:rFonts w:ascii="Arial" w:cs="Arial" w:eastAsia="Arial" w:hAnsi="Arial"/>
                <w:sz w:val="13"/>
                <w:szCs w:val="13"/>
                <w:color w:val="auto"/>
              </w:rPr>
              <w:t>29.2 %</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33.2 %</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29.6 %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31.0 %</w:t>
            </w:r>
          </w:p>
        </w:tc>
      </w:tr>
      <w:tr>
        <w:trPr>
          <w:trHeight w:val="172"/>
        </w:trPr>
        <w:tc>
          <w:tcPr>
            <w:tcW w:w="4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United States – Crossovers</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14.0 %</w:t>
            </w:r>
          </w:p>
        </w:tc>
      </w:tr>
      <w:tr>
        <w:trPr>
          <w:trHeight w:val="168"/>
        </w:trPr>
        <w:tc>
          <w:tcPr>
            <w:tcW w:w="4360" w:type="dxa"/>
            <w:vAlign w:val="bottom"/>
          </w:tcPr>
          <w:p>
            <w:pPr>
              <w:ind w:left="140"/>
              <w:spacing w:after="0"/>
              <w:rPr>
                <w:sz w:val="20"/>
                <w:szCs w:val="20"/>
                <w:color w:val="auto"/>
              </w:rPr>
            </w:pPr>
            <w:r>
              <w:rPr>
                <w:rFonts w:ascii="Arial" w:cs="Arial" w:eastAsia="Arial" w:hAnsi="Arial"/>
                <w:sz w:val="13"/>
                <w:szCs w:val="13"/>
                <w:color w:val="auto"/>
              </w:rPr>
              <w:t>Total United States</w:t>
            </w:r>
          </w:p>
        </w:tc>
        <w:tc>
          <w:tcPr>
            <w:tcW w:w="1660" w:type="dxa"/>
            <w:vAlign w:val="bottom"/>
          </w:tcPr>
          <w:p>
            <w:pPr>
              <w:jc w:val="right"/>
              <w:spacing w:after="0"/>
              <w:rPr>
                <w:sz w:val="20"/>
                <w:szCs w:val="20"/>
                <w:color w:val="auto"/>
              </w:rPr>
            </w:pPr>
            <w:r>
              <w:rPr>
                <w:rFonts w:ascii="Arial" w:cs="Arial" w:eastAsia="Arial" w:hAnsi="Arial"/>
                <w:sz w:val="13"/>
                <w:szCs w:val="13"/>
                <w:color w:val="auto"/>
              </w:rPr>
              <w:t>13.1 %</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18.0 %</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14.4 %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17.1 %</w:t>
            </w:r>
          </w:p>
        </w:tc>
      </w:tr>
      <w:tr>
        <w:trPr>
          <w:trHeight w:val="172"/>
        </w:trPr>
        <w:tc>
          <w:tcPr>
            <w:tcW w:w="4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North America</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16.5 %</w:t>
            </w:r>
          </w:p>
        </w:tc>
      </w:tr>
      <w:tr>
        <w:trPr>
          <w:trHeight w:val="168"/>
        </w:trPr>
        <w:tc>
          <w:tcPr>
            <w:tcW w:w="4360" w:type="dxa"/>
            <w:vAlign w:val="bottom"/>
          </w:tcPr>
          <w:p>
            <w:pPr>
              <w:ind w:left="140"/>
              <w:spacing w:after="0"/>
              <w:rPr>
                <w:sz w:val="20"/>
                <w:szCs w:val="20"/>
                <w:color w:val="auto"/>
              </w:rPr>
            </w:pPr>
            <w:r>
              <w:rPr>
                <w:rFonts w:ascii="Arial" w:cs="Arial" w:eastAsia="Arial" w:hAnsi="Arial"/>
                <w:sz w:val="13"/>
                <w:szCs w:val="13"/>
                <w:color w:val="auto"/>
              </w:rPr>
              <w:t>Total Asia/Pacific, Middle East and Africa</w:t>
            </w:r>
          </w:p>
        </w:tc>
        <w:tc>
          <w:tcPr>
            <w:tcW w:w="1660" w:type="dxa"/>
            <w:vAlign w:val="bottom"/>
          </w:tcPr>
          <w:p>
            <w:pPr>
              <w:jc w:val="right"/>
              <w:spacing w:after="0"/>
              <w:rPr>
                <w:sz w:val="20"/>
                <w:szCs w:val="20"/>
                <w:color w:val="auto"/>
              </w:rPr>
            </w:pPr>
            <w:r>
              <w:rPr>
                <w:rFonts w:ascii="Arial" w:cs="Arial" w:eastAsia="Arial" w:hAnsi="Arial"/>
                <w:sz w:val="13"/>
                <w:szCs w:val="13"/>
                <w:color w:val="auto"/>
              </w:rPr>
              <w:t>7.3 %</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8.2 %</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7.3 %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8.0 %</w:t>
            </w:r>
          </w:p>
        </w:tc>
      </w:tr>
      <w:tr>
        <w:trPr>
          <w:trHeight w:val="172"/>
        </w:trPr>
        <w:tc>
          <w:tcPr>
            <w:tcW w:w="4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South America</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14.9 %</w:t>
            </w:r>
          </w:p>
        </w:tc>
      </w:tr>
      <w:tr>
        <w:trPr>
          <w:trHeight w:val="168"/>
        </w:trPr>
        <w:tc>
          <w:tcPr>
            <w:tcW w:w="4360" w:type="dxa"/>
            <w:vAlign w:val="bottom"/>
          </w:tcPr>
          <w:p>
            <w:pPr>
              <w:ind w:left="20"/>
              <w:spacing w:after="0"/>
              <w:rPr>
                <w:sz w:val="20"/>
                <w:szCs w:val="20"/>
                <w:color w:val="auto"/>
              </w:rPr>
            </w:pPr>
            <w:r>
              <w:rPr>
                <w:rFonts w:ascii="Arial" w:cs="Arial" w:eastAsia="Arial" w:hAnsi="Arial"/>
                <w:sz w:val="13"/>
                <w:szCs w:val="13"/>
                <w:color w:val="auto"/>
              </w:rPr>
              <w:t>Total GM Market</w:t>
            </w:r>
          </w:p>
        </w:tc>
        <w:tc>
          <w:tcPr>
            <w:tcW w:w="1660" w:type="dxa"/>
            <w:vAlign w:val="bottom"/>
          </w:tcPr>
          <w:p>
            <w:pPr>
              <w:jc w:val="right"/>
              <w:spacing w:after="0"/>
              <w:rPr>
                <w:sz w:val="20"/>
                <w:szCs w:val="20"/>
                <w:color w:val="auto"/>
              </w:rPr>
            </w:pPr>
            <w:r>
              <w:rPr>
                <w:rFonts w:ascii="Arial" w:cs="Arial" w:eastAsia="Arial" w:hAnsi="Arial"/>
                <w:sz w:val="13"/>
                <w:szCs w:val="13"/>
                <w:color w:val="auto"/>
              </w:rPr>
              <w:t>8.9 %</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10.9 %</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9.3 %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10.7 %</w:t>
            </w:r>
          </w:p>
        </w:tc>
      </w:tr>
      <w:tr>
        <w:trPr>
          <w:trHeight w:val="172"/>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8.7 %</w:t>
            </w:r>
          </w:p>
        </w:tc>
      </w:tr>
      <w:tr>
        <w:trPr>
          <w:trHeight w:val="85"/>
        </w:trPr>
        <w:tc>
          <w:tcPr>
            <w:tcW w:w="4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170"/>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 fleet sales as a percentage of retail vehicle sales</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16.6 %</w:t>
            </w:r>
          </w:p>
        </w:tc>
      </w:tr>
      <w:tr>
        <w:trPr>
          <w:trHeight w:val="85"/>
        </w:trPr>
        <w:tc>
          <w:tcPr>
            <w:tcW w:w="4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170"/>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 America capacity two shift utilization</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78.4 %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40"/>
          </w:cols>
          <w:pgMar w:left="320" w:top="698" w:right="339" w:bottom="1440" w:gutter="0" w:footer="0" w:header="0"/>
        </w:sectPr>
      </w:pPr>
    </w:p>
    <w:bookmarkStart w:id="21" w:name="page22"/>
    <w:bookmarkEnd w:id="21"/>
    <w:p>
      <w:pPr>
        <w:jc w:val="center"/>
        <w:ind w:right="-199"/>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200" w:lineRule="exact"/>
        <w:rPr>
          <w:sz w:val="20"/>
          <w:szCs w:val="20"/>
          <w:color w:val="auto"/>
        </w:rPr>
      </w:pP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Combining Income Statement Information</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3"/>
          <w:szCs w:val="13"/>
          <w:i w:val="1"/>
          <w:iCs w:val="1"/>
          <w:color w:val="auto"/>
        </w:rPr>
        <w:t>(In millions) (Unaudited)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8"/>
                <w:szCs w:val="8"/>
                <w:b w:val="1"/>
                <w:bCs w:val="1"/>
                <w:color w:val="auto"/>
              </w:rPr>
              <w:t>Year Ended December 31, 2021</w:t>
            </w: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8"/>
                <w:szCs w:val="8"/>
                <w:b w:val="1"/>
                <w:bCs w:val="1"/>
                <w:color w:val="auto"/>
              </w:rPr>
              <w:t>Year Ended December 31, 2020</w:t>
            </w: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r>
      <w:tr>
        <w:trPr>
          <w:trHeight w:val="118"/>
        </w:trPr>
        <w:tc>
          <w:tcPr>
            <w:tcW w:w="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151"/>
              <w:spacing w:after="0"/>
              <w:rPr>
                <w:sz w:val="20"/>
                <w:szCs w:val="20"/>
                <w:color w:val="auto"/>
              </w:rPr>
            </w:pPr>
            <w:r>
              <w:rPr>
                <w:rFonts w:ascii="Arial" w:cs="Arial" w:eastAsia="Arial" w:hAnsi="Arial"/>
                <w:sz w:val="8"/>
                <w:szCs w:val="8"/>
                <w:b w:val="1"/>
                <w:bCs w:val="1"/>
                <w:color w:val="auto"/>
              </w:rPr>
              <w:t>Automotive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111"/>
              <w:spacing w:after="0"/>
              <w:rPr>
                <w:sz w:val="20"/>
                <w:szCs w:val="20"/>
                <w:color w:val="auto"/>
              </w:rPr>
            </w:pPr>
            <w:r>
              <w:rPr>
                <w:rFonts w:ascii="Arial" w:cs="Arial" w:eastAsia="Arial" w:hAnsi="Arial"/>
                <w:sz w:val="8"/>
                <w:szCs w:val="8"/>
                <w:b w:val="1"/>
                <w:bCs w:val="1"/>
                <w:color w:val="auto"/>
              </w:rPr>
              <w:t>Cruise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80" w:type="dxa"/>
            <w:vAlign w:val="bottom"/>
            <w:gridSpan w:val="5"/>
          </w:tcPr>
          <w:p>
            <w:pPr>
              <w:jc w:val="right"/>
              <w:ind w:right="140"/>
              <w:spacing w:after="0"/>
              <w:rPr>
                <w:sz w:val="20"/>
                <w:szCs w:val="20"/>
                <w:color w:val="auto"/>
              </w:rPr>
            </w:pPr>
            <w:r>
              <w:rPr>
                <w:rFonts w:ascii="Arial" w:cs="Arial" w:eastAsia="Arial" w:hAnsi="Arial"/>
                <w:sz w:val="8"/>
                <w:szCs w:val="8"/>
                <w:b w:val="1"/>
                <w:bCs w:val="1"/>
                <w:color w:val="auto"/>
              </w:rPr>
              <w:t>GM Financial    Reclassifications/Eliminations</w:t>
            </w:r>
          </w:p>
        </w:tc>
        <w:tc>
          <w:tcPr>
            <w:tcW w:w="740" w:type="dxa"/>
            <w:vAlign w:val="bottom"/>
          </w:tcPr>
          <w:p>
            <w:pPr>
              <w:jc w:val="right"/>
              <w:ind w:right="171"/>
              <w:spacing w:after="0"/>
              <w:rPr>
                <w:sz w:val="20"/>
                <w:szCs w:val="20"/>
                <w:color w:val="auto"/>
              </w:rPr>
            </w:pPr>
            <w:r>
              <w:rPr>
                <w:rFonts w:ascii="Arial" w:cs="Arial" w:eastAsia="Arial" w:hAnsi="Arial"/>
                <w:sz w:val="8"/>
                <w:szCs w:val="8"/>
                <w:b w:val="1"/>
                <w:bCs w:val="1"/>
                <w:color w:val="auto"/>
              </w:rPr>
              <w:t>Combined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151"/>
              <w:spacing w:after="0"/>
              <w:rPr>
                <w:sz w:val="20"/>
                <w:szCs w:val="20"/>
                <w:color w:val="auto"/>
              </w:rPr>
            </w:pPr>
            <w:r>
              <w:rPr>
                <w:rFonts w:ascii="Arial" w:cs="Arial" w:eastAsia="Arial" w:hAnsi="Arial"/>
                <w:sz w:val="8"/>
                <w:szCs w:val="8"/>
                <w:b w:val="1"/>
                <w:bCs w:val="1"/>
                <w:color w:val="auto"/>
              </w:rPr>
              <w:t>Automotive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131"/>
              <w:spacing w:after="0"/>
              <w:rPr>
                <w:sz w:val="20"/>
                <w:szCs w:val="20"/>
                <w:color w:val="auto"/>
              </w:rPr>
            </w:pPr>
            <w:r>
              <w:rPr>
                <w:rFonts w:ascii="Arial" w:cs="Arial" w:eastAsia="Arial" w:hAnsi="Arial"/>
                <w:sz w:val="8"/>
                <w:szCs w:val="8"/>
                <w:b w:val="1"/>
                <w:bCs w:val="1"/>
                <w:color w:val="auto"/>
              </w:rPr>
              <w:t>Cruise</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60" w:type="dxa"/>
            <w:vAlign w:val="bottom"/>
            <w:gridSpan w:val="5"/>
          </w:tcPr>
          <w:p>
            <w:pPr>
              <w:jc w:val="right"/>
              <w:ind w:right="140"/>
              <w:spacing w:after="0"/>
              <w:rPr>
                <w:sz w:val="20"/>
                <w:szCs w:val="20"/>
                <w:color w:val="auto"/>
              </w:rPr>
            </w:pPr>
            <w:r>
              <w:rPr>
                <w:rFonts w:ascii="Arial" w:cs="Arial" w:eastAsia="Arial" w:hAnsi="Arial"/>
                <w:sz w:val="8"/>
                <w:szCs w:val="8"/>
                <w:b w:val="1"/>
                <w:bCs w:val="1"/>
                <w:color w:val="auto"/>
              </w:rPr>
              <w:t>GM Financial    Reclassifications/Eliminations</w:t>
            </w:r>
          </w:p>
        </w:tc>
        <w:tc>
          <w:tcPr>
            <w:tcW w:w="780" w:type="dxa"/>
            <w:vAlign w:val="bottom"/>
          </w:tcPr>
          <w:p>
            <w:pPr>
              <w:jc w:val="right"/>
              <w:ind w:right="191"/>
              <w:spacing w:after="0"/>
              <w:rPr>
                <w:sz w:val="20"/>
                <w:szCs w:val="20"/>
                <w:color w:val="auto"/>
              </w:rPr>
            </w:pPr>
            <w:r>
              <w:rPr>
                <w:rFonts w:ascii="Arial" w:cs="Arial" w:eastAsia="Arial" w:hAnsi="Arial"/>
                <w:sz w:val="8"/>
                <w:szCs w:val="8"/>
                <w:b w:val="1"/>
                <w:bCs w:val="1"/>
                <w:color w:val="auto"/>
              </w:rPr>
              <w:t>Combined</w:t>
            </w:r>
          </w:p>
        </w:tc>
      </w:tr>
      <w:tr>
        <w:trPr>
          <w:trHeight w:val="120"/>
        </w:trPr>
        <w:tc>
          <w:tcPr>
            <w:tcW w:w="224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Net sales and revenue</w:t>
            </w:r>
          </w:p>
        </w:tc>
        <w:tc>
          <w:tcPr>
            <w:tcW w:w="1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r>
      <w:tr>
        <w:trPr>
          <w:trHeight w:val="145"/>
        </w:trPr>
        <w:tc>
          <w:tcPr>
            <w:tcW w:w="80" w:type="dxa"/>
            <w:vAlign w:val="bottom"/>
          </w:tcPr>
          <w:p>
            <w:pPr>
              <w:spacing w:after="0"/>
              <w:rPr>
                <w:sz w:val="12"/>
                <w:szCs w:val="12"/>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0"/>
                <w:szCs w:val="10"/>
                <w:color w:val="auto"/>
              </w:rPr>
              <w:t>Automotive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113,584</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w:t>
            </w: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CEEFF"/>
          </w:tcPr>
          <w:p>
            <w:pPr>
              <w:spacing w:after="0"/>
              <w:rPr>
                <w:sz w:val="12"/>
                <w:szCs w:val="12"/>
                <w:color w:val="auto"/>
              </w:rPr>
            </w:pPr>
          </w:p>
        </w:tc>
        <w:tc>
          <w:tcPr>
            <w:tcW w:w="1480" w:type="dxa"/>
            <w:vAlign w:val="bottom"/>
            <w:gridSpan w:val="3"/>
            <w:shd w:val="clear" w:color="auto" w:fill="CCEEFF"/>
          </w:tcPr>
          <w:p>
            <w:pPr>
              <w:ind w:left="560"/>
              <w:spacing w:after="0"/>
              <w:rPr>
                <w:sz w:val="20"/>
                <w:szCs w:val="20"/>
                <w:color w:val="auto"/>
              </w:rPr>
            </w:pPr>
            <w:r>
              <w:rPr>
                <w:rFonts w:ascii="Arial" w:cs="Arial" w:eastAsia="Arial" w:hAnsi="Arial"/>
                <w:sz w:val="10"/>
                <w:szCs w:val="10"/>
                <w:color w:val="auto"/>
              </w:rPr>
              <w:t>— $</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(100)$</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113,590</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108,669</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w:t>
            </w:r>
          </w:p>
        </w:tc>
        <w:tc>
          <w:tcPr>
            <w:tcW w:w="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ind w:left="540"/>
              <w:spacing w:after="0"/>
              <w:rPr>
                <w:sz w:val="20"/>
                <w:szCs w:val="20"/>
                <w:color w:val="auto"/>
              </w:rPr>
            </w:pPr>
            <w:r>
              <w:rPr>
                <w:rFonts w:ascii="Arial" w:cs="Arial" w:eastAsia="Arial" w:hAnsi="Arial"/>
                <w:sz w:val="10"/>
                <w:szCs w:val="10"/>
                <w:color w:val="auto"/>
              </w:rPr>
              <w:t>— $</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(99)$</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108,673</w:t>
            </w:r>
          </w:p>
        </w:tc>
      </w:tr>
      <w:tr>
        <w:trPr>
          <w:trHeight w:val="131"/>
        </w:trPr>
        <w:tc>
          <w:tcPr>
            <w:tcW w:w="2240" w:type="dxa"/>
            <w:vAlign w:val="bottom"/>
            <w:gridSpan w:val="2"/>
          </w:tcPr>
          <w:p>
            <w:pPr>
              <w:ind w:left="60"/>
              <w:spacing w:after="0"/>
              <w:rPr>
                <w:sz w:val="20"/>
                <w:szCs w:val="20"/>
                <w:color w:val="auto"/>
              </w:rPr>
            </w:pPr>
            <w:r>
              <w:rPr>
                <w:rFonts w:ascii="Arial" w:cs="Arial" w:eastAsia="Arial" w:hAnsi="Arial"/>
                <w:sz w:val="10"/>
                <w:szCs w:val="10"/>
                <w:color w:val="auto"/>
              </w:rPr>
              <w:t>GM Financial</w:t>
            </w: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Arial" w:cs="Arial" w:eastAsia="Arial" w:hAnsi="Arial"/>
                <w:sz w:val="10"/>
                <w:szCs w:val="10"/>
                <w:color w:val="auto"/>
              </w:rPr>
              <w:t>13,419</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13,414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right"/>
              <w:ind w:right="11"/>
              <w:spacing w:after="0"/>
              <w:rPr>
                <w:sz w:val="20"/>
                <w:szCs w:val="20"/>
                <w:color w:val="auto"/>
              </w:rPr>
            </w:pPr>
            <w:r>
              <w:rPr>
                <w:rFonts w:ascii="Arial" w:cs="Arial" w:eastAsia="Arial" w:hAnsi="Arial"/>
                <w:sz w:val="10"/>
                <w:szCs w:val="10"/>
                <w:color w:val="auto"/>
              </w:rPr>
              <w:t>13,831</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(19)</w:t>
            </w:r>
          </w:p>
        </w:tc>
        <w:tc>
          <w:tcPr>
            <w:tcW w:w="10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13,812</w:t>
            </w:r>
          </w:p>
        </w:tc>
      </w:tr>
      <w:tr>
        <w:trPr>
          <w:trHeight w:val="136"/>
        </w:trPr>
        <w:tc>
          <w:tcPr>
            <w:tcW w:w="80" w:type="dxa"/>
            <w:vAlign w:val="bottom"/>
          </w:tcPr>
          <w:p>
            <w:pPr>
              <w:spacing w:after="0"/>
              <w:rPr>
                <w:sz w:val="11"/>
                <w:szCs w:val="11"/>
                <w:color w:val="auto"/>
              </w:rPr>
            </w:pPr>
          </w:p>
        </w:tc>
        <w:tc>
          <w:tcPr>
            <w:tcW w:w="2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color w:val="auto"/>
              </w:rPr>
              <w:t>Total net sales and revenue</w:t>
            </w:r>
          </w:p>
        </w:tc>
        <w:tc>
          <w:tcPr>
            <w:tcW w:w="1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113,584</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106</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13,419</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(105)</w:t>
            </w: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127,004</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108,669</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103</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13,831</w:t>
            </w: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(118)</w:t>
            </w: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122,485</w:t>
            </w:r>
          </w:p>
        </w:tc>
      </w:tr>
      <w:tr>
        <w:trPr>
          <w:trHeight w:val="114"/>
        </w:trPr>
        <w:tc>
          <w:tcPr>
            <w:tcW w:w="2240" w:type="dxa"/>
            <w:vAlign w:val="bottom"/>
            <w:gridSpan w:val="2"/>
          </w:tcPr>
          <w:p>
            <w:pPr>
              <w:spacing w:after="0" w:line="110" w:lineRule="exact"/>
              <w:rPr>
                <w:sz w:val="20"/>
                <w:szCs w:val="20"/>
                <w:color w:val="auto"/>
              </w:rPr>
            </w:pPr>
            <w:r>
              <w:rPr>
                <w:rFonts w:ascii="Arial" w:cs="Arial" w:eastAsia="Arial" w:hAnsi="Arial"/>
                <w:sz w:val="10"/>
                <w:szCs w:val="10"/>
                <w:b w:val="1"/>
                <w:bCs w:val="1"/>
                <w:color w:val="auto"/>
              </w:rPr>
              <w:t>Costs and expenses</w:t>
            </w: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42"/>
        </w:trPr>
        <w:tc>
          <w:tcPr>
            <w:tcW w:w="80" w:type="dxa"/>
            <w:vAlign w:val="bottom"/>
          </w:tcPr>
          <w:p>
            <w:pPr>
              <w:spacing w:after="0"/>
              <w:rPr>
                <w:sz w:val="12"/>
                <w:szCs w:val="12"/>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Automotive and other cost of sales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99,421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80" w:type="dxa"/>
            <w:vAlign w:val="bottom"/>
            <w:gridSpan w:val="3"/>
            <w:shd w:val="clear" w:color="auto" w:fill="CCEEFF"/>
          </w:tcPr>
          <w:p>
            <w:pPr>
              <w:jc w:val="right"/>
              <w:ind w:right="82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100,544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96,711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ind w:right="82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97,539</w:t>
            </w:r>
          </w:p>
        </w:tc>
      </w:tr>
      <w:tr>
        <w:trPr>
          <w:trHeight w:val="101"/>
        </w:trPr>
        <w:tc>
          <w:tcPr>
            <w:tcW w:w="80" w:type="dxa"/>
            <w:vAlign w:val="bottom"/>
          </w:tcPr>
          <w:p>
            <w:pPr>
              <w:spacing w:after="0"/>
              <w:rPr>
                <w:sz w:val="8"/>
                <w:szCs w:val="8"/>
                <w:color w:val="auto"/>
              </w:rPr>
            </w:pPr>
          </w:p>
        </w:tc>
        <w:tc>
          <w:tcPr>
            <w:tcW w:w="2160" w:type="dxa"/>
            <w:vAlign w:val="bottom"/>
          </w:tcPr>
          <w:p>
            <w:pPr>
              <w:ind w:left="120"/>
              <w:spacing w:after="0" w:line="102" w:lineRule="exact"/>
              <w:rPr>
                <w:sz w:val="20"/>
                <w:szCs w:val="20"/>
                <w:color w:val="auto"/>
              </w:rPr>
            </w:pPr>
            <w:r>
              <w:rPr>
                <w:rFonts w:ascii="Arial" w:cs="Arial" w:eastAsia="Arial" w:hAnsi="Arial"/>
                <w:sz w:val="10"/>
                <w:szCs w:val="10"/>
                <w:color w:val="auto"/>
              </w:rPr>
              <w:t>GM Financial interest, operating and other</w:t>
            </w: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25"/>
        </w:trPr>
        <w:tc>
          <w:tcPr>
            <w:tcW w:w="80" w:type="dxa"/>
            <w:vAlign w:val="bottom"/>
          </w:tcPr>
          <w:p>
            <w:pPr>
              <w:spacing w:after="0"/>
              <w:rPr>
                <w:sz w:val="10"/>
                <w:szCs w:val="10"/>
                <w:color w:val="auto"/>
              </w:rPr>
            </w:pPr>
          </w:p>
        </w:tc>
        <w:tc>
          <w:tcPr>
            <w:tcW w:w="2160" w:type="dxa"/>
            <w:vAlign w:val="bottom"/>
          </w:tcPr>
          <w:p>
            <w:pPr>
              <w:ind w:left="240"/>
              <w:spacing w:after="0"/>
              <w:rPr>
                <w:sz w:val="20"/>
                <w:szCs w:val="20"/>
                <w:color w:val="auto"/>
              </w:rPr>
            </w:pPr>
            <w:r>
              <w:rPr>
                <w:rFonts w:ascii="Arial" w:cs="Arial" w:eastAsia="Arial" w:hAnsi="Arial"/>
                <w:sz w:val="10"/>
                <w:szCs w:val="10"/>
                <w:color w:val="auto"/>
              </w:rPr>
              <w:t>expenses</w:t>
            </w: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spacing w:after="0"/>
              <w:rPr>
                <w:sz w:val="20"/>
                <w:szCs w:val="20"/>
                <w:color w:val="auto"/>
              </w:rPr>
            </w:pPr>
            <w:r>
              <w:rPr>
                <w:rFonts w:ascii="Arial" w:cs="Arial" w:eastAsia="Arial" w:hAnsi="Arial"/>
                <w:sz w:val="10"/>
                <w:szCs w:val="10"/>
                <w:color w:val="auto"/>
              </w:rPr>
              <w:t>8,584</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8,582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jc w:val="right"/>
              <w:ind w:right="11"/>
              <w:spacing w:after="0"/>
              <w:rPr>
                <w:sz w:val="20"/>
                <w:szCs w:val="20"/>
                <w:color w:val="auto"/>
              </w:rPr>
            </w:pPr>
            <w:r>
              <w:rPr>
                <w:rFonts w:ascii="Arial" w:cs="Arial" w:eastAsia="Arial" w:hAnsi="Arial"/>
                <w:sz w:val="10"/>
                <w:szCs w:val="10"/>
                <w:color w:val="auto"/>
              </w:rPr>
              <w:t>11,276</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0"/>
                <w:szCs w:val="10"/>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11,274</w:t>
            </w:r>
          </w:p>
        </w:tc>
      </w:tr>
      <w:tr>
        <w:trPr>
          <w:trHeight w:val="109"/>
        </w:trPr>
        <w:tc>
          <w:tcPr>
            <w:tcW w:w="80" w:type="dxa"/>
            <w:vAlign w:val="bottom"/>
          </w:tcPr>
          <w:p>
            <w:pPr>
              <w:spacing w:after="0"/>
              <w:rPr>
                <w:sz w:val="9"/>
                <w:szCs w:val="9"/>
                <w:color w:val="auto"/>
              </w:rPr>
            </w:pPr>
          </w:p>
        </w:tc>
        <w:tc>
          <w:tcPr>
            <w:tcW w:w="216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rPr>
              <w:t>Automotive and other selling, general and</w:t>
            </w: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r>
      <w:tr>
        <w:trPr>
          <w:trHeight w:val="125"/>
        </w:trPr>
        <w:tc>
          <w:tcPr>
            <w:tcW w:w="80" w:type="dxa"/>
            <w:vAlign w:val="bottom"/>
          </w:tcPr>
          <w:p>
            <w:pPr>
              <w:spacing w:after="0"/>
              <w:rPr>
                <w:sz w:val="10"/>
                <w:szCs w:val="10"/>
                <w:color w:val="auto"/>
              </w:rPr>
            </w:pPr>
          </w:p>
        </w:tc>
        <w:tc>
          <w:tcPr>
            <w:tcW w:w="21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administrative expense</w:t>
            </w:r>
          </w:p>
        </w:tc>
        <w:tc>
          <w:tcPr>
            <w:tcW w:w="120" w:type="dxa"/>
            <w:vAlign w:val="bottom"/>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8,257</w:t>
            </w:r>
          </w:p>
        </w:tc>
        <w:tc>
          <w:tcPr>
            <w:tcW w:w="4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297</w:t>
            </w:r>
          </w:p>
        </w:tc>
        <w:tc>
          <w:tcPr>
            <w:tcW w:w="20" w:type="dxa"/>
            <w:vAlign w:val="bottom"/>
            <w:tcBorders>
              <w:bottom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8,554</w:t>
            </w:r>
          </w:p>
        </w:tc>
        <w:tc>
          <w:tcPr>
            <w:tcW w:w="2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6,799</w:t>
            </w:r>
          </w:p>
        </w:tc>
        <w:tc>
          <w:tcPr>
            <w:tcW w:w="4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239</w:t>
            </w:r>
          </w:p>
        </w:tc>
        <w:tc>
          <w:tcPr>
            <w:tcW w:w="20" w:type="dxa"/>
            <w:vAlign w:val="bottom"/>
            <w:tcBorders>
              <w:bottom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7,038</w:t>
            </w:r>
          </w:p>
        </w:tc>
      </w:tr>
      <w:tr>
        <w:trPr>
          <w:trHeight w:val="129"/>
        </w:trPr>
        <w:tc>
          <w:tcPr>
            <w:tcW w:w="80" w:type="dxa"/>
            <w:vAlign w:val="bottom"/>
          </w:tcPr>
          <w:p>
            <w:pPr>
              <w:spacing w:after="0"/>
              <w:rPr>
                <w:sz w:val="11"/>
                <w:szCs w:val="11"/>
                <w:color w:val="auto"/>
              </w:rPr>
            </w:pPr>
          </w:p>
        </w:tc>
        <w:tc>
          <w:tcPr>
            <w:tcW w:w="216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Total costs and expenses</w:t>
            </w:r>
          </w:p>
        </w:tc>
        <w:tc>
          <w:tcPr>
            <w:tcW w:w="12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107,678</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1,421</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8,584</w:t>
            </w:r>
          </w:p>
        </w:tc>
        <w:tc>
          <w:tcPr>
            <w:tcW w:w="10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c>
          <w:tcPr>
            <w:tcW w:w="10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117,680</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103,510</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1,068</w:t>
            </w: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11,276</w:t>
            </w:r>
          </w:p>
        </w:tc>
        <w:tc>
          <w:tcPr>
            <w:tcW w:w="8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c>
          <w:tcPr>
            <w:tcW w:w="1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115,851</w:t>
            </w:r>
          </w:p>
        </w:tc>
      </w:tr>
      <w:tr>
        <w:trPr>
          <w:trHeight w:val="136"/>
        </w:trPr>
        <w:tc>
          <w:tcPr>
            <w:tcW w:w="80" w:type="dxa"/>
            <w:vAlign w:val="bottom"/>
          </w:tcPr>
          <w:p>
            <w:pPr>
              <w:spacing w:after="0"/>
              <w:rPr>
                <w:sz w:val="11"/>
                <w:szCs w:val="11"/>
                <w:color w:val="auto"/>
              </w:rPr>
            </w:pPr>
          </w:p>
        </w:tc>
        <w:tc>
          <w:tcPr>
            <w:tcW w:w="216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Operating income (loss)</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5,906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4,835</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9,324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5,159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(965)</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1"/>
              <w:spacing w:after="0"/>
              <w:rPr>
                <w:sz w:val="20"/>
                <w:szCs w:val="20"/>
                <w:color w:val="auto"/>
              </w:rPr>
            </w:pPr>
            <w:r>
              <w:rPr>
                <w:rFonts w:ascii="Arial" w:cs="Arial" w:eastAsia="Arial" w:hAnsi="Arial"/>
                <w:sz w:val="10"/>
                <w:szCs w:val="10"/>
                <w:color w:val="auto"/>
              </w:rPr>
              <w:t>2,555</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(115)</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6,634</w:t>
            </w:r>
          </w:p>
        </w:tc>
      </w:tr>
      <w:tr>
        <w:trPr>
          <w:trHeight w:val="131"/>
        </w:trPr>
        <w:tc>
          <w:tcPr>
            <w:tcW w:w="2240" w:type="dxa"/>
            <w:vAlign w:val="bottom"/>
            <w:gridSpan w:val="2"/>
          </w:tcPr>
          <w:p>
            <w:pPr>
              <w:spacing w:after="0"/>
              <w:rPr>
                <w:sz w:val="20"/>
                <w:szCs w:val="20"/>
                <w:color w:val="auto"/>
              </w:rPr>
            </w:pPr>
            <w:r>
              <w:rPr>
                <w:rFonts w:ascii="Arial" w:cs="Arial" w:eastAsia="Arial" w:hAnsi="Arial"/>
                <w:sz w:val="10"/>
                <w:szCs w:val="10"/>
                <w:color w:val="auto"/>
              </w:rPr>
              <w:t>Automotive interest expense</w:t>
            </w: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952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gridSpan w:val="3"/>
          </w:tcPr>
          <w:p>
            <w:pPr>
              <w:jc w:val="right"/>
              <w:ind w:right="82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950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1,113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gridSpan w:val="3"/>
          </w:tcPr>
          <w:p>
            <w:pPr>
              <w:jc w:val="right"/>
              <w:ind w:right="82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(15)</w:t>
            </w:r>
          </w:p>
        </w:tc>
        <w:tc>
          <w:tcPr>
            <w:tcW w:w="10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1,098</w:t>
            </w:r>
          </w:p>
        </w:tc>
      </w:tr>
      <w:tr>
        <w:trPr>
          <w:trHeight w:val="109"/>
        </w:trPr>
        <w:tc>
          <w:tcPr>
            <w:tcW w:w="80" w:type="dxa"/>
            <w:vAlign w:val="bottom"/>
          </w:tcPr>
          <w:p>
            <w:pPr>
              <w:spacing w:after="0"/>
              <w:rPr>
                <w:sz w:val="9"/>
                <w:szCs w:val="9"/>
                <w:color w:val="auto"/>
              </w:rPr>
            </w:pPr>
          </w:p>
        </w:tc>
        <w:tc>
          <w:tcPr>
            <w:tcW w:w="216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w w:val="98"/>
              </w:rPr>
              <w:t>Interest income and other non-operating income,</w:t>
            </w: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r>
      <w:tr>
        <w:trPr>
          <w:trHeight w:val="132"/>
        </w:trPr>
        <w:tc>
          <w:tcPr>
            <w:tcW w:w="80" w:type="dxa"/>
            <w:vAlign w:val="bottom"/>
          </w:tcPr>
          <w:p>
            <w:pPr>
              <w:spacing w:after="0"/>
              <w:rPr>
                <w:sz w:val="11"/>
                <w:szCs w:val="11"/>
                <w:color w:val="auto"/>
              </w:rPr>
            </w:pPr>
          </w:p>
        </w:tc>
        <w:tc>
          <w:tcPr>
            <w:tcW w:w="21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net</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2,934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80" w:type="dxa"/>
            <w:vAlign w:val="bottom"/>
            <w:gridSpan w:val="3"/>
            <w:shd w:val="clear" w:color="auto" w:fill="CCEEFF"/>
          </w:tcPr>
          <w:p>
            <w:pPr>
              <w:jc w:val="right"/>
              <w:ind w:right="82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91</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3,041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1,766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60" w:type="dxa"/>
            <w:vAlign w:val="bottom"/>
            <w:gridSpan w:val="3"/>
            <w:shd w:val="clear" w:color="auto" w:fill="CCEEFF"/>
          </w:tcPr>
          <w:p>
            <w:pPr>
              <w:jc w:val="right"/>
              <w:ind w:right="82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1,885</w:t>
            </w:r>
          </w:p>
        </w:tc>
      </w:tr>
      <w:tr>
        <w:trPr>
          <w:trHeight w:val="131"/>
        </w:trPr>
        <w:tc>
          <w:tcPr>
            <w:tcW w:w="80" w:type="dxa"/>
            <w:vAlign w:val="bottom"/>
          </w:tcPr>
          <w:p>
            <w:pPr>
              <w:spacing w:after="0"/>
              <w:rPr>
                <w:sz w:val="11"/>
                <w:szCs w:val="11"/>
                <w:color w:val="auto"/>
              </w:rPr>
            </w:pPr>
          </w:p>
        </w:tc>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Equity income</w:t>
            </w:r>
          </w:p>
        </w:tc>
        <w:tc>
          <w:tcPr>
            <w:tcW w:w="12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1,100</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w:t>
            </w:r>
          </w:p>
        </w:tc>
        <w:tc>
          <w:tcPr>
            <w:tcW w:w="10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1,301</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527</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147</w:t>
            </w:r>
          </w:p>
        </w:tc>
        <w:tc>
          <w:tcPr>
            <w:tcW w:w="8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674</w:t>
            </w:r>
          </w:p>
        </w:tc>
      </w:tr>
      <w:tr>
        <w:trPr>
          <w:trHeight w:val="136"/>
        </w:trPr>
        <w:tc>
          <w:tcPr>
            <w:tcW w:w="80" w:type="dxa"/>
            <w:vAlign w:val="bottom"/>
          </w:tcPr>
          <w:p>
            <w:pPr>
              <w:spacing w:after="0"/>
              <w:rPr>
                <w:sz w:val="11"/>
                <w:szCs w:val="11"/>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Income (loss) before income taxes</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8,988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(1,299)</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5,036</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12,716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6,339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(947)</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1"/>
              <w:spacing w:after="0"/>
              <w:rPr>
                <w:sz w:val="20"/>
                <w:szCs w:val="20"/>
                <w:color w:val="auto"/>
              </w:rPr>
            </w:pPr>
            <w:r>
              <w:rPr>
                <w:rFonts w:ascii="Arial" w:cs="Arial" w:eastAsia="Arial" w:hAnsi="Arial"/>
                <w:sz w:val="10"/>
                <w:szCs w:val="10"/>
                <w:color w:val="auto"/>
              </w:rPr>
              <w:t>2,702</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8,095</w:t>
            </w:r>
          </w:p>
        </w:tc>
      </w:tr>
      <w:tr>
        <w:trPr>
          <w:trHeight w:val="129"/>
        </w:trPr>
        <w:tc>
          <w:tcPr>
            <w:tcW w:w="80" w:type="dxa"/>
            <w:vAlign w:val="bottom"/>
          </w:tcPr>
          <w:p>
            <w:pPr>
              <w:spacing w:after="0"/>
              <w:rPr>
                <w:sz w:val="11"/>
                <w:szCs w:val="11"/>
                <w:color w:val="auto"/>
              </w:rPr>
            </w:pPr>
          </w:p>
        </w:tc>
        <w:tc>
          <w:tcPr>
            <w:tcW w:w="2160" w:type="dxa"/>
            <w:vAlign w:val="bottom"/>
          </w:tcPr>
          <w:p>
            <w:pPr>
              <w:ind w:left="20"/>
              <w:spacing w:after="0"/>
              <w:rPr>
                <w:sz w:val="20"/>
                <w:szCs w:val="20"/>
                <w:color w:val="auto"/>
              </w:rPr>
            </w:pPr>
            <w:r>
              <w:rPr>
                <w:rFonts w:ascii="Arial" w:cs="Arial" w:eastAsia="Arial" w:hAnsi="Arial"/>
                <w:sz w:val="10"/>
                <w:szCs w:val="10"/>
                <w:color w:val="auto"/>
              </w:rPr>
              <w:t>Income tax expense</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2,771</w:t>
            </w: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1,774</w:t>
            </w:r>
          </w:p>
        </w:tc>
      </w:tr>
      <w:tr>
        <w:trPr>
          <w:trHeight w:val="123"/>
        </w:trPr>
        <w:tc>
          <w:tcPr>
            <w:tcW w:w="2240" w:type="dxa"/>
            <w:vAlign w:val="bottom"/>
            <w:gridSpan w:val="2"/>
          </w:tcPr>
          <w:p>
            <w:pPr>
              <w:spacing w:after="0"/>
              <w:rPr>
                <w:sz w:val="20"/>
                <w:szCs w:val="20"/>
                <w:color w:val="auto"/>
              </w:rPr>
            </w:pPr>
            <w:r>
              <w:rPr>
                <w:rFonts w:ascii="Arial" w:cs="Arial" w:eastAsia="Arial" w:hAnsi="Arial"/>
                <w:sz w:val="10"/>
                <w:szCs w:val="10"/>
                <w:b w:val="1"/>
                <w:bCs w:val="1"/>
                <w:color w:val="auto"/>
              </w:rPr>
              <w:t>Net income</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9,945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11"/>
              <w:spacing w:after="0"/>
              <w:rPr>
                <w:sz w:val="20"/>
                <w:szCs w:val="20"/>
                <w:color w:val="auto"/>
              </w:rPr>
            </w:pPr>
            <w:r>
              <w:rPr>
                <w:rFonts w:ascii="Arial" w:cs="Arial" w:eastAsia="Arial" w:hAnsi="Arial"/>
                <w:sz w:val="10"/>
                <w:szCs w:val="10"/>
                <w:color w:val="auto"/>
              </w:rPr>
              <w:t>6,321</w:t>
            </w:r>
          </w:p>
        </w:tc>
      </w:tr>
      <w:tr>
        <w:trPr>
          <w:trHeight w:val="145"/>
        </w:trPr>
        <w:tc>
          <w:tcPr>
            <w:tcW w:w="80" w:type="dxa"/>
            <w:vAlign w:val="bottom"/>
          </w:tcPr>
          <w:p>
            <w:pPr>
              <w:spacing w:after="0"/>
              <w:rPr>
                <w:sz w:val="12"/>
                <w:szCs w:val="12"/>
                <w:color w:val="auto"/>
              </w:rPr>
            </w:pPr>
          </w:p>
        </w:tc>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Net loss attributable to noncontrolling interests</w:t>
            </w:r>
          </w:p>
        </w:tc>
        <w:tc>
          <w:tcPr>
            <w:tcW w:w="1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74</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106</w:t>
            </w:r>
          </w:p>
        </w:tc>
      </w:tr>
      <w:tr>
        <w:trPr>
          <w:trHeight w:val="161"/>
        </w:trPr>
        <w:tc>
          <w:tcPr>
            <w:tcW w:w="80" w:type="dxa"/>
            <w:vAlign w:val="bottom"/>
          </w:tcPr>
          <w:p>
            <w:pPr>
              <w:spacing w:after="0"/>
              <w:rPr>
                <w:sz w:val="13"/>
                <w:szCs w:val="13"/>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Net income attributable to stockholders</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10,019</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6,427</w:t>
            </w:r>
          </w:p>
        </w:tc>
      </w:tr>
      <w:tr>
        <w:trPr>
          <w:trHeight w:val="20"/>
        </w:trPr>
        <w:tc>
          <w:tcPr>
            <w:tcW w:w="8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79"/>
        </w:trPr>
        <w:tc>
          <w:tcPr>
            <w:tcW w:w="80" w:type="dxa"/>
            <w:vAlign w:val="bottom"/>
          </w:tcPr>
          <w:p>
            <w:pPr>
              <w:spacing w:after="0"/>
              <w:rPr>
                <w:sz w:val="6"/>
                <w:szCs w:val="6"/>
                <w:color w:val="auto"/>
              </w:rPr>
            </w:pPr>
          </w:p>
        </w:tc>
        <w:tc>
          <w:tcPr>
            <w:tcW w:w="2160" w:type="dxa"/>
            <w:vAlign w:val="bottom"/>
            <w:shd w:val="clear" w:color="auto" w:fill="CCEEFF"/>
          </w:tcPr>
          <w:p>
            <w:pPr>
              <w:ind w:left="20"/>
              <w:spacing w:after="0" w:line="79" w:lineRule="exact"/>
              <w:rPr>
                <w:sz w:val="20"/>
                <w:szCs w:val="20"/>
                <w:color w:val="auto"/>
              </w:rPr>
            </w:pPr>
            <w:r>
              <w:rPr>
                <w:rFonts w:ascii="Arial" w:cs="Arial" w:eastAsia="Arial" w:hAnsi="Arial"/>
                <w:sz w:val="9"/>
                <w:szCs w:val="9"/>
                <w:b w:val="1"/>
                <w:bCs w:val="1"/>
                <w:color w:val="auto"/>
              </w:rPr>
              <w:t>Net income attributable to common</w:t>
            </w: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r>
      <w:tr>
        <w:trPr>
          <w:trHeight w:val="138"/>
        </w:trPr>
        <w:tc>
          <w:tcPr>
            <w:tcW w:w="80" w:type="dxa"/>
            <w:vAlign w:val="bottom"/>
          </w:tcPr>
          <w:p>
            <w:pPr>
              <w:spacing w:after="0"/>
              <w:rPr>
                <w:sz w:val="11"/>
                <w:szCs w:val="11"/>
                <w:color w:val="auto"/>
              </w:rPr>
            </w:pPr>
          </w:p>
        </w:tc>
        <w:tc>
          <w:tcPr>
            <w:tcW w:w="2160" w:type="dxa"/>
            <w:vAlign w:val="bottom"/>
            <w:shd w:val="clear" w:color="auto" w:fill="CCEEFF"/>
          </w:tcPr>
          <w:p>
            <w:pPr>
              <w:ind w:left="140"/>
              <w:spacing w:after="0"/>
              <w:rPr>
                <w:sz w:val="20"/>
                <w:szCs w:val="20"/>
                <w:color w:val="auto"/>
              </w:rPr>
            </w:pPr>
            <w:r>
              <w:rPr>
                <w:rFonts w:ascii="Arial" w:cs="Arial" w:eastAsia="Arial" w:hAnsi="Arial"/>
                <w:sz w:val="10"/>
                <w:szCs w:val="10"/>
                <w:b w:val="1"/>
                <w:bCs w:val="1"/>
                <w:color w:val="auto"/>
              </w:rPr>
              <w:t>stockholders</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9,837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6,247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-464185</wp:posOffset>
            </wp:positionV>
            <wp:extent cx="7080885" cy="94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0885"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900"/>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40"/>
          </w:cols>
          <w:pgMar w:left="220" w:top="316" w:right="439" w:bottom="1440" w:gutter="0" w:footer="0" w:header="0"/>
        </w:sectPr>
      </w:pPr>
    </w:p>
    <w:bookmarkStart w:id="22" w:name="page23"/>
    <w:bookmarkEnd w:id="22"/>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Basic and Diluted Earnings per Share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basic and diluted earnings per share (in millions, except per share amounts):</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5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760" w:type="dxa"/>
            <w:vAlign w:val="bottom"/>
            <w:gridSpan w:val="5"/>
          </w:tcPr>
          <w:p>
            <w:pPr>
              <w:ind w:left="740"/>
              <w:spacing w:after="0"/>
              <w:rPr>
                <w:sz w:val="20"/>
                <w:szCs w:val="20"/>
                <w:color w:val="auto"/>
              </w:rPr>
            </w:pPr>
            <w:r>
              <w:rPr>
                <w:rFonts w:ascii="Arial" w:cs="Arial" w:eastAsia="Arial" w:hAnsi="Arial"/>
                <w:sz w:val="10"/>
                <w:szCs w:val="10"/>
                <w:b w:val="1"/>
                <w:bCs w:val="1"/>
                <w:color w:val="auto"/>
              </w:rPr>
              <w:t>Three Months Ended</w:t>
            </w:r>
          </w:p>
        </w:tc>
        <w:tc>
          <w:tcPr>
            <w:tcW w:w="200" w:type="dxa"/>
            <w:vAlign w:val="bottom"/>
          </w:tcPr>
          <w:p>
            <w:pPr>
              <w:spacing w:after="0"/>
              <w:rPr>
                <w:sz w:val="11"/>
                <w:szCs w:val="11"/>
                <w:color w:val="auto"/>
              </w:rPr>
            </w:pPr>
          </w:p>
        </w:tc>
        <w:tc>
          <w:tcPr>
            <w:tcW w:w="1560" w:type="dxa"/>
            <w:vAlign w:val="bottom"/>
            <w:gridSpan w:val="3"/>
          </w:tcPr>
          <w:p>
            <w:pPr>
              <w:jc w:val="right"/>
              <w:spacing w:after="0"/>
              <w:rPr>
                <w:sz w:val="20"/>
                <w:szCs w:val="20"/>
                <w:color w:val="auto"/>
              </w:rPr>
            </w:pPr>
            <w:r>
              <w:rPr>
                <w:rFonts w:ascii="Arial" w:cs="Arial" w:eastAsia="Arial" w:hAnsi="Arial"/>
                <w:sz w:val="10"/>
                <w:szCs w:val="10"/>
                <w:b w:val="1"/>
                <w:bCs w:val="1"/>
                <w:color w:val="auto"/>
              </w:rPr>
              <w:t>Years Ended</w:t>
            </w:r>
          </w:p>
        </w:tc>
        <w:tc>
          <w:tcPr>
            <w:tcW w:w="1100" w:type="dxa"/>
            <w:vAlign w:val="bottom"/>
          </w:tcPr>
          <w:p>
            <w:pPr>
              <w:spacing w:after="0"/>
              <w:rPr>
                <w:sz w:val="11"/>
                <w:szCs w:val="11"/>
                <w:color w:val="auto"/>
              </w:rPr>
            </w:pPr>
          </w:p>
        </w:tc>
      </w:tr>
      <w:tr>
        <w:trPr>
          <w:trHeight w:val="116"/>
        </w:trPr>
        <w:tc>
          <w:tcPr>
            <w:tcW w:w="54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ind w:left="120"/>
              <w:spacing w:after="0"/>
              <w:rPr>
                <w:sz w:val="20"/>
                <w:szCs w:val="20"/>
                <w:color w:val="auto"/>
              </w:rPr>
            </w:pPr>
            <w:r>
              <w:rPr>
                <w:rFonts w:ascii="Arial" w:cs="Arial" w:eastAsia="Arial" w:hAnsi="Arial"/>
                <w:sz w:val="8"/>
                <w:szCs w:val="8"/>
                <w:b w:val="1"/>
                <w:bCs w:val="1"/>
                <w:color w:val="auto"/>
              </w:rPr>
              <w:t>December 31, 2021</w:t>
            </w: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238"/>
              <w:spacing w:after="0"/>
              <w:rPr>
                <w:sz w:val="20"/>
                <w:szCs w:val="20"/>
                <w:color w:val="auto"/>
              </w:rPr>
            </w:pPr>
            <w:r>
              <w:rPr>
                <w:rFonts w:ascii="Arial" w:cs="Arial" w:eastAsia="Arial" w:hAnsi="Arial"/>
                <w:sz w:val="8"/>
                <w:szCs w:val="8"/>
                <w:b w:val="1"/>
                <w:bCs w:val="1"/>
                <w:color w:val="auto"/>
              </w:rPr>
              <w:t>December 31, 2020</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ind w:left="100"/>
              <w:spacing w:after="0"/>
              <w:rPr>
                <w:sz w:val="20"/>
                <w:szCs w:val="20"/>
                <w:color w:val="auto"/>
              </w:rPr>
            </w:pPr>
            <w:r>
              <w:rPr>
                <w:rFonts w:ascii="Arial" w:cs="Arial" w:eastAsia="Arial" w:hAnsi="Arial"/>
                <w:sz w:val="8"/>
                <w:szCs w:val="8"/>
                <w:b w:val="1"/>
                <w:bCs w:val="1"/>
                <w:color w:val="auto"/>
              </w:rPr>
              <w:t>December 31, 2021</w:t>
            </w: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258"/>
              <w:spacing w:after="0"/>
              <w:rPr>
                <w:sz w:val="20"/>
                <w:szCs w:val="20"/>
                <w:color w:val="auto"/>
              </w:rPr>
            </w:pPr>
            <w:r>
              <w:rPr>
                <w:rFonts w:ascii="Arial" w:cs="Arial" w:eastAsia="Arial" w:hAnsi="Arial"/>
                <w:sz w:val="8"/>
                <w:szCs w:val="8"/>
                <w:b w:val="1"/>
                <w:bCs w:val="1"/>
                <w:color w:val="auto"/>
              </w:rPr>
              <w:t>December 31, 2020</w:t>
            </w:r>
          </w:p>
        </w:tc>
      </w:tr>
      <w:tr>
        <w:trPr>
          <w:trHeight w:val="138"/>
        </w:trPr>
        <w:tc>
          <w:tcPr>
            <w:tcW w:w="5440" w:type="dxa"/>
            <w:vAlign w:val="bottom"/>
          </w:tcPr>
          <w:p>
            <w:pPr>
              <w:spacing w:after="0"/>
              <w:rPr>
                <w:sz w:val="20"/>
                <w:szCs w:val="20"/>
                <w:color w:val="auto"/>
              </w:rPr>
            </w:pPr>
            <w:r>
              <w:rPr>
                <w:rFonts w:ascii="Arial" w:cs="Arial" w:eastAsia="Arial" w:hAnsi="Arial"/>
                <w:sz w:val="11"/>
                <w:szCs w:val="11"/>
                <w:b w:val="1"/>
                <w:bCs w:val="1"/>
                <w:color w:val="auto"/>
              </w:rPr>
              <w:t>Basic earnings per share</w:t>
            </w: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r>
      <w:tr>
        <w:trPr>
          <w:trHeight w:val="170"/>
        </w:trPr>
        <w:tc>
          <w:tcPr>
            <w:tcW w:w="54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income attributable to stockholders</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10,019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6,427</w:t>
            </w:r>
          </w:p>
        </w:tc>
      </w:tr>
      <w:tr>
        <w:trPr>
          <w:trHeight w:val="170"/>
        </w:trPr>
        <w:tc>
          <w:tcPr>
            <w:tcW w:w="54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Less: cumulative dividends on subsidiary preferred stock(a)</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w:t>
            </w:r>
          </w:p>
        </w:tc>
      </w:tr>
      <w:tr>
        <w:trPr>
          <w:trHeight w:val="185"/>
        </w:trPr>
        <w:tc>
          <w:tcPr>
            <w:tcW w:w="5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Net income attributable to common stockholders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9,837</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6,247</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70"/>
        </w:trPr>
        <w:tc>
          <w:tcPr>
            <w:tcW w:w="54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Weighted-average common shares outstanding</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1,433</w:t>
            </w:r>
          </w:p>
        </w:tc>
      </w:tr>
      <w:tr>
        <w:trPr>
          <w:trHeight w:val="85"/>
        </w:trPr>
        <w:tc>
          <w:tcPr>
            <w:tcW w:w="5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0"/>
        </w:trPr>
        <w:tc>
          <w:tcPr>
            <w:tcW w:w="54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 earnings per common share</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w:t>
            </w:r>
          </w:p>
        </w:tc>
      </w:tr>
      <w:tr>
        <w:trPr>
          <w:trHeight w:val="149"/>
        </w:trPr>
        <w:tc>
          <w:tcPr>
            <w:tcW w:w="5440" w:type="dxa"/>
            <w:vAlign w:val="bottom"/>
          </w:tcPr>
          <w:p>
            <w:pPr>
              <w:spacing w:after="0"/>
              <w:rPr>
                <w:sz w:val="20"/>
                <w:szCs w:val="20"/>
                <w:color w:val="auto"/>
              </w:rPr>
            </w:pPr>
            <w:r>
              <w:rPr>
                <w:rFonts w:ascii="Arial" w:cs="Arial" w:eastAsia="Arial" w:hAnsi="Arial"/>
                <w:sz w:val="11"/>
                <w:szCs w:val="11"/>
                <w:b w:val="1"/>
                <w:bCs w:val="1"/>
                <w:color w:val="auto"/>
              </w:rPr>
              <w:t>Diluted earnings per share</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0"/>
        </w:trPr>
        <w:tc>
          <w:tcPr>
            <w:tcW w:w="54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income attributable to common stockholders – diluted</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9,837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6,247</w:t>
            </w:r>
          </w:p>
        </w:tc>
      </w:tr>
      <w:tr>
        <w:trPr>
          <w:trHeight w:val="85"/>
        </w:trPr>
        <w:tc>
          <w:tcPr>
            <w:tcW w:w="5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0"/>
        </w:trPr>
        <w:tc>
          <w:tcPr>
            <w:tcW w:w="54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Weighted-average common shares outstanding – diluted</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w:t>
            </w:r>
          </w:p>
        </w:tc>
      </w:tr>
      <w:tr>
        <w:trPr>
          <w:trHeight w:val="74"/>
        </w:trPr>
        <w:tc>
          <w:tcPr>
            <w:tcW w:w="5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170"/>
        </w:trPr>
        <w:tc>
          <w:tcPr>
            <w:tcW w:w="54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 earnings per common share</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w:t>
            </w:r>
          </w:p>
        </w:tc>
      </w:tr>
      <w:tr>
        <w:trPr>
          <w:trHeight w:val="172"/>
        </w:trPr>
        <w:tc>
          <w:tcPr>
            <w:tcW w:w="5440" w:type="dxa"/>
            <w:vAlign w:val="bottom"/>
          </w:tcPr>
          <w:p>
            <w:pPr>
              <w:ind w:left="140"/>
              <w:spacing w:after="0"/>
              <w:rPr>
                <w:sz w:val="20"/>
                <w:szCs w:val="20"/>
                <w:color w:val="auto"/>
              </w:rPr>
            </w:pPr>
            <w:r>
              <w:rPr>
                <w:rFonts w:ascii="Arial" w:cs="Arial" w:eastAsia="Arial" w:hAnsi="Arial"/>
                <w:sz w:val="11"/>
                <w:szCs w:val="11"/>
                <w:color w:val="auto"/>
              </w:rPr>
              <w:t>Potentially dilutive securities(b)</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w:t>
            </w:r>
          </w:p>
        </w:tc>
      </w:tr>
    </w:tbl>
    <w:p>
      <w:pPr>
        <w:spacing w:after="0" w:line="65"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 w:lineRule="exact"/>
        <w:rPr>
          <w:sz w:val="20"/>
          <w:szCs w:val="20"/>
          <w:color w:val="auto"/>
        </w:rPr>
      </w:pPr>
    </w:p>
    <w:p>
      <w:pPr>
        <w:ind w:left="320" w:hanging="251"/>
        <w:spacing w:after="0"/>
        <w:tabs>
          <w:tab w:leader="none" w:pos="3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Cumulative dividends on subsidiary preferred stock includes an insignificant amount in participating securities income from a subsidiary in the three months ended December 31, 2021.</w:t>
      </w:r>
    </w:p>
    <w:p>
      <w:pPr>
        <w:ind w:left="320" w:hanging="251"/>
        <w:spacing w:after="0" w:line="260" w:lineRule="auto"/>
        <w:tabs>
          <w:tab w:leader="none" w:pos="310" w:val="left"/>
        </w:tabs>
        <w:numPr>
          <w:ilvl w:val="0"/>
          <w:numId w:val="10"/>
        </w:numPr>
        <w:rPr>
          <w:rFonts w:ascii="Arial" w:cs="Arial" w:eastAsia="Arial" w:hAnsi="Arial"/>
          <w:sz w:val="11"/>
          <w:szCs w:val="11"/>
          <w:color w:val="auto"/>
        </w:rPr>
      </w:pPr>
      <w:r>
        <w:rPr>
          <w:rFonts w:ascii="Arial" w:cs="Arial" w:eastAsia="Arial" w:hAnsi="Arial"/>
          <w:sz w:val="11"/>
          <w:szCs w:val="11"/>
          <w:color w:val="auto"/>
        </w:rPr>
        <w:t>Potentially dilutive securities attributable to outstanding stock options at December 31, 2021, and 2020 and restricted stock units (RSUs) at December 31, 2020, were excluded from the computation of diluted EPS because the securities would have had an antidilutive effect.</w:t>
      </w:r>
    </w:p>
    <w:p>
      <w:pPr>
        <w:spacing w:after="0" w:line="200" w:lineRule="exact"/>
        <w:rPr>
          <w:sz w:val="20"/>
          <w:szCs w:val="20"/>
          <w:color w:val="auto"/>
        </w:rPr>
      </w:pPr>
    </w:p>
    <w:p>
      <w:pPr>
        <w:spacing w:after="0" w:line="26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80"/>
          </w:cols>
          <w:pgMar w:left="300" w:top="316" w:right="319" w:bottom="1440" w:gutter="0" w:footer="0" w:header="0"/>
        </w:sectPr>
      </w:pPr>
    </w:p>
    <w:bookmarkStart w:id="23" w:name="page24"/>
    <w:bookmarkEnd w:id="23"/>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Combining Balance Sheet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except per share amounts) (Unaudited)(a)</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ind w:left="160"/>
              <w:spacing w:after="0"/>
              <w:rPr>
                <w:sz w:val="20"/>
                <w:szCs w:val="20"/>
                <w:color w:val="auto"/>
              </w:rPr>
            </w:pPr>
            <w:r>
              <w:rPr>
                <w:rFonts w:ascii="Arial" w:cs="Arial" w:eastAsia="Arial" w:hAnsi="Arial"/>
                <w:sz w:val="8"/>
                <w:szCs w:val="8"/>
                <w:b w:val="1"/>
                <w:bCs w:val="1"/>
                <w:color w:val="auto"/>
              </w:rPr>
              <w:t>December 31, 2021</w:t>
            </w: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ind w:left="140"/>
              <w:spacing w:after="0"/>
              <w:rPr>
                <w:sz w:val="20"/>
                <w:szCs w:val="20"/>
                <w:color w:val="auto"/>
              </w:rPr>
            </w:pPr>
            <w:r>
              <w:rPr>
                <w:rFonts w:ascii="Arial" w:cs="Arial" w:eastAsia="Arial" w:hAnsi="Arial"/>
                <w:sz w:val="8"/>
                <w:szCs w:val="8"/>
                <w:b w:val="1"/>
                <w:bCs w:val="1"/>
                <w:color w:val="auto"/>
              </w:rPr>
              <w:t>December 31, 2020</w:t>
            </w: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tcPr>
          <w:p>
            <w:pPr>
              <w:ind w:left="40"/>
              <w:spacing w:after="0"/>
              <w:rPr>
                <w:sz w:val="20"/>
                <w:szCs w:val="20"/>
                <w:color w:val="auto"/>
              </w:rPr>
            </w:pPr>
            <w:r>
              <w:rPr>
                <w:rFonts w:ascii="Arial" w:cs="Arial" w:eastAsia="Arial" w:hAnsi="Arial"/>
                <w:sz w:val="7"/>
                <w:szCs w:val="7"/>
                <w:b w:val="1"/>
                <w:bCs w:val="1"/>
                <w:color w:val="auto"/>
              </w:rPr>
              <w:t>Automotive</w:t>
            </w:r>
          </w:p>
        </w:tc>
        <w:tc>
          <w:tcPr>
            <w:tcW w:w="120" w:type="dxa"/>
            <w:vAlign w:val="bottom"/>
          </w:tcPr>
          <w:p>
            <w:pPr>
              <w:spacing w:after="0"/>
              <w:rPr>
                <w:sz w:val="8"/>
                <w:szCs w:val="8"/>
                <w:color w:val="auto"/>
              </w:rPr>
            </w:pPr>
          </w:p>
        </w:tc>
        <w:tc>
          <w:tcPr>
            <w:tcW w:w="520" w:type="dxa"/>
            <w:vAlign w:val="bottom"/>
            <w:gridSpan w:val="2"/>
          </w:tcPr>
          <w:p>
            <w:pPr>
              <w:ind w:left="40"/>
              <w:spacing w:after="0"/>
              <w:rPr>
                <w:sz w:val="20"/>
                <w:szCs w:val="20"/>
                <w:color w:val="auto"/>
              </w:rPr>
            </w:pPr>
            <w:r>
              <w:rPr>
                <w:rFonts w:ascii="Arial" w:cs="Arial" w:eastAsia="Arial" w:hAnsi="Arial"/>
                <w:sz w:val="7"/>
                <w:szCs w:val="7"/>
                <w:b w:val="1"/>
                <w:bCs w:val="1"/>
                <w:color w:val="auto"/>
              </w:rPr>
              <w:t>Cruise</w:t>
            </w:r>
          </w:p>
        </w:tc>
        <w:tc>
          <w:tcPr>
            <w:tcW w:w="120" w:type="dxa"/>
            <w:vAlign w:val="bottom"/>
          </w:tcPr>
          <w:p>
            <w:pPr>
              <w:spacing w:after="0"/>
              <w:rPr>
                <w:sz w:val="8"/>
                <w:szCs w:val="8"/>
                <w:color w:val="auto"/>
              </w:rPr>
            </w:pPr>
          </w:p>
        </w:tc>
        <w:tc>
          <w:tcPr>
            <w:tcW w:w="760" w:type="dxa"/>
            <w:vAlign w:val="bottom"/>
            <w:gridSpan w:val="2"/>
          </w:tcPr>
          <w:p>
            <w:pPr>
              <w:ind w:left="60"/>
              <w:spacing w:after="0"/>
              <w:rPr>
                <w:sz w:val="20"/>
                <w:szCs w:val="20"/>
                <w:color w:val="auto"/>
              </w:rPr>
            </w:pPr>
            <w:r>
              <w:rPr>
                <w:rFonts w:ascii="Arial" w:cs="Arial" w:eastAsia="Arial" w:hAnsi="Arial"/>
                <w:sz w:val="7"/>
                <w:szCs w:val="7"/>
                <w:b w:val="1"/>
                <w:bCs w:val="1"/>
                <w:color w:val="auto"/>
              </w:rPr>
              <w:t>GM Financial</w:t>
            </w:r>
          </w:p>
        </w:tc>
        <w:tc>
          <w:tcPr>
            <w:tcW w:w="1140" w:type="dxa"/>
            <w:vAlign w:val="bottom"/>
            <w:gridSpan w:val="3"/>
          </w:tcPr>
          <w:p>
            <w:pPr>
              <w:ind w:left="20"/>
              <w:spacing w:after="0"/>
              <w:rPr>
                <w:sz w:val="20"/>
                <w:szCs w:val="20"/>
                <w:color w:val="auto"/>
              </w:rPr>
            </w:pPr>
            <w:r>
              <w:rPr>
                <w:rFonts w:ascii="Arial" w:cs="Arial" w:eastAsia="Arial" w:hAnsi="Arial"/>
                <w:sz w:val="7"/>
                <w:szCs w:val="7"/>
                <w:b w:val="1"/>
                <w:bCs w:val="1"/>
                <w:color w:val="auto"/>
              </w:rPr>
              <w:t>Reclassifications/Eliminations</w:t>
            </w:r>
          </w:p>
        </w:tc>
        <w:tc>
          <w:tcPr>
            <w:tcW w:w="140" w:type="dxa"/>
            <w:vAlign w:val="bottom"/>
          </w:tcPr>
          <w:p>
            <w:pPr>
              <w:spacing w:after="0"/>
              <w:rPr>
                <w:sz w:val="8"/>
                <w:szCs w:val="8"/>
                <w:color w:val="auto"/>
              </w:rPr>
            </w:pPr>
          </w:p>
        </w:tc>
        <w:tc>
          <w:tcPr>
            <w:tcW w:w="700" w:type="dxa"/>
            <w:vAlign w:val="bottom"/>
            <w:gridSpan w:val="2"/>
          </w:tcPr>
          <w:p>
            <w:pPr>
              <w:ind w:left="60"/>
              <w:spacing w:after="0"/>
              <w:rPr>
                <w:sz w:val="20"/>
                <w:szCs w:val="20"/>
                <w:color w:val="auto"/>
              </w:rPr>
            </w:pPr>
            <w:r>
              <w:rPr>
                <w:rFonts w:ascii="Arial" w:cs="Arial" w:eastAsia="Arial" w:hAnsi="Arial"/>
                <w:sz w:val="7"/>
                <w:szCs w:val="7"/>
                <w:b w:val="1"/>
                <w:bCs w:val="1"/>
                <w:color w:val="auto"/>
              </w:rPr>
              <w:t>Combined</w:t>
            </w:r>
          </w:p>
        </w:tc>
        <w:tc>
          <w:tcPr>
            <w:tcW w:w="100" w:type="dxa"/>
            <w:vAlign w:val="bottom"/>
          </w:tcPr>
          <w:p>
            <w:pPr>
              <w:spacing w:after="0"/>
              <w:rPr>
                <w:sz w:val="8"/>
                <w:szCs w:val="8"/>
                <w:color w:val="auto"/>
              </w:rPr>
            </w:pPr>
          </w:p>
        </w:tc>
        <w:tc>
          <w:tcPr>
            <w:tcW w:w="680" w:type="dxa"/>
            <w:vAlign w:val="bottom"/>
            <w:gridSpan w:val="2"/>
          </w:tcPr>
          <w:p>
            <w:pPr>
              <w:ind w:left="40"/>
              <w:spacing w:after="0"/>
              <w:rPr>
                <w:sz w:val="20"/>
                <w:szCs w:val="20"/>
                <w:color w:val="auto"/>
              </w:rPr>
            </w:pPr>
            <w:r>
              <w:rPr>
                <w:rFonts w:ascii="Arial" w:cs="Arial" w:eastAsia="Arial" w:hAnsi="Arial"/>
                <w:sz w:val="7"/>
                <w:szCs w:val="7"/>
                <w:b w:val="1"/>
                <w:bCs w:val="1"/>
                <w:color w:val="auto"/>
              </w:rPr>
              <w:t>Automotive</w:t>
            </w:r>
          </w:p>
        </w:tc>
        <w:tc>
          <w:tcPr>
            <w:tcW w:w="120" w:type="dxa"/>
            <w:vAlign w:val="bottom"/>
          </w:tcPr>
          <w:p>
            <w:pPr>
              <w:spacing w:after="0"/>
              <w:rPr>
                <w:sz w:val="8"/>
                <w:szCs w:val="8"/>
                <w:color w:val="auto"/>
              </w:rPr>
            </w:pPr>
          </w:p>
        </w:tc>
        <w:tc>
          <w:tcPr>
            <w:tcW w:w="540" w:type="dxa"/>
            <w:vAlign w:val="bottom"/>
            <w:gridSpan w:val="2"/>
          </w:tcPr>
          <w:p>
            <w:pPr>
              <w:ind w:left="40"/>
              <w:spacing w:after="0"/>
              <w:rPr>
                <w:sz w:val="20"/>
                <w:szCs w:val="20"/>
                <w:color w:val="auto"/>
              </w:rPr>
            </w:pPr>
            <w:r>
              <w:rPr>
                <w:rFonts w:ascii="Arial" w:cs="Arial" w:eastAsia="Arial" w:hAnsi="Arial"/>
                <w:sz w:val="7"/>
                <w:szCs w:val="7"/>
                <w:b w:val="1"/>
                <w:bCs w:val="1"/>
                <w:color w:val="auto"/>
              </w:rPr>
              <w:t>Cruise</w:t>
            </w:r>
          </w:p>
        </w:tc>
        <w:tc>
          <w:tcPr>
            <w:tcW w:w="120" w:type="dxa"/>
            <w:vAlign w:val="bottom"/>
          </w:tcPr>
          <w:p>
            <w:pPr>
              <w:spacing w:after="0"/>
              <w:rPr>
                <w:sz w:val="8"/>
                <w:szCs w:val="8"/>
                <w:color w:val="auto"/>
              </w:rPr>
            </w:pPr>
          </w:p>
        </w:tc>
        <w:tc>
          <w:tcPr>
            <w:tcW w:w="740" w:type="dxa"/>
            <w:vAlign w:val="bottom"/>
            <w:gridSpan w:val="2"/>
          </w:tcPr>
          <w:p>
            <w:pPr>
              <w:ind w:left="40"/>
              <w:spacing w:after="0"/>
              <w:rPr>
                <w:sz w:val="20"/>
                <w:szCs w:val="20"/>
                <w:color w:val="auto"/>
              </w:rPr>
            </w:pPr>
            <w:r>
              <w:rPr>
                <w:rFonts w:ascii="Arial" w:cs="Arial" w:eastAsia="Arial" w:hAnsi="Arial"/>
                <w:sz w:val="7"/>
                <w:szCs w:val="7"/>
                <w:b w:val="1"/>
                <w:bCs w:val="1"/>
                <w:color w:val="auto"/>
              </w:rPr>
              <w:t>GM Financial</w:t>
            </w:r>
          </w:p>
        </w:tc>
        <w:tc>
          <w:tcPr>
            <w:tcW w:w="1160" w:type="dxa"/>
            <w:vAlign w:val="bottom"/>
            <w:gridSpan w:val="3"/>
          </w:tcPr>
          <w:p>
            <w:pPr>
              <w:ind w:left="20"/>
              <w:spacing w:after="0"/>
              <w:rPr>
                <w:sz w:val="20"/>
                <w:szCs w:val="20"/>
                <w:color w:val="auto"/>
              </w:rPr>
            </w:pPr>
            <w:r>
              <w:rPr>
                <w:rFonts w:ascii="Arial" w:cs="Arial" w:eastAsia="Arial" w:hAnsi="Arial"/>
                <w:sz w:val="7"/>
                <w:szCs w:val="7"/>
                <w:b w:val="1"/>
                <w:bCs w:val="1"/>
                <w:color w:val="auto"/>
              </w:rPr>
              <w:t>Reclassifications/Eliminations</w:t>
            </w:r>
          </w:p>
        </w:tc>
        <w:tc>
          <w:tcPr>
            <w:tcW w:w="120" w:type="dxa"/>
            <w:vAlign w:val="bottom"/>
          </w:tcPr>
          <w:p>
            <w:pPr>
              <w:spacing w:after="0"/>
              <w:rPr>
                <w:sz w:val="8"/>
                <w:szCs w:val="8"/>
                <w:color w:val="auto"/>
              </w:rPr>
            </w:pPr>
          </w:p>
        </w:tc>
        <w:tc>
          <w:tcPr>
            <w:tcW w:w="600" w:type="dxa"/>
            <w:vAlign w:val="bottom"/>
          </w:tcPr>
          <w:p>
            <w:pPr>
              <w:jc w:val="right"/>
              <w:ind w:right="151"/>
              <w:spacing w:after="0"/>
              <w:rPr>
                <w:sz w:val="20"/>
                <w:szCs w:val="20"/>
                <w:color w:val="auto"/>
              </w:rPr>
            </w:pPr>
            <w:r>
              <w:rPr>
                <w:rFonts w:ascii="Arial" w:cs="Arial" w:eastAsia="Arial" w:hAnsi="Arial"/>
                <w:sz w:val="7"/>
                <w:szCs w:val="7"/>
                <w:b w:val="1"/>
                <w:bCs w:val="1"/>
                <w:color w:val="auto"/>
              </w:rPr>
              <w:t>Combined</w:t>
            </w:r>
          </w:p>
        </w:tc>
        <w:tc>
          <w:tcPr>
            <w:tcW w:w="0" w:type="dxa"/>
            <w:vAlign w:val="bottom"/>
          </w:tcPr>
          <w:p>
            <w:pPr>
              <w:spacing w:after="0"/>
              <w:rPr>
                <w:sz w:val="1"/>
                <w:szCs w:val="1"/>
                <w:color w:val="auto"/>
              </w:rPr>
            </w:pPr>
          </w:p>
        </w:tc>
      </w:tr>
      <w:tr>
        <w:trPr>
          <w:trHeight w:val="113"/>
        </w:trPr>
        <w:tc>
          <w:tcPr>
            <w:tcW w:w="2800" w:type="dxa"/>
            <w:vAlign w:val="bottom"/>
          </w:tcPr>
          <w:p>
            <w:pPr>
              <w:ind w:left="1200"/>
              <w:spacing w:after="0" w:line="113" w:lineRule="exact"/>
              <w:rPr>
                <w:sz w:val="20"/>
                <w:szCs w:val="20"/>
                <w:color w:val="auto"/>
              </w:rPr>
            </w:pPr>
            <w:r>
              <w:rPr>
                <w:rFonts w:ascii="Arial" w:cs="Arial" w:eastAsia="Arial" w:hAnsi="Arial"/>
                <w:sz w:val="10"/>
                <w:szCs w:val="10"/>
                <w:b w:val="1"/>
                <w:bCs w:val="1"/>
                <w:color w:val="auto"/>
              </w:rPr>
              <w:t>ASSETS</w:t>
            </w: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800" w:type="dxa"/>
            <w:vAlign w:val="bottom"/>
          </w:tcPr>
          <w:p>
            <w:pPr>
              <w:ind w:left="20"/>
              <w:spacing w:after="0"/>
              <w:rPr>
                <w:sz w:val="20"/>
                <w:szCs w:val="20"/>
                <w:color w:val="auto"/>
              </w:rPr>
            </w:pPr>
            <w:r>
              <w:rPr>
                <w:rFonts w:ascii="Arial" w:cs="Arial" w:eastAsia="Arial" w:hAnsi="Arial"/>
                <w:sz w:val="10"/>
                <w:szCs w:val="10"/>
                <w:b w:val="1"/>
                <w:bCs w:val="1"/>
                <w:color w:val="auto"/>
              </w:rPr>
              <w:t>Current Assets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14,541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1,578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3,948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20,067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14,168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5,063</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19,992</w:t>
            </w:r>
          </w:p>
        </w:tc>
        <w:tc>
          <w:tcPr>
            <w:tcW w:w="0" w:type="dxa"/>
            <w:vAlign w:val="bottom"/>
          </w:tcPr>
          <w:p>
            <w:pPr>
              <w:spacing w:after="0"/>
              <w:rPr>
                <w:sz w:val="1"/>
                <w:szCs w:val="1"/>
                <w:color w:val="auto"/>
              </w:rPr>
            </w:pPr>
          </w:p>
        </w:tc>
      </w:tr>
      <w:tr>
        <w:trPr>
          <w:trHeight w:val="131"/>
        </w:trPr>
        <w:tc>
          <w:tcPr>
            <w:tcW w:w="2800" w:type="dxa"/>
            <w:vAlign w:val="bottom"/>
          </w:tcPr>
          <w:p>
            <w:pPr>
              <w:ind w:left="120"/>
              <w:spacing w:after="0"/>
              <w:rPr>
                <w:sz w:val="20"/>
                <w:szCs w:val="20"/>
                <w:color w:val="auto"/>
              </w:rPr>
            </w:pPr>
            <w:r>
              <w:rPr>
                <w:rFonts w:ascii="Arial" w:cs="Arial" w:eastAsia="Arial" w:hAnsi="Arial"/>
                <w:sz w:val="10"/>
                <w:szCs w:val="10"/>
                <w:color w:val="auto"/>
              </w:rPr>
              <w:t>Marketable debt securities</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7,076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1,551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8,609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8,103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972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9,046</w:t>
            </w:r>
          </w:p>
        </w:tc>
        <w:tc>
          <w:tcPr>
            <w:tcW w:w="0" w:type="dxa"/>
            <w:vAlign w:val="bottom"/>
          </w:tcPr>
          <w:p>
            <w:pPr>
              <w:spacing w:after="0"/>
              <w:rPr>
                <w:sz w:val="1"/>
                <w:szCs w:val="1"/>
                <w:color w:val="auto"/>
              </w:rPr>
            </w:pPr>
          </w:p>
        </w:tc>
      </w:tr>
      <w:tr>
        <w:trPr>
          <w:trHeight w:val="145"/>
        </w:trPr>
        <w:tc>
          <w:tcPr>
            <w:tcW w:w="2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Accounts and notes receivable, net(b)</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7,553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532</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7,394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7,951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1,035</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8,035</w:t>
            </w:r>
          </w:p>
        </w:tc>
        <w:tc>
          <w:tcPr>
            <w:tcW w:w="0" w:type="dxa"/>
            <w:vAlign w:val="bottom"/>
          </w:tcPr>
          <w:p>
            <w:pPr>
              <w:spacing w:after="0"/>
              <w:rPr>
                <w:sz w:val="1"/>
                <w:szCs w:val="1"/>
                <w:color w:val="auto"/>
              </w:rPr>
            </w:pPr>
          </w:p>
        </w:tc>
      </w:tr>
      <w:tr>
        <w:trPr>
          <w:trHeight w:val="131"/>
        </w:trPr>
        <w:tc>
          <w:tcPr>
            <w:tcW w:w="2800" w:type="dxa"/>
            <w:vAlign w:val="bottom"/>
          </w:tcPr>
          <w:p>
            <w:pPr>
              <w:ind w:left="120"/>
              <w:spacing w:after="0"/>
              <w:rPr>
                <w:sz w:val="20"/>
                <w:szCs w:val="20"/>
                <w:color w:val="auto"/>
              </w:rPr>
            </w:pPr>
            <w:r>
              <w:rPr>
                <w:rFonts w:ascii="Arial" w:cs="Arial" w:eastAsia="Arial" w:hAnsi="Arial"/>
                <w:sz w:val="10"/>
                <w:szCs w:val="10"/>
                <w:color w:val="auto"/>
              </w:rPr>
              <w:t>GM Financial receivables, net(c)</w:t>
            </w:r>
          </w:p>
        </w:tc>
        <w:tc>
          <w:tcPr>
            <w:tcW w:w="12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26,812</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(163)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26,649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26,607</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(398)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26,209</w:t>
            </w:r>
          </w:p>
        </w:tc>
        <w:tc>
          <w:tcPr>
            <w:tcW w:w="0" w:type="dxa"/>
            <w:vAlign w:val="bottom"/>
          </w:tcPr>
          <w:p>
            <w:pPr>
              <w:spacing w:after="0"/>
              <w:rPr>
                <w:sz w:val="1"/>
                <w:szCs w:val="1"/>
                <w:color w:val="auto"/>
              </w:rPr>
            </w:pPr>
          </w:p>
        </w:tc>
      </w:tr>
      <w:tr>
        <w:trPr>
          <w:trHeight w:val="145"/>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Inventories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12,990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12,988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10,236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10,235</w:t>
            </w:r>
          </w:p>
        </w:tc>
        <w:tc>
          <w:tcPr>
            <w:tcW w:w="0" w:type="dxa"/>
            <w:vAlign w:val="bottom"/>
          </w:tcPr>
          <w:p>
            <w:pPr>
              <w:spacing w:after="0"/>
              <w:rPr>
                <w:sz w:val="1"/>
                <w:szCs w:val="1"/>
                <w:color w:val="auto"/>
              </w:rPr>
            </w:pPr>
          </w:p>
        </w:tc>
      </w:tr>
      <w:tr>
        <w:trPr>
          <w:trHeight w:val="131"/>
        </w:trPr>
        <w:tc>
          <w:tcPr>
            <w:tcW w:w="280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Other current assets</w:t>
            </w: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2,167</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179</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4,301</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(250)</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6,396</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1,884</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5,524</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7,407</w:t>
            </w:r>
          </w:p>
        </w:tc>
        <w:tc>
          <w:tcPr>
            <w:tcW w:w="0" w:type="dxa"/>
            <w:vAlign w:val="bottom"/>
          </w:tcPr>
          <w:p>
            <w:pPr>
              <w:spacing w:after="0"/>
              <w:rPr>
                <w:sz w:val="1"/>
                <w:szCs w:val="1"/>
                <w:color w:val="auto"/>
              </w:rPr>
            </w:pPr>
          </w:p>
        </w:tc>
      </w:tr>
      <w:tr>
        <w:trPr>
          <w:trHeight w:val="136"/>
        </w:trPr>
        <w:tc>
          <w:tcPr>
            <w:tcW w:w="2800" w:type="dxa"/>
            <w:vAlign w:val="bottom"/>
            <w:shd w:val="clear" w:color="auto" w:fill="CCEEFF"/>
          </w:tcPr>
          <w:p>
            <w:pPr>
              <w:ind w:left="120"/>
              <w:spacing w:after="0" w:line="111" w:lineRule="exact"/>
              <w:rPr>
                <w:sz w:val="20"/>
                <w:szCs w:val="20"/>
                <w:color w:val="auto"/>
              </w:rPr>
            </w:pPr>
            <w:r>
              <w:rPr>
                <w:rFonts w:ascii="Arial" w:cs="Arial" w:eastAsia="Arial" w:hAnsi="Arial"/>
                <w:sz w:val="10"/>
                <w:szCs w:val="10"/>
                <w:color w:val="auto"/>
              </w:rPr>
              <w:t>Total current assets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44,326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3,309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35,592</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82,103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42,342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1,769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38,228</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(1,414)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80,924</w:t>
            </w:r>
          </w:p>
        </w:tc>
        <w:tc>
          <w:tcPr>
            <w:tcW w:w="0" w:type="dxa"/>
            <w:vAlign w:val="bottom"/>
          </w:tcPr>
          <w:p>
            <w:pPr>
              <w:spacing w:after="0"/>
              <w:rPr>
                <w:sz w:val="1"/>
                <w:szCs w:val="1"/>
                <w:color w:val="auto"/>
              </w:rPr>
            </w:pPr>
          </w:p>
        </w:tc>
      </w:tr>
      <w:tr>
        <w:trPr>
          <w:trHeight w:val="134"/>
        </w:trPr>
        <w:tc>
          <w:tcPr>
            <w:tcW w:w="2800" w:type="dxa"/>
            <w:vAlign w:val="bottom"/>
          </w:tcPr>
          <w:p>
            <w:pPr>
              <w:ind w:left="20"/>
              <w:spacing w:after="0"/>
              <w:rPr>
                <w:sz w:val="20"/>
                <w:szCs w:val="20"/>
                <w:color w:val="auto"/>
              </w:rPr>
            </w:pPr>
            <w:r>
              <w:rPr>
                <w:rFonts w:ascii="Arial" w:cs="Arial" w:eastAsia="Arial" w:hAnsi="Arial"/>
                <w:sz w:val="10"/>
                <w:szCs w:val="10"/>
                <w:b w:val="1"/>
                <w:bCs w:val="1"/>
                <w:color w:val="auto"/>
              </w:rPr>
              <w:t>Non-current Assets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GM Financial receivables, net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36,167</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36,167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31,783</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31,783</w:t>
            </w:r>
          </w:p>
        </w:tc>
        <w:tc>
          <w:tcPr>
            <w:tcW w:w="0" w:type="dxa"/>
            <w:vAlign w:val="bottom"/>
          </w:tcPr>
          <w:p>
            <w:pPr>
              <w:spacing w:after="0"/>
              <w:rPr>
                <w:sz w:val="1"/>
                <w:szCs w:val="1"/>
                <w:color w:val="auto"/>
              </w:rPr>
            </w:pPr>
          </w:p>
        </w:tc>
      </w:tr>
      <w:tr>
        <w:trPr>
          <w:trHeight w:val="131"/>
        </w:trPr>
        <w:tc>
          <w:tcPr>
            <w:tcW w:w="2800" w:type="dxa"/>
            <w:vAlign w:val="bottom"/>
          </w:tcPr>
          <w:p>
            <w:pPr>
              <w:ind w:left="100"/>
              <w:spacing w:after="0"/>
              <w:rPr>
                <w:sz w:val="20"/>
                <w:szCs w:val="20"/>
                <w:color w:val="auto"/>
              </w:rPr>
            </w:pPr>
            <w:r>
              <w:rPr>
                <w:rFonts w:ascii="Arial" w:cs="Arial" w:eastAsia="Arial" w:hAnsi="Arial"/>
                <w:sz w:val="10"/>
                <w:szCs w:val="10"/>
                <w:color w:val="auto"/>
              </w:rPr>
              <w:t>Equity in net assets of nonconsolidated affiliates</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7,960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1,717</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9,677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6,825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1,581</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8,406</w:t>
            </w:r>
          </w:p>
        </w:tc>
        <w:tc>
          <w:tcPr>
            <w:tcW w:w="0" w:type="dxa"/>
            <w:vAlign w:val="bottom"/>
          </w:tcPr>
          <w:p>
            <w:pPr>
              <w:spacing w:after="0"/>
              <w:rPr>
                <w:sz w:val="1"/>
                <w:szCs w:val="1"/>
                <w:color w:val="auto"/>
              </w:rPr>
            </w:pPr>
          </w:p>
        </w:tc>
      </w:tr>
      <w:tr>
        <w:trPr>
          <w:trHeight w:val="145"/>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Property, net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40,858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152</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41,115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37,325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184</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37,632</w:t>
            </w:r>
          </w:p>
        </w:tc>
        <w:tc>
          <w:tcPr>
            <w:tcW w:w="0" w:type="dxa"/>
            <w:vAlign w:val="bottom"/>
          </w:tcPr>
          <w:p>
            <w:pPr>
              <w:spacing w:after="0"/>
              <w:rPr>
                <w:sz w:val="1"/>
                <w:szCs w:val="1"/>
                <w:color w:val="auto"/>
              </w:rPr>
            </w:pPr>
          </w:p>
        </w:tc>
      </w:tr>
      <w:tr>
        <w:trPr>
          <w:trHeight w:val="131"/>
        </w:trPr>
        <w:tc>
          <w:tcPr>
            <w:tcW w:w="2800" w:type="dxa"/>
            <w:vAlign w:val="bottom"/>
          </w:tcPr>
          <w:p>
            <w:pPr>
              <w:ind w:left="120"/>
              <w:spacing w:after="0"/>
              <w:rPr>
                <w:sz w:val="20"/>
                <w:szCs w:val="20"/>
                <w:color w:val="auto"/>
              </w:rPr>
            </w:pPr>
            <w:r>
              <w:rPr>
                <w:rFonts w:ascii="Arial" w:cs="Arial" w:eastAsia="Arial" w:hAnsi="Arial"/>
                <w:sz w:val="10"/>
                <w:szCs w:val="10"/>
                <w:color w:val="auto"/>
              </w:rPr>
              <w:t>Goodwill and intangible assets, net</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3,012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736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1,339</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5,087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3,152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735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1,343</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5,230</w:t>
            </w:r>
          </w:p>
        </w:tc>
        <w:tc>
          <w:tcPr>
            <w:tcW w:w="0" w:type="dxa"/>
            <w:vAlign w:val="bottom"/>
          </w:tcPr>
          <w:p>
            <w:pPr>
              <w:spacing w:after="0"/>
              <w:rPr>
                <w:sz w:val="1"/>
                <w:szCs w:val="1"/>
                <w:color w:val="auto"/>
              </w:rPr>
            </w:pPr>
          </w:p>
        </w:tc>
      </w:tr>
      <w:tr>
        <w:trPr>
          <w:trHeight w:val="145"/>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Equipment on operating leases, net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37,929</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37,929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39,819</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39,819</w:t>
            </w:r>
          </w:p>
        </w:tc>
        <w:tc>
          <w:tcPr>
            <w:tcW w:w="0" w:type="dxa"/>
            <w:vAlign w:val="bottom"/>
          </w:tcPr>
          <w:p>
            <w:pPr>
              <w:spacing w:after="0"/>
              <w:rPr>
                <w:sz w:val="1"/>
                <w:szCs w:val="1"/>
                <w:color w:val="auto"/>
              </w:rPr>
            </w:pPr>
          </w:p>
        </w:tc>
      </w:tr>
      <w:tr>
        <w:trPr>
          <w:trHeight w:val="131"/>
        </w:trPr>
        <w:tc>
          <w:tcPr>
            <w:tcW w:w="2800" w:type="dxa"/>
            <w:vAlign w:val="bottom"/>
          </w:tcPr>
          <w:p>
            <w:pPr>
              <w:ind w:left="120"/>
              <w:spacing w:after="0"/>
              <w:rPr>
                <w:sz w:val="20"/>
                <w:szCs w:val="20"/>
                <w:color w:val="auto"/>
              </w:rPr>
            </w:pPr>
            <w:r>
              <w:rPr>
                <w:rFonts w:ascii="Arial" w:cs="Arial" w:eastAsia="Arial" w:hAnsi="Arial"/>
                <w:sz w:val="10"/>
                <w:szCs w:val="10"/>
                <w:color w:val="auto"/>
              </w:rPr>
              <w:t>Deferred income taxes</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21,653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(501)</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21,152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23,853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617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(334)</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24,136</w:t>
            </w:r>
          </w:p>
        </w:tc>
        <w:tc>
          <w:tcPr>
            <w:tcW w:w="0" w:type="dxa"/>
            <w:vAlign w:val="bottom"/>
          </w:tcPr>
          <w:p>
            <w:pPr>
              <w:spacing w:after="0"/>
              <w:rPr>
                <w:sz w:val="1"/>
                <w:szCs w:val="1"/>
                <w:color w:val="auto"/>
              </w:rPr>
            </w:pPr>
          </w:p>
        </w:tc>
      </w:tr>
      <w:tr>
        <w:trPr>
          <w:trHeight w:val="145"/>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assets</w:t>
            </w: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10,358</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339</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812</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11,488</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6,129</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382</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805</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7,264</w:t>
            </w:r>
          </w:p>
        </w:tc>
        <w:tc>
          <w:tcPr>
            <w:tcW w:w="0" w:type="dxa"/>
            <w:vAlign w:val="bottom"/>
          </w:tcPr>
          <w:p>
            <w:pPr>
              <w:spacing w:after="0"/>
              <w:rPr>
                <w:sz w:val="1"/>
                <w:szCs w:val="1"/>
                <w:color w:val="auto"/>
              </w:rPr>
            </w:pPr>
          </w:p>
        </w:tc>
      </w:tr>
      <w:tr>
        <w:trPr>
          <w:trHeight w:val="121"/>
        </w:trPr>
        <w:tc>
          <w:tcPr>
            <w:tcW w:w="2800" w:type="dxa"/>
            <w:vAlign w:val="bottom"/>
            <w:tcBorders>
              <w:bottom w:val="single" w:sz="8" w:color="CCEEFF"/>
            </w:tcBorders>
          </w:tcPr>
          <w:p>
            <w:pPr>
              <w:ind w:left="120"/>
              <w:spacing w:after="0" w:line="104" w:lineRule="exact"/>
              <w:rPr>
                <w:sz w:val="20"/>
                <w:szCs w:val="20"/>
                <w:color w:val="auto"/>
              </w:rPr>
            </w:pPr>
            <w:r>
              <w:rPr>
                <w:rFonts w:ascii="Arial" w:cs="Arial" w:eastAsia="Arial" w:hAnsi="Arial"/>
                <w:sz w:val="10"/>
                <w:szCs w:val="10"/>
                <w:color w:val="auto"/>
              </w:rPr>
              <w:t>Total non-current assets</w:t>
            </w: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83,842</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1,180</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77,615</w:t>
            </w:r>
          </w:p>
        </w:tc>
        <w:tc>
          <w:tcPr>
            <w:tcW w:w="10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w:t>
            </w: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162,615</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77,284</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1,856</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75,182</w:t>
            </w:r>
          </w:p>
        </w:tc>
        <w:tc>
          <w:tcPr>
            <w:tcW w:w="10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154,270</w:t>
            </w:r>
          </w:p>
        </w:tc>
        <w:tc>
          <w:tcPr>
            <w:tcW w:w="0" w:type="dxa"/>
            <w:vAlign w:val="bottom"/>
          </w:tcPr>
          <w:p>
            <w:pPr>
              <w:spacing w:after="0"/>
              <w:rPr>
                <w:sz w:val="1"/>
                <w:szCs w:val="1"/>
                <w:color w:val="auto"/>
              </w:rPr>
            </w:pPr>
          </w:p>
        </w:tc>
      </w:tr>
      <w:tr>
        <w:trPr>
          <w:trHeight w:val="154"/>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128,167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4,489</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113,207</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(1,145)</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244,718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119,625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3,625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113,410</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(1,466)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235,194</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vMerge w:val="restart"/>
          </w:tcPr>
          <w:p>
            <w:pPr>
              <w:ind w:left="800"/>
              <w:spacing w:after="0"/>
              <w:rPr>
                <w:sz w:val="20"/>
                <w:szCs w:val="20"/>
                <w:color w:val="auto"/>
              </w:rPr>
            </w:pPr>
            <w:r>
              <w:rPr>
                <w:rFonts w:ascii="Arial" w:cs="Arial" w:eastAsia="Arial" w:hAnsi="Arial"/>
                <w:sz w:val="10"/>
                <w:szCs w:val="10"/>
                <w:b w:val="1"/>
                <w:bCs w:val="1"/>
                <w:color w:val="auto"/>
              </w:rPr>
              <w:t>LIABILITIES AND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Current Liabilities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00" w:type="dxa"/>
            <w:vAlign w:val="bottom"/>
          </w:tcPr>
          <w:p>
            <w:pPr>
              <w:ind w:left="120"/>
              <w:spacing w:after="0"/>
              <w:rPr>
                <w:sz w:val="20"/>
                <w:szCs w:val="20"/>
                <w:color w:val="auto"/>
              </w:rPr>
            </w:pPr>
            <w:r>
              <w:rPr>
                <w:rFonts w:ascii="Arial" w:cs="Arial" w:eastAsia="Arial" w:hAnsi="Arial"/>
                <w:sz w:val="10"/>
                <w:szCs w:val="10"/>
                <w:color w:val="auto"/>
              </w:rPr>
              <w:t>Accounts payable (principally trade)(b)</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20,065</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140</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855</w:t>
            </w:r>
          </w:p>
        </w:tc>
        <w:tc>
          <w:tcPr>
            <w:tcW w:w="100" w:type="dxa"/>
            <w:vAlign w:val="bottom"/>
          </w:tcPr>
          <w:p>
            <w:pPr>
              <w:spacing w:after="0"/>
              <w:rPr>
                <w:sz w:val="11"/>
                <w:szCs w:val="11"/>
                <w:color w:val="auto"/>
              </w:rPr>
            </w:pPr>
          </w:p>
        </w:tc>
        <w:tc>
          <w:tcPr>
            <w:tcW w:w="440" w:type="dxa"/>
            <w:vAlign w:val="bottom"/>
          </w:tcPr>
          <w:p>
            <w:pPr>
              <w:ind w:left="2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(669)</w:t>
            </w:r>
          </w:p>
        </w:tc>
        <w:tc>
          <w:tcPr>
            <w:tcW w:w="10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20,391</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19,928</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93</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867</w:t>
            </w:r>
          </w:p>
        </w:tc>
        <w:tc>
          <w:tcPr>
            <w:tcW w:w="100" w:type="dxa"/>
            <w:vAlign w:val="bottom"/>
          </w:tcPr>
          <w:p>
            <w:pPr>
              <w:spacing w:after="0"/>
              <w:rPr>
                <w:sz w:val="11"/>
                <w:szCs w:val="11"/>
                <w:color w:val="auto"/>
              </w:rPr>
            </w:pPr>
          </w:p>
        </w:tc>
        <w:tc>
          <w:tcPr>
            <w:tcW w:w="440" w:type="dxa"/>
            <w:vAlign w:val="bottom"/>
          </w:tcPr>
          <w:p>
            <w:pPr>
              <w:ind w:left="20"/>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(959)</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19,928</w:t>
            </w:r>
          </w:p>
        </w:tc>
        <w:tc>
          <w:tcPr>
            <w:tcW w:w="0" w:type="dxa"/>
            <w:vAlign w:val="bottom"/>
          </w:tcPr>
          <w:p>
            <w:pPr>
              <w:spacing w:after="0"/>
              <w:rPr>
                <w:sz w:val="1"/>
                <w:szCs w:val="1"/>
                <w:color w:val="auto"/>
              </w:rPr>
            </w:pPr>
          </w:p>
        </w:tc>
      </w:tr>
      <w:tr>
        <w:trPr>
          <w:trHeight w:val="145"/>
        </w:trPr>
        <w:tc>
          <w:tcPr>
            <w:tcW w:w="2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Short-term debt and current portion of long-term debt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00" w:type="dxa"/>
            <w:vAlign w:val="bottom"/>
          </w:tcPr>
          <w:p>
            <w:pPr>
              <w:ind w:left="200"/>
              <w:spacing w:after="0"/>
              <w:rPr>
                <w:sz w:val="20"/>
                <w:szCs w:val="20"/>
                <w:color w:val="auto"/>
              </w:rPr>
            </w:pPr>
            <w:r>
              <w:rPr>
                <w:rFonts w:ascii="Arial" w:cs="Arial" w:eastAsia="Arial" w:hAnsi="Arial"/>
                <w:sz w:val="10"/>
                <w:szCs w:val="10"/>
                <w:color w:val="auto"/>
              </w:rPr>
              <w:t>Automotive(c)</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624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27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(188)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463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1,674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(398)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1,276</w:t>
            </w:r>
          </w:p>
        </w:tc>
        <w:tc>
          <w:tcPr>
            <w:tcW w:w="0" w:type="dxa"/>
            <w:vAlign w:val="bottom"/>
          </w:tcPr>
          <w:p>
            <w:pPr>
              <w:spacing w:after="0"/>
              <w:rPr>
                <w:sz w:val="1"/>
                <w:szCs w:val="1"/>
                <w:color w:val="auto"/>
              </w:rPr>
            </w:pPr>
          </w:p>
        </w:tc>
      </w:tr>
      <w:tr>
        <w:trPr>
          <w:trHeight w:val="145"/>
        </w:trPr>
        <w:tc>
          <w:tcPr>
            <w:tcW w:w="2800" w:type="dxa"/>
            <w:vAlign w:val="bottom"/>
            <w:shd w:val="clear" w:color="auto" w:fill="CCEEFF"/>
          </w:tcPr>
          <w:p>
            <w:pPr>
              <w:ind w:left="200"/>
              <w:spacing w:after="0"/>
              <w:rPr>
                <w:sz w:val="20"/>
                <w:szCs w:val="20"/>
                <w:color w:val="auto"/>
              </w:rPr>
            </w:pPr>
            <w:r>
              <w:rPr>
                <w:rFonts w:ascii="Arial" w:cs="Arial" w:eastAsia="Arial" w:hAnsi="Arial"/>
                <w:sz w:val="10"/>
                <w:szCs w:val="10"/>
                <w:color w:val="auto"/>
              </w:rPr>
              <w:t>GM Financial</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33,257</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33,257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35,637</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35,637</w:t>
            </w:r>
          </w:p>
        </w:tc>
        <w:tc>
          <w:tcPr>
            <w:tcW w:w="0" w:type="dxa"/>
            <w:vAlign w:val="bottom"/>
          </w:tcPr>
          <w:p>
            <w:pPr>
              <w:spacing w:after="0"/>
              <w:rPr>
                <w:sz w:val="1"/>
                <w:szCs w:val="1"/>
                <w:color w:val="auto"/>
              </w:rPr>
            </w:pPr>
          </w:p>
        </w:tc>
      </w:tr>
      <w:tr>
        <w:trPr>
          <w:trHeight w:val="131"/>
        </w:trPr>
        <w:tc>
          <w:tcPr>
            <w:tcW w:w="280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Accrued liabilities</w:t>
            </w: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16,879</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230</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3,439</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(251)</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20,297</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18,751</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133</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4,218</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23,069</w:t>
            </w:r>
          </w:p>
        </w:tc>
        <w:tc>
          <w:tcPr>
            <w:tcW w:w="0" w:type="dxa"/>
            <w:vAlign w:val="bottom"/>
          </w:tcPr>
          <w:p>
            <w:pPr>
              <w:spacing w:after="0"/>
              <w:rPr>
                <w:sz w:val="1"/>
                <w:szCs w:val="1"/>
                <w:color w:val="auto"/>
              </w:rPr>
            </w:pPr>
          </w:p>
        </w:tc>
      </w:tr>
      <w:tr>
        <w:trPr>
          <w:trHeight w:val="136"/>
        </w:trPr>
        <w:tc>
          <w:tcPr>
            <w:tcW w:w="2800" w:type="dxa"/>
            <w:vAlign w:val="bottom"/>
            <w:shd w:val="clear" w:color="auto" w:fill="CCEEFF"/>
          </w:tcPr>
          <w:p>
            <w:pPr>
              <w:ind w:left="120"/>
              <w:spacing w:after="0" w:line="111" w:lineRule="exact"/>
              <w:rPr>
                <w:sz w:val="20"/>
                <w:szCs w:val="20"/>
                <w:color w:val="auto"/>
              </w:rPr>
            </w:pPr>
            <w:r>
              <w:rPr>
                <w:rFonts w:ascii="Arial" w:cs="Arial" w:eastAsia="Arial" w:hAnsi="Arial"/>
                <w:sz w:val="10"/>
                <w:szCs w:val="10"/>
                <w:color w:val="auto"/>
              </w:rPr>
              <w:t>Total current liabilities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37,568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397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37,550</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74,408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40,353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40,722</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79,910</w:t>
            </w:r>
          </w:p>
        </w:tc>
        <w:tc>
          <w:tcPr>
            <w:tcW w:w="0" w:type="dxa"/>
            <w:vAlign w:val="bottom"/>
          </w:tcPr>
          <w:p>
            <w:pPr>
              <w:spacing w:after="0"/>
              <w:rPr>
                <w:sz w:val="1"/>
                <w:szCs w:val="1"/>
                <w:color w:val="auto"/>
              </w:rPr>
            </w:pPr>
          </w:p>
        </w:tc>
      </w:tr>
      <w:tr>
        <w:trPr>
          <w:trHeight w:val="134"/>
        </w:trPr>
        <w:tc>
          <w:tcPr>
            <w:tcW w:w="2800" w:type="dxa"/>
            <w:vAlign w:val="bottom"/>
          </w:tcPr>
          <w:p>
            <w:pPr>
              <w:ind w:left="20"/>
              <w:spacing w:after="0"/>
              <w:rPr>
                <w:sz w:val="20"/>
                <w:szCs w:val="20"/>
                <w:color w:val="auto"/>
              </w:rPr>
            </w:pPr>
            <w:r>
              <w:rPr>
                <w:rFonts w:ascii="Arial" w:cs="Arial" w:eastAsia="Arial" w:hAnsi="Arial"/>
                <w:sz w:val="10"/>
                <w:szCs w:val="10"/>
                <w:b w:val="1"/>
                <w:bCs w:val="1"/>
                <w:color w:val="auto"/>
              </w:rPr>
              <w:t>Non-current Liabilities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Long-term debt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00" w:type="dxa"/>
            <w:vAlign w:val="bottom"/>
          </w:tcPr>
          <w:p>
            <w:pPr>
              <w:ind w:left="220"/>
              <w:spacing w:after="0"/>
              <w:rPr>
                <w:sz w:val="20"/>
                <w:szCs w:val="20"/>
                <w:color w:val="auto"/>
              </w:rPr>
            </w:pPr>
            <w:r>
              <w:rPr>
                <w:rFonts w:ascii="Arial" w:cs="Arial" w:eastAsia="Arial" w:hAnsi="Arial"/>
                <w:sz w:val="10"/>
                <w:szCs w:val="10"/>
                <w:color w:val="auto"/>
              </w:rPr>
              <w:t>Automotive</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16,348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16,355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16,193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16,193</w:t>
            </w:r>
          </w:p>
        </w:tc>
        <w:tc>
          <w:tcPr>
            <w:tcW w:w="0" w:type="dxa"/>
            <w:vAlign w:val="bottom"/>
          </w:tcPr>
          <w:p>
            <w:pPr>
              <w:spacing w:after="0"/>
              <w:rPr>
                <w:sz w:val="1"/>
                <w:szCs w:val="1"/>
                <w:color w:val="auto"/>
              </w:rPr>
            </w:pPr>
          </w:p>
        </w:tc>
      </w:tr>
      <w:tr>
        <w:trPr>
          <w:trHeight w:val="145"/>
        </w:trPr>
        <w:tc>
          <w:tcPr>
            <w:tcW w:w="28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GM Financial</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59,304</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59,304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56,788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56,788</w:t>
            </w:r>
          </w:p>
        </w:tc>
        <w:tc>
          <w:tcPr>
            <w:tcW w:w="0" w:type="dxa"/>
            <w:vAlign w:val="bottom"/>
          </w:tcPr>
          <w:p>
            <w:pPr>
              <w:spacing w:after="0"/>
              <w:rPr>
                <w:sz w:val="1"/>
                <w:szCs w:val="1"/>
                <w:color w:val="auto"/>
              </w:rPr>
            </w:pPr>
          </w:p>
        </w:tc>
      </w:tr>
      <w:tr>
        <w:trPr>
          <w:trHeight w:val="131"/>
        </w:trPr>
        <w:tc>
          <w:tcPr>
            <w:tcW w:w="2800" w:type="dxa"/>
            <w:vAlign w:val="bottom"/>
          </w:tcPr>
          <w:p>
            <w:pPr>
              <w:ind w:left="120"/>
              <w:spacing w:after="0"/>
              <w:rPr>
                <w:sz w:val="20"/>
                <w:szCs w:val="20"/>
                <w:color w:val="auto"/>
              </w:rPr>
            </w:pPr>
            <w:r>
              <w:rPr>
                <w:rFonts w:ascii="Arial" w:cs="Arial" w:eastAsia="Arial" w:hAnsi="Arial"/>
                <w:sz w:val="10"/>
                <w:szCs w:val="10"/>
                <w:color w:val="auto"/>
              </w:rPr>
              <w:t>Postretirement benefits other than pensions</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5,743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5,743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6,277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6,277</w:t>
            </w:r>
          </w:p>
        </w:tc>
        <w:tc>
          <w:tcPr>
            <w:tcW w:w="0" w:type="dxa"/>
            <w:vAlign w:val="bottom"/>
          </w:tcPr>
          <w:p>
            <w:pPr>
              <w:spacing w:after="0"/>
              <w:rPr>
                <w:sz w:val="1"/>
                <w:szCs w:val="1"/>
                <w:color w:val="auto"/>
              </w:rPr>
            </w:pPr>
          </w:p>
        </w:tc>
      </w:tr>
      <w:tr>
        <w:trPr>
          <w:trHeight w:val="145"/>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Pensions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8,002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8,008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12,897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12,902</w:t>
            </w:r>
          </w:p>
        </w:tc>
        <w:tc>
          <w:tcPr>
            <w:tcW w:w="0" w:type="dxa"/>
            <w:vAlign w:val="bottom"/>
          </w:tcPr>
          <w:p>
            <w:pPr>
              <w:spacing w:after="0"/>
              <w:rPr>
                <w:sz w:val="1"/>
                <w:szCs w:val="1"/>
                <w:color w:val="auto"/>
              </w:rPr>
            </w:pPr>
          </w:p>
        </w:tc>
      </w:tr>
      <w:tr>
        <w:trPr>
          <w:trHeight w:val="131"/>
        </w:trPr>
        <w:tc>
          <w:tcPr>
            <w:tcW w:w="280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Other liabilities</w:t>
            </w: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12,560</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488</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2,058</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15,085</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11,151</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539</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1,810</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13,447</w:t>
            </w:r>
          </w:p>
        </w:tc>
        <w:tc>
          <w:tcPr>
            <w:tcW w:w="0" w:type="dxa"/>
            <w:vAlign w:val="bottom"/>
          </w:tcPr>
          <w:p>
            <w:pPr>
              <w:spacing w:after="0"/>
              <w:rPr>
                <w:sz w:val="1"/>
                <w:szCs w:val="1"/>
                <w:color w:val="auto"/>
              </w:rPr>
            </w:pPr>
          </w:p>
        </w:tc>
      </w:tr>
      <w:tr>
        <w:trPr>
          <w:trHeight w:val="136"/>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Total non-current liabilities</w:t>
            </w:r>
          </w:p>
        </w:tc>
        <w:tc>
          <w:tcPr>
            <w:tcW w:w="1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42,654</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495</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61,368</w:t>
            </w:r>
          </w:p>
        </w:tc>
        <w:tc>
          <w:tcPr>
            <w:tcW w:w="10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104,495</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46,519</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539</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58,602</w:t>
            </w:r>
          </w:p>
        </w:tc>
        <w:tc>
          <w:tcPr>
            <w:tcW w:w="10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105,607</w:t>
            </w:r>
          </w:p>
        </w:tc>
        <w:tc>
          <w:tcPr>
            <w:tcW w:w="0" w:type="dxa"/>
            <w:vAlign w:val="bottom"/>
          </w:tcPr>
          <w:p>
            <w:pPr>
              <w:spacing w:after="0"/>
              <w:rPr>
                <w:sz w:val="1"/>
                <w:szCs w:val="1"/>
                <w:color w:val="auto"/>
              </w:rPr>
            </w:pPr>
          </w:p>
        </w:tc>
      </w:tr>
      <w:tr>
        <w:trPr>
          <w:trHeight w:val="121"/>
        </w:trPr>
        <w:tc>
          <w:tcPr>
            <w:tcW w:w="2800" w:type="dxa"/>
            <w:vAlign w:val="bottom"/>
          </w:tcPr>
          <w:p>
            <w:pPr>
              <w:ind w:left="20"/>
              <w:spacing w:after="0" w:line="110" w:lineRule="exact"/>
              <w:rPr>
                <w:sz w:val="20"/>
                <w:szCs w:val="20"/>
                <w:color w:val="auto"/>
              </w:rPr>
            </w:pPr>
            <w:r>
              <w:rPr>
                <w:rFonts w:ascii="Arial" w:cs="Arial" w:eastAsia="Arial" w:hAnsi="Arial"/>
                <w:sz w:val="10"/>
                <w:szCs w:val="10"/>
                <w:b w:val="1"/>
                <w:bCs w:val="1"/>
                <w:color w:val="auto"/>
              </w:rPr>
              <w:t>Total Liabilities</w:t>
            </w:r>
          </w:p>
        </w:tc>
        <w:tc>
          <w:tcPr>
            <w:tcW w:w="120" w:type="dxa"/>
            <w:vAlign w:val="bottom"/>
          </w:tcPr>
          <w:p>
            <w:pPr>
              <w:spacing w:after="0"/>
              <w:rPr>
                <w:sz w:val="10"/>
                <w:szCs w:val="10"/>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80,222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892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98,918</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(1,129)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178,903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86,872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764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99,325</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(1,444)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185,517</w:t>
            </w:r>
          </w:p>
        </w:tc>
        <w:tc>
          <w:tcPr>
            <w:tcW w:w="0" w:type="dxa"/>
            <w:vAlign w:val="bottom"/>
          </w:tcPr>
          <w:p>
            <w:pPr>
              <w:spacing w:after="0"/>
              <w:rPr>
                <w:sz w:val="1"/>
                <w:szCs w:val="1"/>
                <w:color w:val="auto"/>
              </w:rPr>
            </w:pPr>
          </w:p>
        </w:tc>
      </w:tr>
      <w:tr>
        <w:trPr>
          <w:trHeight w:val="145"/>
        </w:trPr>
        <w:tc>
          <w:tcPr>
            <w:tcW w:w="2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Commitments and contingencies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00" w:type="dxa"/>
            <w:vAlign w:val="bottom"/>
          </w:tcPr>
          <w:p>
            <w:pPr>
              <w:ind w:left="20"/>
              <w:spacing w:after="0"/>
              <w:rPr>
                <w:sz w:val="20"/>
                <w:szCs w:val="20"/>
                <w:color w:val="auto"/>
              </w:rPr>
            </w:pPr>
            <w:r>
              <w:rPr>
                <w:rFonts w:ascii="Arial" w:cs="Arial" w:eastAsia="Arial" w:hAnsi="Arial"/>
                <w:sz w:val="10"/>
                <w:szCs w:val="10"/>
                <w:b w:val="1"/>
                <w:bCs w:val="1"/>
                <w:color w:val="auto"/>
              </w:rPr>
              <w:t>Equity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ind w:left="80"/>
              <w:spacing w:after="0"/>
              <w:rPr>
                <w:sz w:val="20"/>
                <w:szCs w:val="20"/>
                <w:color w:val="auto"/>
              </w:rPr>
            </w:pPr>
            <w:r>
              <w:rPr>
                <w:rFonts w:ascii="Arial" w:cs="Arial" w:eastAsia="Arial" w:hAnsi="Arial"/>
                <w:sz w:val="10"/>
                <w:szCs w:val="10"/>
                <w:color w:val="auto"/>
              </w:rPr>
              <w:t>Common stock, $0.01 par value</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31"/>
        </w:trPr>
        <w:tc>
          <w:tcPr>
            <w:tcW w:w="2800" w:type="dxa"/>
            <w:vAlign w:val="bottom"/>
          </w:tcPr>
          <w:p>
            <w:pPr>
              <w:ind w:left="80"/>
              <w:spacing w:after="0"/>
              <w:rPr>
                <w:sz w:val="20"/>
                <w:szCs w:val="20"/>
                <w:color w:val="auto"/>
              </w:rPr>
            </w:pPr>
            <w:r>
              <w:rPr>
                <w:rFonts w:ascii="Arial" w:cs="Arial" w:eastAsia="Arial" w:hAnsi="Arial"/>
                <w:sz w:val="10"/>
                <w:szCs w:val="10"/>
                <w:color w:val="auto"/>
              </w:rPr>
              <w:t>Additional paid-in capital(d)</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27,065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55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1,551</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(1,611)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27,061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26,551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76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1,730</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(1,816)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26,542</w:t>
            </w:r>
          </w:p>
        </w:tc>
        <w:tc>
          <w:tcPr>
            <w:tcW w:w="0" w:type="dxa"/>
            <w:vAlign w:val="bottom"/>
          </w:tcPr>
          <w:p>
            <w:pPr>
              <w:spacing w:after="0"/>
              <w:rPr>
                <w:sz w:val="1"/>
                <w:szCs w:val="1"/>
                <w:color w:val="auto"/>
              </w:rPr>
            </w:pPr>
          </w:p>
        </w:tc>
      </w:tr>
      <w:tr>
        <w:trPr>
          <w:trHeight w:val="145"/>
        </w:trPr>
        <w:tc>
          <w:tcPr>
            <w:tcW w:w="2800" w:type="dxa"/>
            <w:vAlign w:val="bottom"/>
            <w:shd w:val="clear" w:color="auto" w:fill="CCEEFF"/>
          </w:tcPr>
          <w:p>
            <w:pPr>
              <w:ind w:left="80"/>
              <w:spacing w:after="0"/>
              <w:rPr>
                <w:sz w:val="20"/>
                <w:szCs w:val="20"/>
                <w:color w:val="auto"/>
              </w:rPr>
            </w:pPr>
            <w:r>
              <w:rPr>
                <w:rFonts w:ascii="Arial" w:cs="Arial" w:eastAsia="Arial" w:hAnsi="Arial"/>
                <w:sz w:val="10"/>
                <w:szCs w:val="10"/>
                <w:color w:val="auto"/>
              </w:rPr>
              <w:t>Retained earnings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27,920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13,985</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41,937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17,444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13,640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31,962</w:t>
            </w:r>
          </w:p>
        </w:tc>
        <w:tc>
          <w:tcPr>
            <w:tcW w:w="0" w:type="dxa"/>
            <w:vAlign w:val="bottom"/>
          </w:tcPr>
          <w:p>
            <w:pPr>
              <w:spacing w:after="0"/>
              <w:rPr>
                <w:sz w:val="1"/>
                <w:szCs w:val="1"/>
                <w:color w:val="auto"/>
              </w:rPr>
            </w:pPr>
          </w:p>
        </w:tc>
      </w:tr>
      <w:tr>
        <w:trPr>
          <w:trHeight w:val="131"/>
        </w:trPr>
        <w:tc>
          <w:tcPr>
            <w:tcW w:w="2800" w:type="dxa"/>
            <w:vAlign w:val="bottom"/>
          </w:tcPr>
          <w:p>
            <w:pPr>
              <w:ind w:left="80"/>
              <w:spacing w:after="0"/>
              <w:rPr>
                <w:sz w:val="20"/>
                <w:szCs w:val="20"/>
                <w:color w:val="auto"/>
              </w:rPr>
            </w:pPr>
            <w:r>
              <w:rPr>
                <w:rFonts w:ascii="Arial" w:cs="Arial" w:eastAsia="Arial" w:hAnsi="Arial"/>
                <w:sz w:val="10"/>
                <w:szCs w:val="10"/>
                <w:color w:val="auto"/>
              </w:rPr>
              <w:t>Accumulated other comprehensive loss</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(8,025)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(1,248)</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(9,269)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(12,213)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(1,284)</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(13,488)</w:t>
            </w:r>
          </w:p>
        </w:tc>
        <w:tc>
          <w:tcPr>
            <w:tcW w:w="0" w:type="dxa"/>
            <w:vAlign w:val="bottom"/>
          </w:tcPr>
          <w:p>
            <w:pPr>
              <w:spacing w:after="0"/>
              <w:rPr>
                <w:sz w:val="1"/>
                <w:szCs w:val="1"/>
                <w:color w:val="auto"/>
              </w:rPr>
            </w:pPr>
          </w:p>
        </w:tc>
      </w:tr>
      <w:tr>
        <w:trPr>
          <w:trHeight w:val="136"/>
        </w:trPr>
        <w:tc>
          <w:tcPr>
            <w:tcW w:w="280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0"/>
                <w:szCs w:val="10"/>
                <w:color w:val="auto"/>
              </w:rPr>
              <w:t>Total stockholders’ equity</w:t>
            </w: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46,974</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100</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14,288</w:t>
            </w: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(1,620)</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59,744</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31,796</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976</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14,085</w:t>
            </w: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(1,829)</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45,030</w:t>
            </w:r>
          </w:p>
        </w:tc>
        <w:tc>
          <w:tcPr>
            <w:tcW w:w="0" w:type="dxa"/>
            <w:vAlign w:val="bottom"/>
          </w:tcPr>
          <w:p>
            <w:pPr>
              <w:spacing w:after="0"/>
              <w:rPr>
                <w:sz w:val="1"/>
                <w:szCs w:val="1"/>
                <w:color w:val="auto"/>
              </w:rPr>
            </w:pPr>
          </w:p>
        </w:tc>
      </w:tr>
      <w:tr>
        <w:trPr>
          <w:trHeight w:val="131"/>
        </w:trPr>
        <w:tc>
          <w:tcPr>
            <w:tcW w:w="2800" w:type="dxa"/>
            <w:vAlign w:val="bottom"/>
          </w:tcPr>
          <w:p>
            <w:pPr>
              <w:ind w:left="80"/>
              <w:spacing w:after="0"/>
              <w:rPr>
                <w:sz w:val="20"/>
                <w:szCs w:val="20"/>
                <w:color w:val="auto"/>
              </w:rPr>
            </w:pPr>
            <w:r>
              <w:rPr>
                <w:rFonts w:ascii="Arial" w:cs="Arial" w:eastAsia="Arial" w:hAnsi="Arial"/>
                <w:sz w:val="10"/>
                <w:szCs w:val="10"/>
                <w:color w:val="auto"/>
              </w:rPr>
              <w:t>Noncontrolling interests(d)</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971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3,496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1,603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6,071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959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1,884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1,804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4,647</w:t>
            </w:r>
          </w:p>
        </w:tc>
        <w:tc>
          <w:tcPr>
            <w:tcW w:w="0" w:type="dxa"/>
            <w:vAlign w:val="bottom"/>
          </w:tcPr>
          <w:p>
            <w:pPr>
              <w:spacing w:after="0"/>
              <w:rPr>
                <w:sz w:val="1"/>
                <w:szCs w:val="1"/>
                <w:color w:val="auto"/>
              </w:rPr>
            </w:pPr>
          </w:p>
        </w:tc>
      </w:tr>
      <w:tr>
        <w:trPr>
          <w:trHeight w:val="136"/>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Equity</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47,945</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3,597</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14,289</w:t>
            </w: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65,815</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32,754</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2,861</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14,085</w:t>
            </w: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49,677</w:t>
            </w:r>
          </w:p>
        </w:tc>
        <w:tc>
          <w:tcPr>
            <w:tcW w:w="0" w:type="dxa"/>
            <w:vAlign w:val="bottom"/>
          </w:tcPr>
          <w:p>
            <w:pPr>
              <w:spacing w:after="0"/>
              <w:rPr>
                <w:sz w:val="1"/>
                <w:szCs w:val="1"/>
                <w:color w:val="auto"/>
              </w:rPr>
            </w:pPr>
          </w:p>
        </w:tc>
      </w:tr>
      <w:tr>
        <w:trPr>
          <w:trHeight w:val="121"/>
        </w:trPr>
        <w:tc>
          <w:tcPr>
            <w:tcW w:w="2800" w:type="dxa"/>
            <w:vAlign w:val="bottom"/>
          </w:tcPr>
          <w:p>
            <w:pPr>
              <w:ind w:left="20"/>
              <w:spacing w:after="0" w:line="110" w:lineRule="exact"/>
              <w:rPr>
                <w:sz w:val="20"/>
                <w:szCs w:val="20"/>
                <w:color w:val="auto"/>
              </w:rPr>
            </w:pPr>
            <w:r>
              <w:rPr>
                <w:rFonts w:ascii="Arial" w:cs="Arial" w:eastAsia="Arial" w:hAnsi="Arial"/>
                <w:sz w:val="10"/>
                <w:szCs w:val="10"/>
                <w:b w:val="1"/>
                <w:bCs w:val="1"/>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128,167</w:t>
            </w:r>
          </w:p>
        </w:tc>
        <w:tc>
          <w:tcPr>
            <w:tcW w:w="100" w:type="dxa"/>
            <w:vAlign w:val="bottom"/>
          </w:tcPr>
          <w:p>
            <w:pPr>
              <w:spacing w:after="0"/>
              <w:rPr>
                <w:sz w:val="10"/>
                <w:szCs w:val="10"/>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4,489</w:t>
            </w:r>
          </w:p>
        </w:tc>
        <w:tc>
          <w:tcPr>
            <w:tcW w:w="80" w:type="dxa"/>
            <w:vAlign w:val="bottom"/>
          </w:tcPr>
          <w:p>
            <w:pPr>
              <w:spacing w:after="0"/>
              <w:rPr>
                <w:sz w:val="10"/>
                <w:szCs w:val="1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113,207</w:t>
            </w:r>
          </w:p>
        </w:tc>
        <w:tc>
          <w:tcPr>
            <w:tcW w:w="100" w:type="dxa"/>
            <w:vAlign w:val="bottom"/>
          </w:tcPr>
          <w:p>
            <w:pPr>
              <w:spacing w:after="0"/>
              <w:rPr>
                <w:sz w:val="10"/>
                <w:szCs w:val="10"/>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(1,145)</w:t>
            </w:r>
          </w:p>
        </w:tc>
        <w:tc>
          <w:tcPr>
            <w:tcW w:w="100" w:type="dxa"/>
            <w:vAlign w:val="bottom"/>
          </w:tcPr>
          <w:p>
            <w:pPr>
              <w:spacing w:after="0"/>
              <w:rPr>
                <w:sz w:val="10"/>
                <w:szCs w:val="10"/>
                <w:color w:val="auto"/>
              </w:rPr>
            </w:pPr>
          </w:p>
        </w:tc>
        <w:tc>
          <w:tcPr>
            <w:tcW w:w="1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244,718</w:t>
            </w:r>
          </w:p>
        </w:tc>
        <w:tc>
          <w:tcPr>
            <w:tcW w:w="100" w:type="dxa"/>
            <w:vAlign w:val="bottom"/>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119,625</w:t>
            </w:r>
          </w:p>
        </w:tc>
        <w:tc>
          <w:tcPr>
            <w:tcW w:w="100" w:type="dxa"/>
            <w:vAlign w:val="bottom"/>
          </w:tcPr>
          <w:p>
            <w:pPr>
              <w:spacing w:after="0"/>
              <w:rPr>
                <w:sz w:val="10"/>
                <w:szCs w:val="10"/>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3,625</w:t>
            </w:r>
          </w:p>
        </w:tc>
        <w:tc>
          <w:tcPr>
            <w:tcW w:w="100" w:type="dxa"/>
            <w:vAlign w:val="bottom"/>
          </w:tcPr>
          <w:p>
            <w:pPr>
              <w:spacing w:after="0"/>
              <w:rPr>
                <w:sz w:val="10"/>
                <w:szCs w:val="10"/>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113,410</w:t>
            </w:r>
          </w:p>
        </w:tc>
        <w:tc>
          <w:tcPr>
            <w:tcW w:w="100" w:type="dxa"/>
            <w:vAlign w:val="bottom"/>
          </w:tcPr>
          <w:p>
            <w:pPr>
              <w:spacing w:after="0"/>
              <w:rPr>
                <w:sz w:val="10"/>
                <w:szCs w:val="10"/>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(1,466)</w:t>
            </w:r>
          </w:p>
        </w:tc>
        <w:tc>
          <w:tcPr>
            <w:tcW w:w="100" w:type="dxa"/>
            <w:vAlign w:val="bottom"/>
          </w:tcPr>
          <w:p>
            <w:pPr>
              <w:spacing w:after="0"/>
              <w:rPr>
                <w:sz w:val="10"/>
                <w:szCs w:val="10"/>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235,194</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8"/>
          <w:szCs w:val="8"/>
          <w:color w:val="auto"/>
        </w:rPr>
        <w:t>_________</w:t>
      </w:r>
    </w:p>
    <w:p>
      <w:pPr>
        <w:spacing w:after="0" w:line="3" w:lineRule="exact"/>
        <w:rPr>
          <w:sz w:val="20"/>
          <w:szCs w:val="20"/>
          <w:color w:val="auto"/>
        </w:rPr>
      </w:pPr>
    </w:p>
    <w:p>
      <w:pPr>
        <w:ind w:left="260" w:hanging="255"/>
        <w:spacing w:after="0"/>
        <w:tabs>
          <w:tab w:leader="none" w:pos="260" w:val="left"/>
        </w:tabs>
        <w:numPr>
          <w:ilvl w:val="0"/>
          <w:numId w:val="11"/>
        </w:numPr>
        <w:rPr>
          <w:rFonts w:ascii="Arial" w:cs="Arial" w:eastAsia="Arial" w:hAnsi="Arial"/>
          <w:sz w:val="8"/>
          <w:szCs w:val="8"/>
          <w:color w:val="auto"/>
        </w:rPr>
      </w:pPr>
      <w:r>
        <w:rPr>
          <w:rFonts w:ascii="Arial" w:cs="Arial" w:eastAsia="Arial" w:hAnsi="Arial"/>
          <w:sz w:val="8"/>
          <w:szCs w:val="8"/>
          <w:color w:val="auto"/>
        </w:rPr>
        <w:t>Amounts may not sum due to rounding.</w:t>
      </w:r>
    </w:p>
    <w:p>
      <w:pPr>
        <w:spacing w:after="0" w:line="3" w:lineRule="exact"/>
        <w:rPr>
          <w:rFonts w:ascii="Arial" w:cs="Arial" w:eastAsia="Arial" w:hAnsi="Arial"/>
          <w:sz w:val="8"/>
          <w:szCs w:val="8"/>
          <w:color w:val="auto"/>
        </w:rPr>
      </w:pPr>
    </w:p>
    <w:p>
      <w:pPr>
        <w:ind w:left="260" w:hanging="255"/>
        <w:spacing w:after="0" w:line="249" w:lineRule="auto"/>
        <w:tabs>
          <w:tab w:leader="none" w:pos="257" w:val="left"/>
        </w:tabs>
        <w:numPr>
          <w:ilvl w:val="0"/>
          <w:numId w:val="11"/>
        </w:numPr>
        <w:rPr>
          <w:rFonts w:ascii="Arial" w:cs="Arial" w:eastAsia="Arial" w:hAnsi="Arial"/>
          <w:sz w:val="8"/>
          <w:szCs w:val="8"/>
          <w:color w:val="auto"/>
        </w:rPr>
      </w:pPr>
      <w:r>
        <w:rPr>
          <w:rFonts w:ascii="Arial" w:cs="Arial" w:eastAsia="Arial" w:hAnsi="Arial"/>
          <w:sz w:val="8"/>
          <w:szCs w:val="8"/>
          <w:color w:val="auto"/>
        </w:rPr>
        <w:t>Eliminations primarily include GM Financial accounts and notes receivable of $301 million offset by Automotive accounts payable and Automotive accounts receivable of $313 million offset by GM Financial accounts payable at December 31, 2021; and GM Financial accounts receivable of $643 million offset by Automotive accounts payable and Automotive accounts receivable of $268 million offset by GM Financial accounts payable at December 31, 2020.</w:t>
      </w:r>
    </w:p>
    <w:p>
      <w:pPr>
        <w:ind w:left="260" w:hanging="255"/>
        <w:spacing w:after="0"/>
        <w:tabs>
          <w:tab w:leader="none" w:pos="260" w:val="left"/>
        </w:tabs>
        <w:numPr>
          <w:ilvl w:val="0"/>
          <w:numId w:val="11"/>
        </w:numPr>
        <w:rPr>
          <w:rFonts w:ascii="Arial" w:cs="Arial" w:eastAsia="Arial" w:hAnsi="Arial"/>
          <w:sz w:val="8"/>
          <w:szCs w:val="8"/>
          <w:color w:val="auto"/>
        </w:rPr>
      </w:pPr>
      <w:r>
        <w:rPr>
          <w:rFonts w:ascii="Arial" w:cs="Arial" w:eastAsia="Arial" w:hAnsi="Arial"/>
          <w:sz w:val="8"/>
          <w:szCs w:val="8"/>
          <w:color w:val="auto"/>
        </w:rPr>
        <w:t>Eliminations include GM Financial loan receivable of $163 million and $398 million offset by an Automotive loan payable at December 31, 2021 and 2020.</w:t>
      </w:r>
    </w:p>
    <w:p>
      <w:pPr>
        <w:spacing w:after="0" w:line="3" w:lineRule="exact"/>
        <w:rPr>
          <w:rFonts w:ascii="Arial" w:cs="Arial" w:eastAsia="Arial" w:hAnsi="Arial"/>
          <w:sz w:val="8"/>
          <w:szCs w:val="8"/>
          <w:color w:val="auto"/>
        </w:rPr>
      </w:pPr>
    </w:p>
    <w:p>
      <w:pPr>
        <w:ind w:left="260" w:hanging="255"/>
        <w:spacing w:after="0"/>
        <w:tabs>
          <w:tab w:leader="none" w:pos="260" w:val="left"/>
        </w:tabs>
        <w:numPr>
          <w:ilvl w:val="0"/>
          <w:numId w:val="11"/>
        </w:numPr>
        <w:rPr>
          <w:rFonts w:ascii="Arial" w:cs="Arial" w:eastAsia="Arial" w:hAnsi="Arial"/>
          <w:sz w:val="8"/>
          <w:szCs w:val="8"/>
          <w:color w:val="auto"/>
        </w:rPr>
      </w:pPr>
      <w:r>
        <w:rPr>
          <w:rFonts w:ascii="Arial" w:cs="Arial" w:eastAsia="Arial" w:hAnsi="Arial"/>
          <w:sz w:val="8"/>
          <w:szCs w:val="8"/>
          <w:color w:val="auto"/>
        </w:rPr>
        <w:t>Primarily reclassification of GM Financial Cumulative Perpetual Preferred Stock, Series A, B and C. The preferred stock is classified as noncontrolling interests in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280"/>
          </w:cols>
          <w:pgMar w:left="300" w:top="316" w:right="31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Combining Cash Flow Information</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3"/>
          <w:szCs w:val="13"/>
          <w:i w:val="1"/>
          <w:iCs w:val="1"/>
          <w:color w:val="auto"/>
        </w:rPr>
        <w:t>(In millions) (Unaudited)(a)</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98"/>
        </w:trPr>
        <w:tc>
          <w:tcPr>
            <w:tcW w:w="3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5"/>
          </w:tcPr>
          <w:p>
            <w:pPr>
              <w:ind w:left="60"/>
              <w:spacing w:after="0"/>
              <w:rPr>
                <w:sz w:val="20"/>
                <w:szCs w:val="20"/>
                <w:color w:val="auto"/>
              </w:rPr>
            </w:pPr>
            <w:r>
              <w:rPr>
                <w:rFonts w:ascii="Arial" w:cs="Arial" w:eastAsia="Arial" w:hAnsi="Arial"/>
                <w:sz w:val="7"/>
                <w:szCs w:val="7"/>
                <w:b w:val="1"/>
                <w:bCs w:val="1"/>
                <w:color w:val="auto"/>
              </w:rPr>
              <w:t>Year Ended December 31, 2021</w:t>
            </w: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7"/>
                <w:szCs w:val="7"/>
                <w:b w:val="1"/>
                <w:bCs w:val="1"/>
                <w:color w:val="auto"/>
              </w:rPr>
              <w:t>Year Ended December 31, 2020</w:t>
            </w:r>
          </w:p>
        </w:tc>
        <w:tc>
          <w:tcPr>
            <w:tcW w:w="5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r>
      <w:tr>
        <w:trPr>
          <w:trHeight w:val="93"/>
        </w:trPr>
        <w:tc>
          <w:tcPr>
            <w:tcW w:w="3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ind w:left="40"/>
              <w:spacing w:after="0"/>
              <w:rPr>
                <w:sz w:val="20"/>
                <w:szCs w:val="20"/>
                <w:color w:val="auto"/>
              </w:rPr>
            </w:pPr>
            <w:r>
              <w:rPr>
                <w:rFonts w:ascii="Arial" w:cs="Arial" w:eastAsia="Arial" w:hAnsi="Arial"/>
                <w:sz w:val="7"/>
                <w:szCs w:val="7"/>
                <w:b w:val="1"/>
                <w:bCs w:val="1"/>
                <w:color w:val="auto"/>
              </w:rPr>
              <w:t>Automotive</w:t>
            </w:r>
          </w:p>
        </w:tc>
        <w:tc>
          <w:tcPr>
            <w:tcW w:w="120" w:type="dxa"/>
            <w:vAlign w:val="bottom"/>
          </w:tcPr>
          <w:p>
            <w:pPr>
              <w:spacing w:after="0"/>
              <w:rPr>
                <w:sz w:val="8"/>
                <w:szCs w:val="8"/>
                <w:color w:val="auto"/>
              </w:rPr>
            </w:pPr>
          </w:p>
        </w:tc>
        <w:tc>
          <w:tcPr>
            <w:tcW w:w="480" w:type="dxa"/>
            <w:vAlign w:val="bottom"/>
          </w:tcPr>
          <w:p>
            <w:pPr>
              <w:jc w:val="right"/>
              <w:ind w:right="151"/>
              <w:spacing w:after="0"/>
              <w:rPr>
                <w:sz w:val="20"/>
                <w:szCs w:val="20"/>
                <w:color w:val="auto"/>
              </w:rPr>
            </w:pPr>
            <w:r>
              <w:rPr>
                <w:rFonts w:ascii="Arial" w:cs="Arial" w:eastAsia="Arial" w:hAnsi="Arial"/>
                <w:sz w:val="7"/>
                <w:szCs w:val="7"/>
                <w:b w:val="1"/>
                <w:bCs w:val="1"/>
                <w:color w:val="auto"/>
              </w:rPr>
              <w:t>Cruise</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spacing w:after="0"/>
              <w:rPr>
                <w:sz w:val="20"/>
                <w:szCs w:val="20"/>
                <w:color w:val="auto"/>
              </w:rPr>
            </w:pPr>
            <w:r>
              <w:rPr>
                <w:rFonts w:ascii="Arial" w:cs="Arial" w:eastAsia="Arial" w:hAnsi="Arial"/>
                <w:sz w:val="7"/>
                <w:szCs w:val="7"/>
                <w:b w:val="1"/>
                <w:bCs w:val="1"/>
                <w:color w:val="auto"/>
              </w:rPr>
              <w:t>GM Financial</w:t>
            </w:r>
          </w:p>
        </w:tc>
        <w:tc>
          <w:tcPr>
            <w:tcW w:w="1140" w:type="dxa"/>
            <w:vAlign w:val="bottom"/>
            <w:gridSpan w:val="3"/>
          </w:tcPr>
          <w:p>
            <w:pPr>
              <w:spacing w:after="0"/>
              <w:rPr>
                <w:sz w:val="20"/>
                <w:szCs w:val="20"/>
                <w:color w:val="auto"/>
              </w:rPr>
            </w:pPr>
            <w:r>
              <w:rPr>
                <w:rFonts w:ascii="Arial" w:cs="Arial" w:eastAsia="Arial" w:hAnsi="Arial"/>
                <w:sz w:val="7"/>
                <w:szCs w:val="7"/>
                <w:b w:val="1"/>
                <w:bCs w:val="1"/>
                <w:color w:val="auto"/>
              </w:rPr>
              <w:t>Reclassifications/Eliminations</w:t>
            </w:r>
          </w:p>
        </w:tc>
        <w:tc>
          <w:tcPr>
            <w:tcW w:w="100" w:type="dxa"/>
            <w:vAlign w:val="bottom"/>
          </w:tcPr>
          <w:p>
            <w:pPr>
              <w:spacing w:after="0"/>
              <w:rPr>
                <w:sz w:val="8"/>
                <w:szCs w:val="8"/>
                <w:color w:val="auto"/>
              </w:rPr>
            </w:pPr>
          </w:p>
        </w:tc>
        <w:tc>
          <w:tcPr>
            <w:tcW w:w="620" w:type="dxa"/>
            <w:vAlign w:val="bottom"/>
            <w:gridSpan w:val="2"/>
          </w:tcPr>
          <w:p>
            <w:pPr>
              <w:ind w:left="40"/>
              <w:spacing w:after="0"/>
              <w:rPr>
                <w:sz w:val="20"/>
                <w:szCs w:val="20"/>
                <w:color w:val="auto"/>
              </w:rPr>
            </w:pPr>
            <w:r>
              <w:rPr>
                <w:rFonts w:ascii="Arial" w:cs="Arial" w:eastAsia="Arial" w:hAnsi="Arial"/>
                <w:sz w:val="7"/>
                <w:szCs w:val="7"/>
                <w:b w:val="1"/>
                <w:bCs w:val="1"/>
                <w:color w:val="auto"/>
              </w:rPr>
              <w:t>Combined</w:t>
            </w:r>
          </w:p>
        </w:tc>
        <w:tc>
          <w:tcPr>
            <w:tcW w:w="100" w:type="dxa"/>
            <w:vAlign w:val="bottom"/>
          </w:tcPr>
          <w:p>
            <w:pPr>
              <w:spacing w:after="0"/>
              <w:rPr>
                <w:sz w:val="8"/>
                <w:szCs w:val="8"/>
                <w:color w:val="auto"/>
              </w:rPr>
            </w:pPr>
          </w:p>
        </w:tc>
        <w:tc>
          <w:tcPr>
            <w:tcW w:w="680" w:type="dxa"/>
            <w:vAlign w:val="bottom"/>
            <w:gridSpan w:val="2"/>
          </w:tcPr>
          <w:p>
            <w:pPr>
              <w:ind w:left="40"/>
              <w:spacing w:after="0"/>
              <w:rPr>
                <w:sz w:val="20"/>
                <w:szCs w:val="20"/>
                <w:color w:val="auto"/>
              </w:rPr>
            </w:pPr>
            <w:r>
              <w:rPr>
                <w:rFonts w:ascii="Arial" w:cs="Arial" w:eastAsia="Arial" w:hAnsi="Arial"/>
                <w:sz w:val="7"/>
                <w:szCs w:val="7"/>
                <w:b w:val="1"/>
                <w:bCs w:val="1"/>
                <w:color w:val="auto"/>
              </w:rPr>
              <w:t>Automotive</w:t>
            </w:r>
          </w:p>
        </w:tc>
        <w:tc>
          <w:tcPr>
            <w:tcW w:w="120" w:type="dxa"/>
            <w:vAlign w:val="bottom"/>
          </w:tcPr>
          <w:p>
            <w:pPr>
              <w:spacing w:after="0"/>
              <w:rPr>
                <w:sz w:val="8"/>
                <w:szCs w:val="8"/>
                <w:color w:val="auto"/>
              </w:rPr>
            </w:pPr>
          </w:p>
        </w:tc>
        <w:tc>
          <w:tcPr>
            <w:tcW w:w="540" w:type="dxa"/>
            <w:vAlign w:val="bottom"/>
            <w:gridSpan w:val="2"/>
          </w:tcPr>
          <w:p>
            <w:pPr>
              <w:ind w:left="40"/>
              <w:spacing w:after="0"/>
              <w:rPr>
                <w:sz w:val="20"/>
                <w:szCs w:val="20"/>
                <w:color w:val="auto"/>
              </w:rPr>
            </w:pPr>
            <w:r>
              <w:rPr>
                <w:rFonts w:ascii="Arial" w:cs="Arial" w:eastAsia="Arial" w:hAnsi="Arial"/>
                <w:sz w:val="7"/>
                <w:szCs w:val="7"/>
                <w:b w:val="1"/>
                <w:bCs w:val="1"/>
                <w:color w:val="auto"/>
              </w:rPr>
              <w:t>Cruise</w:t>
            </w:r>
          </w:p>
        </w:tc>
        <w:tc>
          <w:tcPr>
            <w:tcW w:w="80" w:type="dxa"/>
            <w:vAlign w:val="bottom"/>
          </w:tcPr>
          <w:p>
            <w:pPr>
              <w:spacing w:after="0"/>
              <w:rPr>
                <w:sz w:val="8"/>
                <w:szCs w:val="8"/>
                <w:color w:val="auto"/>
              </w:rPr>
            </w:pPr>
          </w:p>
        </w:tc>
        <w:tc>
          <w:tcPr>
            <w:tcW w:w="640" w:type="dxa"/>
            <w:vAlign w:val="bottom"/>
            <w:gridSpan w:val="2"/>
          </w:tcPr>
          <w:p>
            <w:pPr>
              <w:spacing w:after="0"/>
              <w:rPr>
                <w:sz w:val="20"/>
                <w:szCs w:val="20"/>
                <w:color w:val="auto"/>
              </w:rPr>
            </w:pPr>
            <w:r>
              <w:rPr>
                <w:rFonts w:ascii="Arial" w:cs="Arial" w:eastAsia="Arial" w:hAnsi="Arial"/>
                <w:sz w:val="7"/>
                <w:szCs w:val="7"/>
                <w:b w:val="1"/>
                <w:bCs w:val="1"/>
                <w:color w:val="auto"/>
              </w:rPr>
              <w:t>GM Financial</w:t>
            </w:r>
          </w:p>
        </w:tc>
        <w:tc>
          <w:tcPr>
            <w:tcW w:w="1140" w:type="dxa"/>
            <w:vAlign w:val="bottom"/>
            <w:gridSpan w:val="3"/>
          </w:tcPr>
          <w:p>
            <w:pPr>
              <w:ind w:left="20"/>
              <w:spacing w:after="0"/>
              <w:rPr>
                <w:sz w:val="20"/>
                <w:szCs w:val="20"/>
                <w:color w:val="auto"/>
              </w:rPr>
            </w:pPr>
            <w:r>
              <w:rPr>
                <w:rFonts w:ascii="Arial" w:cs="Arial" w:eastAsia="Arial" w:hAnsi="Arial"/>
                <w:sz w:val="7"/>
                <w:szCs w:val="7"/>
                <w:b w:val="1"/>
                <w:bCs w:val="1"/>
                <w:color w:val="auto"/>
              </w:rPr>
              <w:t>Reclassifications/Eliminations</w:t>
            </w:r>
          </w:p>
        </w:tc>
        <w:tc>
          <w:tcPr>
            <w:tcW w:w="140" w:type="dxa"/>
            <w:vAlign w:val="bottom"/>
          </w:tcPr>
          <w:p>
            <w:pPr>
              <w:spacing w:after="0"/>
              <w:rPr>
                <w:sz w:val="8"/>
                <w:szCs w:val="8"/>
                <w:color w:val="auto"/>
              </w:rPr>
            </w:pPr>
          </w:p>
        </w:tc>
        <w:tc>
          <w:tcPr>
            <w:tcW w:w="600" w:type="dxa"/>
            <w:vAlign w:val="bottom"/>
          </w:tcPr>
          <w:p>
            <w:pPr>
              <w:jc w:val="right"/>
              <w:ind w:right="151"/>
              <w:spacing w:after="0"/>
              <w:rPr>
                <w:sz w:val="20"/>
                <w:szCs w:val="20"/>
                <w:color w:val="auto"/>
              </w:rPr>
            </w:pPr>
            <w:r>
              <w:rPr>
                <w:rFonts w:ascii="Arial" w:cs="Arial" w:eastAsia="Arial" w:hAnsi="Arial"/>
                <w:sz w:val="7"/>
                <w:szCs w:val="7"/>
                <w:b w:val="1"/>
                <w:bCs w:val="1"/>
                <w:color w:val="auto"/>
              </w:rPr>
              <w:t>Combined</w:t>
            </w:r>
          </w:p>
        </w:tc>
      </w:tr>
      <w:tr>
        <w:trPr>
          <w:trHeight w:val="120"/>
        </w:trPr>
        <w:tc>
          <w:tcPr>
            <w:tcW w:w="310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Cash flows from operating activities</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r>
      <w:tr>
        <w:trPr>
          <w:trHeight w:val="145"/>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7,774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3,796</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9,945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4,975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2,020</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6,321</w:t>
            </w:r>
          </w:p>
        </w:tc>
      </w:tr>
      <w:tr>
        <w:trPr>
          <w:trHeight w:val="131"/>
        </w:trPr>
        <w:tc>
          <w:tcPr>
            <w:tcW w:w="3100" w:type="dxa"/>
            <w:vAlign w:val="bottom"/>
          </w:tcPr>
          <w:p>
            <w:pPr>
              <w:ind w:left="120"/>
              <w:spacing w:after="0"/>
              <w:rPr>
                <w:sz w:val="20"/>
                <w:szCs w:val="20"/>
                <w:color w:val="auto"/>
              </w:rPr>
            </w:pPr>
            <w:r>
              <w:rPr>
                <w:rFonts w:ascii="Arial" w:cs="Arial" w:eastAsia="Arial" w:hAnsi="Arial"/>
                <w:sz w:val="10"/>
                <w:szCs w:val="10"/>
                <w:color w:val="auto"/>
                <w:w w:val="98"/>
              </w:rPr>
              <w:t>Depreciation and impairment of Equipment on operating leases, net</w:t>
            </w: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6,076</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6,076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7,175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7,178</w:t>
            </w:r>
          </w:p>
        </w:tc>
      </w:tr>
      <w:tr>
        <w:trPr>
          <w:trHeight w:val="145"/>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w w:val="98"/>
              </w:rPr>
              <w:t>Depreciation, amortization and impairment charges on Property, net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5,861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58</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5,975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5,504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5,637</w:t>
            </w:r>
          </w:p>
        </w:tc>
      </w:tr>
      <w:tr>
        <w:trPr>
          <w:trHeight w:val="131"/>
        </w:trPr>
        <w:tc>
          <w:tcPr>
            <w:tcW w:w="3100" w:type="dxa"/>
            <w:vAlign w:val="bottom"/>
          </w:tcPr>
          <w:p>
            <w:pPr>
              <w:ind w:left="120"/>
              <w:spacing w:after="0"/>
              <w:rPr>
                <w:sz w:val="20"/>
                <w:szCs w:val="20"/>
                <w:color w:val="auto"/>
              </w:rPr>
            </w:pPr>
            <w:r>
              <w:rPr>
                <w:rFonts w:ascii="Arial" w:cs="Arial" w:eastAsia="Arial" w:hAnsi="Arial"/>
                <w:sz w:val="10"/>
                <w:szCs w:val="10"/>
                <w:color w:val="auto"/>
              </w:rPr>
              <w:t>Foreign currency remeasurement and transaction (gains) losses</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209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203</w:t>
            </w:r>
          </w:p>
        </w:tc>
      </w:tr>
      <w:tr>
        <w:trPr>
          <w:trHeight w:val="145"/>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Undistributed earnings of nonconsolidated affiliates, net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(127)</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524</w:t>
            </w:r>
          </w:p>
        </w:tc>
      </w:tr>
      <w:tr>
        <w:trPr>
          <w:trHeight w:val="131"/>
        </w:trPr>
        <w:tc>
          <w:tcPr>
            <w:tcW w:w="3100" w:type="dxa"/>
            <w:vAlign w:val="bottom"/>
          </w:tcPr>
          <w:p>
            <w:pPr>
              <w:ind w:left="120"/>
              <w:spacing w:after="0"/>
              <w:rPr>
                <w:sz w:val="20"/>
                <w:szCs w:val="20"/>
                <w:color w:val="auto"/>
              </w:rPr>
            </w:pPr>
            <w:r>
              <w:rPr>
                <w:rFonts w:ascii="Arial" w:cs="Arial" w:eastAsia="Arial" w:hAnsi="Arial"/>
                <w:sz w:val="10"/>
                <w:szCs w:val="10"/>
                <w:color w:val="auto"/>
              </w:rPr>
              <w:t>Pension contributions and OPEB payments</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(837)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(838)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(851)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(851)</w:t>
            </w:r>
          </w:p>
        </w:tc>
      </w:tr>
      <w:tr>
        <w:trPr>
          <w:trHeight w:val="145"/>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Pension and OPEB income, net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(1,606)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(765)</w:t>
            </w:r>
          </w:p>
        </w:tc>
      </w:tr>
      <w:tr>
        <w:trPr>
          <w:trHeight w:val="131"/>
        </w:trPr>
        <w:tc>
          <w:tcPr>
            <w:tcW w:w="3100" w:type="dxa"/>
            <w:vAlign w:val="bottom"/>
          </w:tcPr>
          <w:p>
            <w:pPr>
              <w:ind w:left="120"/>
              <w:spacing w:after="0"/>
              <w:rPr>
                <w:sz w:val="20"/>
                <w:szCs w:val="20"/>
                <w:color w:val="auto"/>
              </w:rPr>
            </w:pPr>
            <w:r>
              <w:rPr>
                <w:rFonts w:ascii="Arial" w:cs="Arial" w:eastAsia="Arial" w:hAnsi="Arial"/>
                <w:sz w:val="10"/>
                <w:szCs w:val="10"/>
                <w:color w:val="auto"/>
              </w:rPr>
              <w:t>Provision (benefit) for deferred taxes</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1,697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317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201</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2,214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863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(272)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334</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925</w:t>
            </w:r>
          </w:p>
        </w:tc>
      </w:tr>
      <w:tr>
        <w:trPr>
          <w:trHeight w:val="145"/>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Change in other operating assets and liabilities(b)</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2,787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(3,366)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(3,908)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668</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2,816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(399)</w:t>
            </w:r>
          </w:p>
        </w:tc>
      </w:tr>
      <w:tr>
        <w:trPr>
          <w:trHeight w:val="131"/>
        </w:trPr>
        <w:tc>
          <w:tcPr>
            <w:tcW w:w="310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Other operating activities(c)</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3,435</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(2,702)</w:t>
            </w:r>
          </w:p>
        </w:tc>
        <w:tc>
          <w:tcPr>
            <w:tcW w:w="10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(3,412)</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(2,679)</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912</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(2,229)</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(796)</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(2,103)</w:t>
            </w:r>
          </w:p>
        </w:tc>
      </w:tr>
      <w:tr>
        <w:trPr>
          <w:trHeight w:val="136"/>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cash provided by (used in) operating activities</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9,693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7,297</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15,188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7,519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7,979</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2,021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16,670</w:t>
            </w:r>
          </w:p>
        </w:tc>
      </w:tr>
      <w:tr>
        <w:trPr>
          <w:trHeight w:val="134"/>
        </w:trPr>
        <w:tc>
          <w:tcPr>
            <w:tcW w:w="3100" w:type="dxa"/>
            <w:vAlign w:val="bottom"/>
          </w:tcPr>
          <w:p>
            <w:pPr>
              <w:ind w:left="20"/>
              <w:spacing w:after="0"/>
              <w:rPr>
                <w:sz w:val="20"/>
                <w:szCs w:val="20"/>
                <w:color w:val="auto"/>
              </w:rPr>
            </w:pPr>
            <w:r>
              <w:rPr>
                <w:rFonts w:ascii="Arial" w:cs="Arial" w:eastAsia="Arial" w:hAnsi="Arial"/>
                <w:sz w:val="10"/>
                <w:szCs w:val="10"/>
                <w:b w:val="1"/>
                <w:bCs w:val="1"/>
                <w:color w:val="auto"/>
              </w:rPr>
              <w:t>Cash flows from investing activities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42"/>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Expenditures for property</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(7,389)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(7,509)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(5,251)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(5,300)</w:t>
            </w:r>
          </w:p>
        </w:tc>
      </w:tr>
      <w:tr>
        <w:trPr>
          <w:trHeight w:val="131"/>
        </w:trPr>
        <w:tc>
          <w:tcPr>
            <w:tcW w:w="3100" w:type="dxa"/>
            <w:vAlign w:val="bottom"/>
          </w:tcPr>
          <w:p>
            <w:pPr>
              <w:ind w:left="120"/>
              <w:spacing w:after="0"/>
              <w:rPr>
                <w:sz w:val="20"/>
                <w:szCs w:val="20"/>
                <w:color w:val="auto"/>
              </w:rPr>
            </w:pPr>
            <w:r>
              <w:rPr>
                <w:rFonts w:ascii="Arial" w:cs="Arial" w:eastAsia="Arial" w:hAnsi="Arial"/>
                <w:sz w:val="10"/>
                <w:szCs w:val="10"/>
                <w:color w:val="auto"/>
              </w:rPr>
              <w:t>Available-for-sale marketable securities, acquisitions</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(5,150)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(3,811)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(8,962)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(13,190)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(3,014)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(16,204)</w:t>
            </w:r>
          </w:p>
        </w:tc>
      </w:tr>
      <w:tr>
        <w:trPr>
          <w:trHeight w:val="145"/>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Available-for-sale marketable securities, liquidations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6,123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3,245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9,347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9,598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2,368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11,941</w:t>
            </w:r>
          </w:p>
        </w:tc>
      </w:tr>
      <w:tr>
        <w:trPr>
          <w:trHeight w:val="131"/>
        </w:trPr>
        <w:tc>
          <w:tcPr>
            <w:tcW w:w="3100" w:type="dxa"/>
            <w:vAlign w:val="bottom"/>
          </w:tcPr>
          <w:p>
            <w:pPr>
              <w:ind w:left="120"/>
              <w:spacing w:after="0"/>
              <w:rPr>
                <w:sz w:val="20"/>
                <w:szCs w:val="20"/>
                <w:color w:val="auto"/>
              </w:rPr>
            </w:pPr>
            <w:r>
              <w:rPr>
                <w:rFonts w:ascii="Arial" w:cs="Arial" w:eastAsia="Arial" w:hAnsi="Arial"/>
                <w:sz w:val="10"/>
                <w:szCs w:val="10"/>
                <w:color w:val="auto"/>
              </w:rPr>
              <w:t>Purchases of finance receivables, net</w:t>
            </w: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(33,013)</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(33,009)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(30,215)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125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(30,090)</w:t>
            </w:r>
          </w:p>
        </w:tc>
      </w:tr>
      <w:tr>
        <w:trPr>
          <w:trHeight w:val="145"/>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Principal collections and recoveries on finance receivables(b)</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27,720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(3,097)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24,622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22,785</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(3,059)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19,726</w:t>
            </w:r>
          </w:p>
        </w:tc>
      </w:tr>
      <w:tr>
        <w:trPr>
          <w:trHeight w:val="131"/>
        </w:trPr>
        <w:tc>
          <w:tcPr>
            <w:tcW w:w="3100" w:type="dxa"/>
            <w:vAlign w:val="bottom"/>
          </w:tcPr>
          <w:p>
            <w:pPr>
              <w:ind w:left="120"/>
              <w:spacing w:after="0"/>
              <w:rPr>
                <w:sz w:val="20"/>
                <w:szCs w:val="20"/>
                <w:color w:val="auto"/>
              </w:rPr>
            </w:pPr>
            <w:r>
              <w:rPr>
                <w:rFonts w:ascii="Arial" w:cs="Arial" w:eastAsia="Arial" w:hAnsi="Arial"/>
                <w:sz w:val="10"/>
                <w:szCs w:val="10"/>
                <w:color w:val="auto"/>
              </w:rPr>
              <w:t>Purchases of leased vehicles, net</w:t>
            </w: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(14,602)</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(14,602)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(15,233)</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(15,233)</w:t>
            </w:r>
          </w:p>
        </w:tc>
      </w:tr>
      <w:tr>
        <w:trPr>
          <w:trHeight w:val="145"/>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Proceeds from termination of leased vehicles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14,393</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14,393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13,399</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13,399</w:t>
            </w:r>
          </w:p>
        </w:tc>
      </w:tr>
      <w:tr>
        <w:trPr>
          <w:trHeight w:val="131"/>
        </w:trPr>
        <w:tc>
          <w:tcPr>
            <w:tcW w:w="310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Other investing activities(d)</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(1,758)</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w:t>
            </w:r>
          </w:p>
        </w:tc>
        <w:tc>
          <w:tcPr>
            <w:tcW w:w="10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1,142</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(635)</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(71)</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(77)</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(65)</w:t>
            </w:r>
          </w:p>
        </w:tc>
      </w:tr>
      <w:tr>
        <w:trPr>
          <w:trHeight w:val="136"/>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cash used in investing activities</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(8,174)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(5,543)</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(1,978)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(16,355)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(8,778)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(9,280)</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(3,036)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(21,826)</w:t>
            </w:r>
          </w:p>
        </w:tc>
      </w:tr>
      <w:tr>
        <w:trPr>
          <w:trHeight w:val="134"/>
        </w:trPr>
        <w:tc>
          <w:tcPr>
            <w:tcW w:w="3100" w:type="dxa"/>
            <w:vAlign w:val="bottom"/>
          </w:tcPr>
          <w:p>
            <w:pPr>
              <w:ind w:left="20"/>
              <w:spacing w:after="0"/>
              <w:rPr>
                <w:sz w:val="20"/>
                <w:szCs w:val="20"/>
                <w:color w:val="auto"/>
              </w:rPr>
            </w:pPr>
            <w:r>
              <w:rPr>
                <w:rFonts w:ascii="Arial" w:cs="Arial" w:eastAsia="Arial" w:hAnsi="Arial"/>
                <w:sz w:val="10"/>
                <w:szCs w:val="10"/>
                <w:b w:val="1"/>
                <w:bCs w:val="1"/>
                <w:color w:val="auto"/>
              </w:rPr>
              <w:t>Cash flows from financing activities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42"/>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Net increase (decrease) in short-term debt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2,911</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2,912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273</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277</w:t>
            </w:r>
          </w:p>
        </w:tc>
      </w:tr>
      <w:tr>
        <w:trPr>
          <w:trHeight w:val="101"/>
        </w:trPr>
        <w:tc>
          <w:tcPr>
            <w:tcW w:w="3100" w:type="dxa"/>
            <w:vAlign w:val="bottom"/>
          </w:tcPr>
          <w:p>
            <w:pPr>
              <w:ind w:left="120"/>
              <w:spacing w:after="0" w:line="102" w:lineRule="exact"/>
              <w:rPr>
                <w:sz w:val="20"/>
                <w:szCs w:val="20"/>
                <w:color w:val="auto"/>
              </w:rPr>
            </w:pPr>
            <w:r>
              <w:rPr>
                <w:rFonts w:ascii="Arial" w:cs="Arial" w:eastAsia="Arial" w:hAnsi="Arial"/>
                <w:sz w:val="10"/>
                <w:szCs w:val="10"/>
                <w:color w:val="auto"/>
              </w:rPr>
              <w:t>Proceeds from issuance of debt (original maturities greater than</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25"/>
        </w:trPr>
        <w:tc>
          <w:tcPr>
            <w:tcW w:w="3100" w:type="dxa"/>
            <w:vAlign w:val="bottom"/>
          </w:tcPr>
          <w:p>
            <w:pPr>
              <w:ind w:left="240"/>
              <w:spacing w:after="0"/>
              <w:rPr>
                <w:sz w:val="20"/>
                <w:szCs w:val="20"/>
                <w:color w:val="auto"/>
              </w:rPr>
            </w:pPr>
            <w:r>
              <w:rPr>
                <w:rFonts w:ascii="Arial" w:cs="Arial" w:eastAsia="Arial" w:hAnsi="Arial"/>
                <w:sz w:val="10"/>
                <w:szCs w:val="10"/>
                <w:color w:val="auto"/>
              </w:rPr>
              <w:t>three months)</w:t>
            </w: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367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26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44,933</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45,300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21,362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57,165</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78,527</w:t>
            </w:r>
          </w:p>
        </w:tc>
      </w:tr>
      <w:tr>
        <w:trPr>
          <w:trHeight w:val="145"/>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Payments on debt (original maturities greater than three months)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(46,708)</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(47,806)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(18,364)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(54,470)</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171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(72,663)</w:t>
            </w:r>
          </w:p>
        </w:tc>
      </w:tr>
      <w:tr>
        <w:trPr>
          <w:trHeight w:val="101"/>
        </w:trPr>
        <w:tc>
          <w:tcPr>
            <w:tcW w:w="3100" w:type="dxa"/>
            <w:vAlign w:val="bottom"/>
          </w:tcPr>
          <w:p>
            <w:pPr>
              <w:ind w:left="120"/>
              <w:spacing w:after="0" w:line="102" w:lineRule="exact"/>
              <w:rPr>
                <w:sz w:val="20"/>
                <w:szCs w:val="20"/>
                <w:color w:val="auto"/>
              </w:rPr>
            </w:pPr>
            <w:r>
              <w:rPr>
                <w:rFonts w:ascii="Arial" w:cs="Arial" w:eastAsia="Arial" w:hAnsi="Arial"/>
                <w:sz w:val="10"/>
                <w:szCs w:val="10"/>
                <w:color w:val="auto"/>
              </w:rPr>
              <w:t>Proceeds from issuance of subsidiary preferred and common</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25"/>
        </w:trPr>
        <w:tc>
          <w:tcPr>
            <w:tcW w:w="3100" w:type="dxa"/>
            <w:vAlign w:val="bottom"/>
          </w:tcPr>
          <w:p>
            <w:pPr>
              <w:ind w:left="240"/>
              <w:spacing w:after="0"/>
              <w:rPr>
                <w:sz w:val="20"/>
                <w:szCs w:val="20"/>
                <w:color w:val="auto"/>
              </w:rPr>
            </w:pPr>
            <w:r>
              <w:rPr>
                <w:rFonts w:ascii="Arial" w:cs="Arial" w:eastAsia="Arial" w:hAnsi="Arial"/>
                <w:sz w:val="10"/>
                <w:szCs w:val="10"/>
                <w:color w:val="auto"/>
              </w:rPr>
              <w:t>stock(d)</w:t>
            </w:r>
          </w:p>
        </w:tc>
        <w:tc>
          <w:tcPr>
            <w:tcW w:w="100" w:type="dxa"/>
            <w:vAlign w:val="bottom"/>
          </w:tcPr>
          <w:p>
            <w:pPr>
              <w:spacing w:after="0"/>
              <w:rPr>
                <w:sz w:val="10"/>
                <w:szCs w:val="1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2,736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1,736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492</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492</w:t>
            </w:r>
          </w:p>
        </w:tc>
      </w:tr>
      <w:tr>
        <w:trPr>
          <w:trHeight w:val="145"/>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Dividends paid(c)</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(3,620)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3,500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(890)</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(669)</w:t>
            </w:r>
          </w:p>
        </w:tc>
      </w:tr>
      <w:tr>
        <w:trPr>
          <w:trHeight w:val="131"/>
        </w:trPr>
        <w:tc>
          <w:tcPr>
            <w:tcW w:w="310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Other financing activities</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(158)</w:t>
            </w:r>
          </w:p>
        </w:tc>
        <w:tc>
          <w:tcPr>
            <w:tcW w:w="10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15</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(212)</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(316)</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(162)</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40</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(412)</w:t>
            </w:r>
          </w:p>
        </w:tc>
      </w:tr>
      <w:tr>
        <w:trPr>
          <w:trHeight w:val="136"/>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cash provided by (used in) financing activities</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2,647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(2,641)</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2,612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1,744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2,135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2,408</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1,015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5,552</w:t>
            </w:r>
          </w:p>
        </w:tc>
      </w:tr>
      <w:tr>
        <w:trPr>
          <w:trHeight w:val="101"/>
        </w:trPr>
        <w:tc>
          <w:tcPr>
            <w:tcW w:w="3100" w:type="dxa"/>
            <w:vAlign w:val="bottom"/>
          </w:tcPr>
          <w:p>
            <w:pPr>
              <w:ind w:left="120"/>
              <w:spacing w:after="0" w:line="102" w:lineRule="exact"/>
              <w:rPr>
                <w:sz w:val="20"/>
                <w:szCs w:val="20"/>
                <w:color w:val="auto"/>
              </w:rPr>
            </w:pPr>
            <w:r>
              <w:rPr>
                <w:rFonts w:ascii="Arial" w:cs="Arial" w:eastAsia="Arial" w:hAnsi="Arial"/>
                <w:sz w:val="10"/>
                <w:szCs w:val="10"/>
                <w:color w:val="auto"/>
              </w:rPr>
              <w:t>Effect of exchange rate changes on cash, cash equivalents and</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25"/>
        </w:trPr>
        <w:tc>
          <w:tcPr>
            <w:tcW w:w="3100" w:type="dxa"/>
            <w:vAlign w:val="bottom"/>
          </w:tcPr>
          <w:p>
            <w:pPr>
              <w:ind w:left="240"/>
              <w:spacing w:after="0"/>
              <w:rPr>
                <w:sz w:val="20"/>
                <w:szCs w:val="20"/>
                <w:color w:val="auto"/>
              </w:rPr>
            </w:pPr>
            <w:r>
              <w:rPr>
                <w:rFonts w:ascii="Arial" w:cs="Arial" w:eastAsia="Arial" w:hAnsi="Arial"/>
                <w:sz w:val="10"/>
                <w:szCs w:val="10"/>
                <w:color w:val="auto"/>
              </w:rPr>
              <w:t>restricted cash</w:t>
            </w: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(97)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(56)</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(152)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(139)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(83)</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(222)</w:t>
            </w:r>
          </w:p>
        </w:tc>
      </w:tr>
      <w:tr>
        <w:trPr>
          <w:trHeight w:val="89"/>
        </w:trPr>
        <w:tc>
          <w:tcPr>
            <w:tcW w:w="3100" w:type="dxa"/>
            <w:vAlign w:val="bottom"/>
            <w:tcBorders>
              <w:top w:val="single" w:sz="8" w:color="CCEEFF"/>
            </w:tcBorders>
            <w:shd w:val="clear" w:color="auto" w:fill="CCEEFF"/>
          </w:tcPr>
          <w:p>
            <w:pPr>
              <w:ind w:left="120"/>
              <w:spacing w:after="0" w:line="89" w:lineRule="exact"/>
              <w:rPr>
                <w:sz w:val="20"/>
                <w:szCs w:val="20"/>
                <w:color w:val="auto"/>
              </w:rPr>
            </w:pPr>
            <w:r>
              <w:rPr>
                <w:rFonts w:ascii="Arial" w:cs="Arial" w:eastAsia="Arial" w:hAnsi="Arial"/>
                <w:sz w:val="10"/>
                <w:szCs w:val="10"/>
                <w:color w:val="auto"/>
              </w:rPr>
              <w:t>Net increase (decrease) in cash, cash equivalents and restricted</w:t>
            </w:r>
          </w:p>
        </w:tc>
        <w:tc>
          <w:tcPr>
            <w:tcW w:w="10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r>
      <w:tr>
        <w:trPr>
          <w:trHeight w:val="132"/>
        </w:trPr>
        <w:tc>
          <w:tcPr>
            <w:tcW w:w="31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cash</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818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(943)</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425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(1,588)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1,024</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174</w:t>
            </w:r>
          </w:p>
        </w:tc>
      </w:tr>
      <w:tr>
        <w:trPr>
          <w:trHeight w:val="131"/>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Cash, cash equivalents and restricted cash at beginning of period</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14,225</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766</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8,126</w:t>
            </w:r>
          </w:p>
        </w:tc>
        <w:tc>
          <w:tcPr>
            <w:tcW w:w="10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23,117</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13,487</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2,355</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7,102</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22,943</w:t>
            </w:r>
          </w:p>
        </w:tc>
      </w:tr>
      <w:tr>
        <w:trPr>
          <w:trHeight w:val="149"/>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cash equivalents and restricted cash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14,774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1,584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7,183</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23,542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14,225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8,126</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23,117</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8"/>
          <w:szCs w:val="8"/>
          <w:color w:val="auto"/>
        </w:rPr>
        <w:t>_________</w:t>
      </w:r>
    </w:p>
    <w:p>
      <w:pPr>
        <w:spacing w:after="0" w:line="8" w:lineRule="exact"/>
        <w:rPr>
          <w:sz w:val="20"/>
          <w:szCs w:val="20"/>
          <w:color w:val="auto"/>
        </w:rPr>
      </w:pPr>
    </w:p>
    <w:p>
      <w:pPr>
        <w:ind w:left="260" w:hanging="255"/>
        <w:spacing w:after="0"/>
        <w:tabs>
          <w:tab w:leader="none" w:pos="260" w:val="left"/>
        </w:tabs>
        <w:numPr>
          <w:ilvl w:val="0"/>
          <w:numId w:val="12"/>
        </w:numPr>
        <w:rPr>
          <w:rFonts w:ascii="Arial" w:cs="Arial" w:eastAsia="Arial" w:hAnsi="Arial"/>
          <w:sz w:val="8"/>
          <w:szCs w:val="8"/>
          <w:color w:val="auto"/>
        </w:rPr>
      </w:pPr>
      <w:r>
        <w:rPr>
          <w:rFonts w:ascii="Arial" w:cs="Arial" w:eastAsia="Arial" w:hAnsi="Arial"/>
          <w:sz w:val="8"/>
          <w:szCs w:val="8"/>
          <w:color w:val="auto"/>
        </w:rPr>
        <w:t>Amounts may not sum due to rounding.</w:t>
      </w:r>
    </w:p>
    <w:p>
      <w:pPr>
        <w:spacing w:after="0" w:line="3" w:lineRule="exact"/>
        <w:rPr>
          <w:rFonts w:ascii="Arial" w:cs="Arial" w:eastAsia="Arial" w:hAnsi="Arial"/>
          <w:sz w:val="8"/>
          <w:szCs w:val="8"/>
          <w:color w:val="auto"/>
        </w:rPr>
      </w:pPr>
    </w:p>
    <w:p>
      <w:pPr>
        <w:ind w:left="260" w:hanging="255"/>
        <w:spacing w:after="0"/>
        <w:tabs>
          <w:tab w:leader="none" w:pos="260" w:val="left"/>
        </w:tabs>
        <w:numPr>
          <w:ilvl w:val="0"/>
          <w:numId w:val="12"/>
        </w:numPr>
        <w:rPr>
          <w:rFonts w:ascii="Arial" w:cs="Arial" w:eastAsia="Arial" w:hAnsi="Arial"/>
          <w:sz w:val="8"/>
          <w:szCs w:val="8"/>
          <w:color w:val="auto"/>
        </w:rPr>
      </w:pPr>
      <w:r>
        <w:rPr>
          <w:rFonts w:ascii="Arial" w:cs="Arial" w:eastAsia="Arial" w:hAnsi="Arial"/>
          <w:sz w:val="8"/>
          <w:szCs w:val="8"/>
          <w:color w:val="auto"/>
        </w:rPr>
        <w:t>Includes reclassifications of $2.9 billion and $2.7 billion in the years ended December 31, 2021 and 2020 for purchases/collections of wholesale finance receivables resulting from vehicles sold by GM to dealers that have arranged their inventory floor plan financing through GM Financial.</w:t>
      </w:r>
    </w:p>
    <w:p>
      <w:pPr>
        <w:spacing w:after="0" w:line="3" w:lineRule="exact"/>
        <w:rPr>
          <w:rFonts w:ascii="Arial" w:cs="Arial" w:eastAsia="Arial" w:hAnsi="Arial"/>
          <w:sz w:val="8"/>
          <w:szCs w:val="8"/>
          <w:color w:val="auto"/>
        </w:rPr>
      </w:pPr>
    </w:p>
    <w:p>
      <w:pPr>
        <w:ind w:left="260" w:hanging="255"/>
        <w:spacing w:after="0"/>
        <w:tabs>
          <w:tab w:leader="none" w:pos="260" w:val="left"/>
        </w:tabs>
        <w:numPr>
          <w:ilvl w:val="0"/>
          <w:numId w:val="12"/>
        </w:numPr>
        <w:rPr>
          <w:rFonts w:ascii="Arial" w:cs="Arial" w:eastAsia="Arial" w:hAnsi="Arial"/>
          <w:sz w:val="8"/>
          <w:szCs w:val="8"/>
          <w:color w:val="auto"/>
        </w:rPr>
      </w:pPr>
      <w:r>
        <w:rPr>
          <w:rFonts w:ascii="Arial" w:cs="Arial" w:eastAsia="Arial" w:hAnsi="Arial"/>
          <w:sz w:val="8"/>
          <w:szCs w:val="8"/>
          <w:color w:val="auto"/>
        </w:rPr>
        <w:t>Eliminations include dividends issued by GM Financial to Automotive.</w:t>
      </w:r>
    </w:p>
    <w:p>
      <w:pPr>
        <w:spacing w:after="0" w:line="3" w:lineRule="exact"/>
        <w:rPr>
          <w:rFonts w:ascii="Arial" w:cs="Arial" w:eastAsia="Arial" w:hAnsi="Arial"/>
          <w:sz w:val="8"/>
          <w:szCs w:val="8"/>
          <w:color w:val="auto"/>
        </w:rPr>
      </w:pPr>
    </w:p>
    <w:p>
      <w:pPr>
        <w:ind w:left="260" w:hanging="255"/>
        <w:spacing w:after="0"/>
        <w:tabs>
          <w:tab w:leader="none" w:pos="260" w:val="left"/>
        </w:tabs>
        <w:numPr>
          <w:ilvl w:val="0"/>
          <w:numId w:val="12"/>
        </w:numPr>
        <w:rPr>
          <w:rFonts w:ascii="Arial" w:cs="Arial" w:eastAsia="Arial" w:hAnsi="Arial"/>
          <w:sz w:val="8"/>
          <w:szCs w:val="8"/>
          <w:color w:val="auto"/>
        </w:rPr>
      </w:pPr>
      <w:r>
        <w:rPr>
          <w:rFonts w:ascii="Arial" w:cs="Arial" w:eastAsia="Arial" w:hAnsi="Arial"/>
          <w:sz w:val="8"/>
          <w:szCs w:val="8"/>
          <w:color w:val="auto"/>
        </w:rPr>
        <w:t>Eliminations include $1.0 billion in the year ended December 31, 2021 for Automotive investments in Cruise Preferred Shares.</w:t>
      </w:r>
    </w:p>
    <w:p>
      <w:pPr>
        <w:spacing w:after="0" w:line="3" w:lineRule="exact"/>
        <w:rPr>
          <w:sz w:val="20"/>
          <w:szCs w:val="20"/>
          <w:color w:val="auto"/>
        </w:rPr>
      </w:pPr>
    </w:p>
    <w:p>
      <w:pPr>
        <w:spacing w:after="0"/>
        <w:rPr>
          <w:sz w:val="20"/>
          <w:szCs w:val="20"/>
          <w:color w:val="auto"/>
        </w:rPr>
      </w:pPr>
      <w:r>
        <w:rPr>
          <w:rFonts w:ascii="Arial" w:cs="Arial" w:eastAsia="Arial" w:hAnsi="Arial"/>
          <w:sz w:val="8"/>
          <w:szCs w:val="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14</w:t>
      </w:r>
    </w:p>
    <w:sectPr>
      <w:pgSz w:w="11900" w:h="16838" w:orient="portrait"/>
      <w:cols w:equalWidth="0" w:num="1">
        <w:col w:w="11240"/>
      </w:cols>
      <w:pgMar w:left="300" w:top="31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2022-02-01T15:26:26Z</dcterms:created>
  <dcterms:modified xsi:type="dcterms:W3CDTF">2022-02-01T15:26:26Z</dcterms:modified>
</cp:coreProperties>
</file>