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60" w:type="dxa"/>
            <w:vAlign w:val="bottom"/>
            <w:vMerge w:val="restart"/>
          </w:tcPr>
          <w:p>
            <w:pPr>
              <w:jc w:val="center"/>
              <w:ind w:right="152"/>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60" w:type="dxa"/>
            <w:vAlign w:val="bottom"/>
            <w:vMerge w:val="restart"/>
          </w:tcPr>
          <w:p>
            <w:pPr>
              <w:jc w:val="center"/>
              <w:ind w:right="152"/>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5494020</wp:posOffset>
            </wp:positionH>
            <wp:positionV relativeFrom="paragraph">
              <wp:posOffset>-654685</wp:posOffset>
            </wp:positionV>
            <wp:extent cx="59690" cy="6680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020"/>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-654685</wp:posOffset>
            </wp:positionV>
            <wp:extent cx="59690" cy="668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02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-1683385</wp:posOffset>
            </wp:positionH>
            <wp:positionV relativeFrom="paragraph">
              <wp:posOffset>29210</wp:posOffset>
            </wp:positionV>
            <wp:extent cx="7322820" cy="6243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243955"/>
                    </a:xfrm>
                    <a:prstGeom prst="rect">
                      <a:avLst/>
                    </a:prstGeom>
                    <a:noFill/>
                  </pic:spPr>
                </pic:pic>
              </a:graphicData>
            </a:graphic>
          </wp:anchor>
        </w:drawing>
      </w:r>
    </w:p>
    <w:p>
      <w:pPr>
        <w:spacing w:after="0" w:line="120" w:lineRule="exact"/>
        <w:rPr>
          <w:sz w:val="24"/>
          <w:szCs w:val="24"/>
          <w:color w:val="auto"/>
        </w:rPr>
      </w:pPr>
    </w:p>
    <w:p>
      <w:pPr>
        <w:sectPr>
          <w:pgSz w:w="11900" w:h="16838" w:orient="portrait"/>
          <w:cols w:equalWidth="0" w:num="2">
            <w:col w:w="2360" w:space="280"/>
            <w:col w:w="8880"/>
          </w:cols>
          <w:pgMar w:left="240" w:top="220"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Ardila Jaime</w:t>
        </w:r>
      </w:hyperlink>
    </w:p>
    <w:p>
      <w:pPr>
        <w:spacing w:after="0" w:line="300"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2" w:lineRule="exact"/>
        <w:rPr>
          <w:sz w:val="24"/>
          <w:szCs w:val="24"/>
          <w:color w:val="auto"/>
        </w:rPr>
      </w:pPr>
    </w:p>
    <w:p>
      <w:pPr>
        <w:ind w:left="120" w:right="960"/>
        <w:spacing w:after="0" w:line="295" w:lineRule="auto"/>
        <w:rPr>
          <w:sz w:val="20"/>
          <w:szCs w:val="20"/>
          <w:color w:val="auto"/>
        </w:rPr>
      </w:pPr>
      <w:r>
        <w:rPr>
          <w:rFonts w:ascii="Times New Roman" w:cs="Times New Roman" w:eastAsia="Times New Roman" w:hAnsi="Times New Roman"/>
          <w:sz w:val="18"/>
          <w:szCs w:val="18"/>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4" w:lineRule="exact"/>
        <w:rPr>
          <w:sz w:val="24"/>
          <w:szCs w:val="24"/>
          <w:color w:val="auto"/>
        </w:rPr>
      </w:pPr>
    </w:p>
    <w:p>
      <w:pPr>
        <w:jc w:val="center"/>
        <w:ind w:right="268"/>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General Motors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NO SYMBOL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09/30/2010</w:t>
      </w:r>
    </w:p>
    <w:p>
      <w:pPr>
        <w:spacing w:after="0" w:line="20" w:lineRule="exact"/>
        <w:rPr>
          <w:sz w:val="24"/>
          <w:szCs w:val="24"/>
          <w:color w:val="auto"/>
        </w:rPr>
      </w:pPr>
      <w:r>
        <w:rPr>
          <w:sz w:val="24"/>
          <w:szCs w:val="24"/>
          <w:color w:val="auto"/>
        </w:rPr>
        <w:br w:type="column"/>
      </w:r>
    </w:p>
    <w:p>
      <w:pPr>
        <w:ind w:left="-8" w:right="640" w:firstLine="8"/>
        <w:spacing w:after="0" w:line="27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12"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1"/>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1132"/>
        <w:spacing w:after="0"/>
        <w:rPr>
          <w:sz w:val="20"/>
          <w:szCs w:val="20"/>
          <w:color w:val="auto"/>
        </w:rPr>
      </w:pPr>
      <w:r>
        <w:rPr>
          <w:rFonts w:ascii="Times New Roman" w:cs="Times New Roman" w:eastAsia="Times New Roman" w:hAnsi="Times New Roman"/>
          <w:sz w:val="18"/>
          <w:szCs w:val="18"/>
          <w:color w:val="0000FF"/>
        </w:rPr>
        <w:t>Vice President</w:t>
      </w:r>
    </w:p>
    <w:p>
      <w:pPr>
        <w:spacing w:after="0" w:line="437" w:lineRule="exact"/>
        <w:rPr>
          <w:sz w:val="24"/>
          <w:szCs w:val="24"/>
          <w:color w:val="auto"/>
        </w:rPr>
      </w:pPr>
    </w:p>
    <w:p>
      <w:pPr>
        <w:sectPr>
          <w:pgSz w:w="11900" w:h="16838" w:orient="portrait"/>
          <w:cols w:equalWidth="0" w:num="3">
            <w:col w:w="3340" w:space="720"/>
            <w:col w:w="3268" w:space="720"/>
            <w:col w:w="3472"/>
          </w:cols>
          <w:pgMar w:left="240" w:top="220" w:right="139" w:bottom="1440" w:gutter="0" w:footer="0" w:header="0"/>
          <w:type w:val="continuous"/>
        </w:sectPr>
      </w:pP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840" w:type="dxa"/>
            <w:vAlign w:val="bottom"/>
            <w:gridSpan w:val="8"/>
          </w:tcPr>
          <w:p>
            <w:pPr>
              <w:jc w:val="center"/>
              <w:ind w:right="33"/>
              <w:spacing w:after="0" w:line="119" w:lineRule="exact"/>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00"/>
              <w:spacing w:after="0" w:line="119"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80" w:type="dxa"/>
            <w:vAlign w:val="bottom"/>
            <w:gridSpan w:val="4"/>
          </w:tcPr>
          <w:p>
            <w:pPr>
              <w:ind w:left="30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DETROIT</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w w:val="90"/>
              </w:rPr>
              <w:t>MI</w:t>
            </w:r>
          </w:p>
        </w:tc>
        <w:tc>
          <w:tcPr>
            <w:tcW w:w="1020" w:type="dxa"/>
            <w:vAlign w:val="bottom"/>
          </w:tcPr>
          <w:p>
            <w:pPr>
              <w:spacing w:after="0"/>
              <w:rPr>
                <w:sz w:val="11"/>
                <w:szCs w:val="11"/>
                <w:color w:val="auto"/>
              </w:rPr>
            </w:pPr>
          </w:p>
        </w:tc>
        <w:tc>
          <w:tcPr>
            <w:tcW w:w="1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48265-3000</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5"/>
          </w:tcPr>
          <w:p>
            <w:pPr>
              <w:spacing w:after="0"/>
              <w:rPr>
                <w:sz w:val="10"/>
                <w:szCs w:val="10"/>
                <w:color w:val="auto"/>
              </w:rPr>
            </w:pPr>
          </w:p>
        </w:tc>
        <w:tc>
          <w:tcPr>
            <w:tcW w:w="2740" w:type="dxa"/>
            <w:vAlign w:val="bottom"/>
            <w:tcBorders>
              <w:bottom w:val="single" w:sz="8" w:color="2C2C2C"/>
            </w:tcBorders>
            <w:gridSpan w:val="4"/>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22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20" w:type="dxa"/>
            <w:vAlign w:val="bottom"/>
            <w:tcBorders>
              <w:top w:val="single" w:sz="8" w:color="2C2C2C"/>
            </w:tcBorders>
          </w:tcPr>
          <w:p>
            <w:pPr>
              <w:spacing w:after="0"/>
              <w:rPr>
                <w:sz w:val="23"/>
                <w:szCs w:val="23"/>
                <w:color w:val="auto"/>
              </w:rPr>
            </w:pPr>
          </w:p>
        </w:tc>
        <w:tc>
          <w:tcPr>
            <w:tcW w:w="8060" w:type="dxa"/>
            <w:vAlign w:val="bottom"/>
            <w:tcBorders>
              <w:top w:val="single" w:sz="8" w:color="2C2C2C"/>
            </w:tcBorders>
            <w:gridSpan w:val="16"/>
          </w:tcPr>
          <w:p>
            <w:pPr>
              <w:ind w:left="7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20" w:type="dxa"/>
            <w:vAlign w:val="bottom"/>
            <w:tcBorders>
              <w:bottom w:val="single" w:sz="8" w:color="2C2C2C"/>
            </w:tcBorders>
            <w:gridSpan w:val="5"/>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2A. Deemed</w:t>
            </w:r>
          </w:p>
        </w:tc>
        <w:tc>
          <w:tcPr>
            <w:tcW w:w="320" w:type="dxa"/>
            <w:vAlign w:val="bottom"/>
          </w:tcPr>
          <w:p>
            <w:pPr>
              <w:spacing w:after="0"/>
              <w:rPr>
                <w:sz w:val="15"/>
                <w:szCs w:val="15"/>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ind w:left="700"/>
              <w:spacing w:after="0" w:line="130"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Amount</w:t>
            </w:r>
          </w:p>
        </w:tc>
        <w:tc>
          <w:tcPr>
            <w:tcW w:w="720" w:type="dxa"/>
            <w:vAlign w:val="bottom"/>
            <w:vMerge w:val="continue"/>
          </w:tcPr>
          <w:p>
            <w:pPr>
              <w:spacing w:after="0"/>
              <w:rPr>
                <w:sz w:val="11"/>
                <w:szCs w:val="11"/>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r>
              <w:rPr>
                <w:rFonts w:ascii="Times New Roman" w:cs="Times New Roman" w:eastAsia="Times New Roman" w:hAnsi="Times New Roman"/>
                <w:sz w:val="22"/>
                <w:szCs w:val="22"/>
                <w:color w:val="008000"/>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8"/>
                <w:szCs w:val="18"/>
                <w:color w:val="0000FF"/>
              </w:rPr>
              <w:t>09/30/2010</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6"/>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right"/>
              <w:ind w:right="52"/>
              <w:spacing w:after="0"/>
              <w:rPr>
                <w:sz w:val="20"/>
                <w:szCs w:val="20"/>
                <w:color w:val="auto"/>
              </w:rPr>
            </w:pPr>
            <w:r>
              <w:rPr>
                <w:rFonts w:ascii="Times New Roman" w:cs="Times New Roman" w:eastAsia="Times New Roman" w:hAnsi="Times New Roman"/>
                <w:sz w:val="18"/>
                <w:szCs w:val="18"/>
                <w:color w:val="0000FF"/>
              </w:rPr>
              <w:t>516</w:t>
            </w:r>
          </w:p>
        </w:tc>
        <w:tc>
          <w:tcPr>
            <w:tcW w:w="720" w:type="dxa"/>
            <w:vAlign w:val="bottom"/>
            <w:tcBorders>
              <w:bottom w:val="single" w:sz="8" w:color="2C2C2C"/>
            </w:tcBorders>
          </w:tcPr>
          <w:p>
            <w:pPr>
              <w:jc w:val="right"/>
              <w:ind w:right="173"/>
              <w:spacing w:after="0"/>
              <w:rPr>
                <w:sz w:val="20"/>
                <w:szCs w:val="20"/>
                <w:color w:val="auto"/>
              </w:rPr>
            </w:pPr>
            <w:r>
              <w:rPr>
                <w:rFonts w:ascii="Times New Roman" w:cs="Times New Roman" w:eastAsia="Times New Roman" w:hAnsi="Times New Roman"/>
                <w:sz w:val="18"/>
                <w:szCs w:val="18"/>
                <w:color w:val="0000FF"/>
              </w:rPr>
              <w:t>A</w:t>
            </w:r>
          </w:p>
        </w:tc>
        <w:tc>
          <w:tcPr>
            <w:tcW w:w="540" w:type="dxa"/>
            <w:vAlign w:val="bottom"/>
            <w:tcBorders>
              <w:bottom w:val="single" w:sz="8" w:color="2C2C2C"/>
            </w:tcBorders>
          </w:tcPr>
          <w:p>
            <w:pPr>
              <w:jc w:val="right"/>
              <w:spacing w:after="0" w:line="324" w:lineRule="exact"/>
              <w:rPr>
                <w:sz w:val="20"/>
                <w:szCs w:val="20"/>
                <w:color w:val="auto"/>
              </w:rPr>
            </w:pPr>
            <w:r>
              <w:rPr>
                <w:rFonts w:ascii="Arial" w:cs="Arial" w:eastAsia="Arial" w:hAnsi="Arial"/>
                <w:sz w:val="35"/>
                <w:szCs w:val="35"/>
                <w:color w:val="000000"/>
                <w:vertAlign w:val="subscript"/>
              </w:rPr>
              <w:t>$</w:t>
            </w:r>
            <w:r>
              <w:rPr>
                <w:rFonts w:ascii="Times New Roman" w:cs="Times New Roman" w:eastAsia="Times New Roman" w:hAnsi="Times New Roman"/>
                <w:sz w:val="35"/>
                <w:szCs w:val="35"/>
                <w:color w:val="0000FF"/>
                <w:vertAlign w:val="subscript"/>
              </w:rPr>
              <w:t>0</w:t>
            </w:r>
            <w:r>
              <w:rPr>
                <w:rFonts w:ascii="Times New Roman" w:cs="Times New Roman" w:eastAsia="Times New Roman" w:hAnsi="Times New Roman"/>
                <w:sz w:val="11"/>
                <w:szCs w:val="11"/>
                <w:color w:val="008000"/>
              </w:rPr>
              <w:t>(2)</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11"/>
              <w:spacing w:after="0"/>
              <w:rPr>
                <w:sz w:val="20"/>
                <w:szCs w:val="20"/>
                <w:color w:val="auto"/>
              </w:rPr>
            </w:pPr>
            <w:r>
              <w:rPr>
                <w:rFonts w:ascii="Times New Roman" w:cs="Times New Roman" w:eastAsia="Times New Roman" w:hAnsi="Times New Roman"/>
                <w:sz w:val="18"/>
                <w:szCs w:val="18"/>
                <w:color w:val="0000FF"/>
              </w:rPr>
              <w:t>516</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8"/>
                <w:szCs w:val="18"/>
                <w:color w:val="0000FF"/>
              </w:rPr>
              <w:t>09/30/2010</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6"/>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Borders>
              <w:bottom w:val="single" w:sz="8" w:color="2C2C2C"/>
            </w:tcBorders>
          </w:tcPr>
          <w:p>
            <w:pPr>
              <w:jc w:val="right"/>
              <w:ind w:right="52"/>
              <w:spacing w:after="0"/>
              <w:rPr>
                <w:sz w:val="20"/>
                <w:szCs w:val="20"/>
                <w:color w:val="auto"/>
              </w:rPr>
            </w:pPr>
            <w:r>
              <w:rPr>
                <w:rFonts w:ascii="Times New Roman" w:cs="Times New Roman" w:eastAsia="Times New Roman" w:hAnsi="Times New Roman"/>
                <w:sz w:val="18"/>
                <w:szCs w:val="18"/>
                <w:color w:val="0000FF"/>
              </w:rPr>
              <w:t>345</w:t>
            </w:r>
          </w:p>
        </w:tc>
        <w:tc>
          <w:tcPr>
            <w:tcW w:w="720" w:type="dxa"/>
            <w:vAlign w:val="bottom"/>
            <w:tcBorders>
              <w:bottom w:val="single" w:sz="8" w:color="2C2C2C"/>
            </w:tcBorders>
          </w:tcPr>
          <w:p>
            <w:pPr>
              <w:jc w:val="right"/>
              <w:ind w:right="173"/>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53.98</w:t>
            </w:r>
            <w:r>
              <w:rPr>
                <w:rFonts w:ascii="Times New Roman" w:cs="Times New Roman" w:eastAsia="Times New Roman" w:hAnsi="Times New Roman"/>
                <w:sz w:val="22"/>
                <w:szCs w:val="22"/>
                <w:color w:val="008000"/>
                <w:vertAlign w:val="superscript"/>
              </w:rPr>
              <w:t>(2)</w:t>
            </w: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11"/>
              <w:spacing w:after="0"/>
              <w:rPr>
                <w:sz w:val="20"/>
                <w:szCs w:val="20"/>
                <w:color w:val="auto"/>
              </w:rPr>
            </w:pPr>
            <w:r>
              <w:rPr>
                <w:rFonts w:ascii="Times New Roman" w:cs="Times New Roman" w:eastAsia="Times New Roman" w:hAnsi="Times New Roman"/>
                <w:sz w:val="18"/>
                <w:szCs w:val="18"/>
                <w:color w:val="0000FF"/>
              </w:rPr>
              <w:t>171</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8"/>
                <w:szCs w:val="18"/>
                <w:color w:val="0000FF"/>
              </w:rPr>
              <w:t>09/30/2010</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6"/>
              <w:spacing w:after="0"/>
              <w:rPr>
                <w:sz w:val="20"/>
                <w:szCs w:val="20"/>
                <w:color w:val="auto"/>
              </w:rPr>
            </w:pPr>
            <w:r>
              <w:rPr>
                <w:rFonts w:ascii="Times New Roman" w:cs="Times New Roman" w:eastAsia="Times New Roman" w:hAnsi="Times New Roman"/>
                <w:sz w:val="13"/>
                <w:szCs w:val="13"/>
                <w:color w:val="0000FF"/>
                <w:w w:val="82"/>
              </w:rPr>
              <w:t>F</w:t>
            </w:r>
          </w:p>
        </w:tc>
        <w:tc>
          <w:tcPr>
            <w:tcW w:w="700" w:type="dxa"/>
            <w:vAlign w:val="bottom"/>
            <w:tcBorders>
              <w:bottom w:val="single" w:sz="8" w:color="2C2C2C"/>
            </w:tcBorders>
          </w:tcPr>
          <w:p>
            <w:pPr>
              <w:jc w:val="right"/>
              <w:ind w:right="52"/>
              <w:spacing w:after="0"/>
              <w:rPr>
                <w:sz w:val="20"/>
                <w:szCs w:val="20"/>
                <w:color w:val="auto"/>
              </w:rPr>
            </w:pPr>
            <w:r>
              <w:rPr>
                <w:rFonts w:ascii="Times New Roman" w:cs="Times New Roman" w:eastAsia="Times New Roman" w:hAnsi="Times New Roman"/>
                <w:sz w:val="18"/>
                <w:szCs w:val="18"/>
                <w:color w:val="0000FF"/>
              </w:rPr>
              <w:t>171</w:t>
            </w:r>
          </w:p>
        </w:tc>
        <w:tc>
          <w:tcPr>
            <w:tcW w:w="720" w:type="dxa"/>
            <w:vAlign w:val="bottom"/>
            <w:tcBorders>
              <w:bottom w:val="single" w:sz="8" w:color="2C2C2C"/>
            </w:tcBorders>
          </w:tcPr>
          <w:p>
            <w:pPr>
              <w:jc w:val="right"/>
              <w:ind w:right="173"/>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53.98</w:t>
            </w:r>
            <w:r>
              <w:rPr>
                <w:rFonts w:ascii="Times New Roman" w:cs="Times New Roman" w:eastAsia="Times New Roman" w:hAnsi="Times New Roman"/>
                <w:sz w:val="22"/>
                <w:szCs w:val="22"/>
                <w:color w:val="008000"/>
                <w:vertAlign w:val="superscript"/>
              </w:rPr>
              <w:t>(2)</w:t>
            </w: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11"/>
              <w:spacing w:after="0"/>
              <w:rPr>
                <w:sz w:val="20"/>
                <w:szCs w:val="20"/>
                <w:color w:val="auto"/>
              </w:rPr>
            </w:pPr>
            <w:r>
              <w:rPr>
                <w:rFonts w:ascii="Times New Roman" w:cs="Times New Roman" w:eastAsia="Times New Roman" w:hAnsi="Times New Roman"/>
                <w:sz w:val="18"/>
                <w:szCs w:val="18"/>
                <w:color w:val="0000FF"/>
                <w:w w:val="88"/>
              </w:rPr>
              <w:t>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jc w:val="center"/>
              <w:ind w:right="411"/>
              <w:spacing w:after="0"/>
              <w:rPr>
                <w:sz w:val="20"/>
                <w:szCs w:val="20"/>
                <w:color w:val="auto"/>
              </w:rPr>
            </w:pPr>
            <w:r>
              <w:rPr>
                <w:rFonts w:ascii="Times New Roman" w:cs="Times New Roman" w:eastAsia="Times New Roman" w:hAnsi="Times New Roman"/>
                <w:sz w:val="18"/>
                <w:szCs w:val="18"/>
                <w:color w:val="0000FF"/>
                <w:w w:val="88"/>
              </w:rPr>
              <w:t>0</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8"/>
          </w:tcPr>
          <w:p>
            <w:pPr>
              <w:spacing w:after="0"/>
              <w:rPr>
                <w:sz w:val="8"/>
                <w:szCs w:val="8"/>
                <w:color w:val="auto"/>
              </w:rPr>
            </w:pPr>
          </w:p>
        </w:tc>
        <w:tc>
          <w:tcPr>
            <w:tcW w:w="2740" w:type="dxa"/>
            <w:vAlign w:val="bottom"/>
            <w:tcBorders>
              <w:bottom w:val="single" w:sz="8" w:color="2C2C2C"/>
            </w:tcBorders>
            <w:gridSpan w:val="4"/>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5"/>
          </w:tcPr>
          <w:p>
            <w:pPr>
              <w:jc w:val="center"/>
              <w:ind w:left="93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700" w:type="dxa"/>
            <w:vAlign w:val="bottom"/>
            <w:gridSpan w:val="12"/>
          </w:tcPr>
          <w:p>
            <w:pPr>
              <w:jc w:val="center"/>
              <w:ind w:left="48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060" w:type="dxa"/>
            <w:vAlign w:val="bottom"/>
            <w:gridSpan w:val="2"/>
          </w:tcPr>
          <w:p>
            <w:pPr>
              <w:ind w:left="16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7"/>
              </w:rPr>
              <w:t>Derivative</w:t>
            </w: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10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jc w:val="right"/>
              <w:ind w:right="332"/>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continue"/>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Times New Roman" w:cs="Times New Roman" w:eastAsia="Times New Roman" w:hAnsi="Times New Roman"/>
                <w:sz w:val="26"/>
                <w:szCs w:val="26"/>
                <w:color w:val="0000FF"/>
                <w:vertAlign w:val="subscript"/>
              </w:rPr>
              <w:t>0</w:t>
            </w:r>
            <w:r>
              <w:rPr>
                <w:rFonts w:ascii="Times New Roman" w:cs="Times New Roman" w:eastAsia="Times New Roman" w:hAnsi="Times New Roman"/>
                <w:sz w:val="11"/>
                <w:szCs w:val="11"/>
                <w:color w:val="008000"/>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109"/>
              <w:spacing w:after="0"/>
              <w:rPr>
                <w:sz w:val="20"/>
                <w:szCs w:val="20"/>
                <w:color w:val="auto"/>
              </w:rPr>
            </w:pPr>
            <w:r>
              <w:rPr>
                <w:rFonts w:ascii="Times New Roman" w:cs="Times New Roman" w:eastAsia="Times New Roman" w:hAnsi="Times New Roman"/>
                <w:sz w:val="18"/>
                <w:szCs w:val="18"/>
                <w:color w:val="0000FF"/>
              </w:rPr>
              <w:t>516</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8"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8" w:lineRule="exact"/>
              <w:rPr>
                <w:sz w:val="20"/>
                <w:szCs w:val="20"/>
                <w:color w:val="auto"/>
              </w:rPr>
            </w:pPr>
            <w:r>
              <w:rPr>
                <w:rFonts w:ascii="Times New Roman" w:cs="Times New Roman" w:eastAsia="Times New Roman" w:hAnsi="Times New Roman"/>
                <w:sz w:val="13"/>
                <w:szCs w:val="13"/>
                <w:color w:val="0000FF"/>
              </w:rPr>
              <w:t>09/30/2010</w:t>
            </w: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ind w:left="80"/>
              <w:spacing w:after="0" w:line="148" w:lineRule="exact"/>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vMerge w:val="restart"/>
          </w:tcPr>
          <w:p>
            <w:pPr>
              <w:spacing w:after="0" w:line="148" w:lineRule="exact"/>
              <w:rPr>
                <w:sz w:val="20"/>
                <w:szCs w:val="20"/>
                <w:color w:val="auto"/>
              </w:rPr>
            </w:pPr>
            <w:r>
              <w:rPr>
                <w:rFonts w:ascii="Times New Roman" w:cs="Times New Roman" w:eastAsia="Times New Roman" w:hAnsi="Times New Roman"/>
                <w:sz w:val="13"/>
                <w:szCs w:val="13"/>
                <w:color w:val="0000FF"/>
              </w:rPr>
              <w:t>516</w:t>
            </w: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gridSpan w:val="2"/>
            <w:vMerge w:val="restart"/>
          </w:tcPr>
          <w:p>
            <w:pPr>
              <w:jc w:val="right"/>
              <w:ind w:right="158"/>
              <w:spacing w:after="0"/>
              <w:rPr>
                <w:sz w:val="20"/>
                <w:szCs w:val="20"/>
                <w:color w:val="auto"/>
              </w:rPr>
            </w:pPr>
            <w:r>
              <w:rPr>
                <w:rFonts w:ascii="Times New Roman" w:cs="Times New Roman" w:eastAsia="Times New Roman" w:hAnsi="Times New Roman"/>
                <w:sz w:val="11"/>
                <w:szCs w:val="11"/>
                <w:color w:val="008000"/>
              </w:rPr>
              <w:t>(2)</w:t>
            </w:r>
          </w:p>
        </w:tc>
        <w:tc>
          <w:tcPr>
            <w:tcW w:w="760" w:type="dxa"/>
            <w:vAlign w:val="bottom"/>
            <w:vMerge w:val="restart"/>
          </w:tcPr>
          <w:p>
            <w:pPr>
              <w:ind w:left="420"/>
              <w:spacing w:after="0" w:line="148" w:lineRule="exact"/>
              <w:rPr>
                <w:sz w:val="20"/>
                <w:szCs w:val="20"/>
                <w:color w:val="auto"/>
              </w:rPr>
            </w:pPr>
            <w:r>
              <w:rPr>
                <w:rFonts w:ascii="Times New Roman" w:cs="Times New Roman" w:eastAsia="Times New Roman" w:hAnsi="Times New Roman"/>
                <w:sz w:val="13"/>
                <w:szCs w:val="13"/>
                <w:color w:val="0000FF"/>
              </w:rPr>
              <w:t>1,032</w:t>
            </w:r>
          </w:p>
        </w:tc>
        <w:tc>
          <w:tcPr>
            <w:tcW w:w="300" w:type="dxa"/>
            <w:vAlign w:val="bottom"/>
          </w:tcPr>
          <w:p>
            <w:pPr>
              <w:spacing w:after="0"/>
              <w:rPr>
                <w:sz w:val="7"/>
                <w:szCs w:val="7"/>
                <w:color w:val="auto"/>
              </w:rPr>
            </w:pPr>
          </w:p>
        </w:tc>
        <w:tc>
          <w:tcPr>
            <w:tcW w:w="700" w:type="dxa"/>
            <w:vAlign w:val="bottom"/>
            <w:vMerge w:val="restart"/>
          </w:tcPr>
          <w:p>
            <w:pPr>
              <w:ind w:left="340"/>
              <w:spacing w:after="0" w:line="148"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vMerge w:val="restart"/>
          </w:tcPr>
          <w:p>
            <w:pPr>
              <w:jc w:val="right"/>
              <w:ind w:right="173"/>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1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Times New Roman" w:cs="Times New Roman" w:eastAsia="Times New Roman" w:hAnsi="Times New Roman"/>
                <w:sz w:val="26"/>
                <w:szCs w:val="26"/>
                <w:color w:val="0000FF"/>
                <w:vertAlign w:val="subscript"/>
              </w:rPr>
              <w:t>0</w:t>
            </w:r>
            <w:r>
              <w:rPr>
                <w:rFonts w:ascii="Times New Roman" w:cs="Times New Roman" w:eastAsia="Times New Roman" w:hAnsi="Times New Roman"/>
                <w:sz w:val="11"/>
                <w:szCs w:val="11"/>
                <w:color w:val="008000"/>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0000FF"/>
              </w:rPr>
              <w:t>4,231</w:t>
            </w:r>
          </w:p>
        </w:tc>
        <w:tc>
          <w:tcPr>
            <w:tcW w:w="60" w:type="dxa"/>
            <w:vAlign w:val="bottom"/>
          </w:tcPr>
          <w:p>
            <w:pPr>
              <w:spacing w:after="0"/>
              <w:rPr>
                <w:sz w:val="16"/>
                <w:szCs w:val="16"/>
                <w:color w:val="auto"/>
              </w:rPr>
            </w:pPr>
          </w:p>
        </w:tc>
        <w:tc>
          <w:tcPr>
            <w:tcW w:w="580" w:type="dxa"/>
            <w:vAlign w:val="bottom"/>
            <w:gridSpan w:val="2"/>
            <w:vMerge w:val="restart"/>
          </w:tcPr>
          <w:p>
            <w:pPr>
              <w:jc w:val="center"/>
              <w:ind w:right="58"/>
              <w:spacing w:after="0"/>
              <w:rPr>
                <w:sz w:val="20"/>
                <w:szCs w:val="20"/>
                <w:color w:val="auto"/>
              </w:rPr>
            </w:pPr>
            <w:r>
              <w:rPr>
                <w:rFonts w:ascii="Arial" w:cs="Arial" w:eastAsia="Arial" w:hAnsi="Arial"/>
                <w:sz w:val="24"/>
                <w:szCs w:val="24"/>
                <w:color w:val="000000"/>
                <w:vertAlign w:val="subscript"/>
              </w:rPr>
              <w:t>$</w:t>
            </w:r>
            <w:r>
              <w:rPr>
                <w:rFonts w:ascii="Times New Roman" w:cs="Times New Roman" w:eastAsia="Times New Roman" w:hAnsi="Times New Roman"/>
                <w:sz w:val="26"/>
                <w:szCs w:val="26"/>
                <w:color w:val="0000FF"/>
                <w:vertAlign w:val="subscript"/>
              </w:rPr>
              <w:t>0</w:t>
            </w:r>
            <w:r>
              <w:rPr>
                <w:rFonts w:ascii="Times New Roman" w:cs="Times New Roman" w:eastAsia="Times New Roman" w:hAnsi="Times New Roman"/>
                <w:sz w:val="11"/>
                <w:szCs w:val="11"/>
                <w:color w:val="008000"/>
              </w:rPr>
              <w:t>(3)</w:t>
            </w: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8"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8" w:lineRule="exact"/>
              <w:rPr>
                <w:sz w:val="20"/>
                <w:szCs w:val="20"/>
                <w:color w:val="auto"/>
              </w:rPr>
            </w:pPr>
            <w:r>
              <w:rPr>
                <w:rFonts w:ascii="Times New Roman" w:cs="Times New Roman" w:eastAsia="Times New Roman" w:hAnsi="Times New Roman"/>
                <w:sz w:val="13"/>
                <w:szCs w:val="13"/>
                <w:color w:val="0000FF"/>
              </w:rPr>
              <w:t>09/30/2010</w:t>
            </w: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ind w:left="100"/>
              <w:spacing w:after="0" w:line="148" w:lineRule="exact"/>
              <w:rPr>
                <w:sz w:val="20"/>
                <w:szCs w:val="20"/>
                <w:color w:val="auto"/>
              </w:rPr>
            </w:pPr>
            <w:r>
              <w:rPr>
                <w:rFonts w:ascii="Times New Roman" w:cs="Times New Roman" w:eastAsia="Times New Roman" w:hAnsi="Times New Roman"/>
                <w:sz w:val="13"/>
                <w:szCs w:val="13"/>
                <w:color w:val="0000FF"/>
              </w:rPr>
              <w:t>A</w:t>
            </w:r>
          </w:p>
        </w:tc>
        <w:tc>
          <w:tcPr>
            <w:tcW w:w="220" w:type="dxa"/>
            <w:vAlign w:val="bottom"/>
          </w:tcPr>
          <w:p>
            <w:pPr>
              <w:spacing w:after="0"/>
              <w:rPr>
                <w:sz w:val="7"/>
                <w:szCs w:val="7"/>
                <w:color w:val="auto"/>
              </w:rPr>
            </w:pPr>
          </w:p>
        </w:tc>
        <w:tc>
          <w:tcPr>
            <w:tcW w:w="520" w:type="dxa"/>
            <w:vAlign w:val="bottom"/>
            <w:vMerge w:val="restart"/>
          </w:tcPr>
          <w:p>
            <w:pPr>
              <w:ind w:left="80"/>
              <w:spacing w:after="0" w:line="148" w:lineRule="exact"/>
              <w:rPr>
                <w:sz w:val="20"/>
                <w:szCs w:val="20"/>
                <w:color w:val="auto"/>
              </w:rPr>
            </w:pPr>
            <w:r>
              <w:rPr>
                <w:rFonts w:ascii="Times New Roman" w:cs="Times New Roman" w:eastAsia="Times New Roman" w:hAnsi="Times New Roman"/>
                <w:sz w:val="13"/>
                <w:szCs w:val="13"/>
                <w:color w:val="0000FF"/>
              </w:rPr>
              <w:t>4,231</w:t>
            </w:r>
          </w:p>
        </w:tc>
        <w:tc>
          <w:tcPr>
            <w:tcW w:w="320" w:type="dxa"/>
            <w:vAlign w:val="bottom"/>
          </w:tcPr>
          <w:p>
            <w:pPr>
              <w:spacing w:after="0"/>
              <w:rPr>
                <w:sz w:val="7"/>
                <w:szCs w:val="7"/>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760" w:type="dxa"/>
            <w:vAlign w:val="bottom"/>
            <w:vMerge w:val="restart"/>
          </w:tcPr>
          <w:p>
            <w:pPr>
              <w:ind w:left="420"/>
              <w:spacing w:after="0" w:line="148" w:lineRule="exact"/>
              <w:rPr>
                <w:sz w:val="20"/>
                <w:szCs w:val="20"/>
                <w:color w:val="auto"/>
              </w:rPr>
            </w:pPr>
            <w:r>
              <w:rPr>
                <w:rFonts w:ascii="Times New Roman" w:cs="Times New Roman" w:eastAsia="Times New Roman" w:hAnsi="Times New Roman"/>
                <w:sz w:val="13"/>
                <w:szCs w:val="13"/>
                <w:color w:val="0000FF"/>
              </w:rPr>
              <w:t>4,231</w:t>
            </w:r>
          </w:p>
        </w:tc>
        <w:tc>
          <w:tcPr>
            <w:tcW w:w="300" w:type="dxa"/>
            <w:vAlign w:val="bottom"/>
          </w:tcPr>
          <w:p>
            <w:pPr>
              <w:spacing w:after="0"/>
              <w:rPr>
                <w:sz w:val="7"/>
                <w:szCs w:val="7"/>
                <w:color w:val="auto"/>
              </w:rPr>
            </w:pPr>
          </w:p>
        </w:tc>
        <w:tc>
          <w:tcPr>
            <w:tcW w:w="700" w:type="dxa"/>
            <w:vAlign w:val="bottom"/>
            <w:vMerge w:val="restart"/>
          </w:tcPr>
          <w:p>
            <w:pPr>
              <w:ind w:left="340"/>
              <w:spacing w:after="0" w:line="148"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vMerge w:val="restart"/>
          </w:tcPr>
          <w:p>
            <w:pPr>
              <w:jc w:val="right"/>
              <w:ind w:right="173"/>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2"/>
                <w:szCs w:val="22"/>
                <w:color w:val="008000"/>
                <w:vertAlign w:val="superscript"/>
              </w:rPr>
              <w:t>(3)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40" w:right="360" w:firstLine="8"/>
        <w:spacing w:after="0" w:line="277" w:lineRule="auto"/>
        <w:tabs>
          <w:tab w:leader="none" w:pos="17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Salary Stock Units ("SSUs") reported in this item were awarded on September 30, 2009 pursuant to the Company's Salary Stock Plan (the "GMSSP") and vested upon grant. The portion of this award currently payable was settled on September 30, 2010 in cash, less a portion withheld for taxes.</w:t>
      </w:r>
    </w:p>
    <w:p>
      <w:pPr>
        <w:spacing w:after="0" w:line="5" w:lineRule="exact"/>
        <w:rPr>
          <w:rFonts w:ascii="Times New Roman" w:cs="Times New Roman" w:eastAsia="Times New Roman" w:hAnsi="Times New Roman"/>
          <w:sz w:val="13"/>
          <w:szCs w:val="13"/>
          <w:color w:val="008000"/>
        </w:rPr>
      </w:pPr>
    </w:p>
    <w:p>
      <w:pPr>
        <w:ind w:left="40" w:right="340" w:firstLine="8"/>
        <w:spacing w:after="0" w:line="277" w:lineRule="auto"/>
        <w:tabs>
          <w:tab w:leader="none" w:pos="17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SSUs do not have an expiration or exercise date or carry a conversion or exercise price. Each SSU is the economic equivalent of one share of the Company's common stock. Since there currently is no observable publicly traded price for the Company's common stock, the fair value of the Company's common stock is estimated pursuant to the GMSSP.</w:t>
      </w:r>
    </w:p>
    <w:p>
      <w:pPr>
        <w:spacing w:after="0" w:line="5" w:lineRule="exact"/>
        <w:rPr>
          <w:rFonts w:ascii="Times New Roman" w:cs="Times New Roman" w:eastAsia="Times New Roman" w:hAnsi="Times New Roman"/>
          <w:sz w:val="13"/>
          <w:szCs w:val="13"/>
          <w:color w:val="008000"/>
        </w:rPr>
      </w:pPr>
    </w:p>
    <w:p>
      <w:pPr>
        <w:ind w:left="40" w:right="220" w:firstLine="8"/>
        <w:spacing w:after="0" w:line="251" w:lineRule="auto"/>
        <w:tabs>
          <w:tab w:leader="none" w:pos="17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SSUs reported in this item were awarded on September 30, 2010, and will be settled in three equal, annual installments beginning on September 30, 2011. Each SSU is fully vested and represents a right to receive one share of the Company's common stock on the applicable settlement date; provided, however, that if a settlement date occurs prior to the date that is six months following a consummation of an initial public offering of the Company's common stock, the SSU will be settled by the delivery of cash in an amount equal to the Fair Market Value (as defined in the GMSSP) of the Company's common stock as of the applicable anniversary date of the SSU's grant. The SSUs do not have an expiration or exercise date.</w:t>
      </w:r>
    </w:p>
    <w:p>
      <w:pPr>
        <w:spacing w:after="0" w:line="30"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6"/>
              </w:rPr>
              <w:t>/s/ Anne T. Larin, attorney-in-</w:t>
            </w:r>
          </w:p>
        </w:tc>
        <w:tc>
          <w:tcPr>
            <w:tcW w:w="8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0000FF"/>
                <w:w w:val="95"/>
              </w:rPr>
              <w:t>10/04/2010</w:t>
            </w:r>
          </w:p>
        </w:tc>
        <w:tc>
          <w:tcPr>
            <w:tcW w:w="0" w:type="dxa"/>
            <w:vAlign w:val="bottom"/>
          </w:tcPr>
          <w:p>
            <w:pPr>
              <w:spacing w:after="0"/>
              <w:rPr>
                <w:sz w:val="1"/>
                <w:szCs w:val="1"/>
                <w:color w:val="auto"/>
              </w:rPr>
            </w:pPr>
          </w:p>
        </w:tc>
      </w:tr>
      <w:tr>
        <w:trPr>
          <w:trHeight w:val="88"/>
        </w:trPr>
        <w:tc>
          <w:tcPr>
            <w:tcW w:w="13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5"/>
              </w:rPr>
              <w:t>fact for Mr. Ardila</w:t>
            </w:r>
          </w:p>
        </w:tc>
        <w:tc>
          <w:tcPr>
            <w:tcW w:w="90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0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3" w:lineRule="exact"/>
        <w:rPr>
          <w:sz w:val="24"/>
          <w:szCs w:val="24"/>
          <w:color w:val="auto"/>
        </w:rPr>
      </w:pPr>
    </w:p>
    <w:p>
      <w:pPr>
        <w:jc w:val="both"/>
        <w:ind w:left="40" w:right="3680" w:firstLine="8"/>
        <w:spacing w:after="0" w:line="323"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0"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575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2019-12-17T00:17:19Z</dcterms:created>
  <dcterms:modified xsi:type="dcterms:W3CDTF">2019-12-17T00:17:19Z</dcterms:modified>
</cp:coreProperties>
</file>