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5625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62546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078"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Barra Mary T</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940"/>
        <w:spacing w:after="0" w:line="321" w:lineRule="auto"/>
        <w:rPr>
          <w:sz w:val="20"/>
          <w:szCs w:val="20"/>
          <w:color w:val="auto"/>
        </w:rPr>
      </w:pPr>
      <w:r>
        <w:rPr>
          <w:rFonts w:ascii="Times New Roman" w:cs="Times New Roman" w:eastAsia="Times New Roman" w:hAnsi="Times New Roman"/>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General Motors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GM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02/06/2025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1124"/>
        <w:spacing w:after="0"/>
        <w:rPr>
          <w:sz w:val="20"/>
          <w:szCs w:val="20"/>
          <w:color w:val="auto"/>
        </w:rPr>
      </w:pPr>
      <w:r>
        <w:rPr>
          <w:rFonts w:ascii="Times New Roman" w:cs="Times New Roman" w:eastAsia="Times New Roman" w:hAnsi="Times New Roman"/>
          <w:sz w:val="17"/>
          <w:szCs w:val="17"/>
          <w:color w:val="0000FF"/>
        </w:rPr>
        <w:t>Chair &amp; CEO</w:t>
      </w:r>
    </w:p>
    <w:p>
      <w:pPr>
        <w:spacing w:after="0" w:line="405" w:lineRule="exact"/>
        <w:rPr>
          <w:sz w:val="24"/>
          <w:szCs w:val="24"/>
          <w:color w:val="auto"/>
        </w:rPr>
      </w:pPr>
    </w:p>
    <w:p>
      <w:pPr>
        <w:sectPr>
          <w:pgSz w:w="11900" w:h="16838" w:orient="portrait"/>
          <w:cols w:equalWidth="0" w:num="3">
            <w:col w:w="3180" w:space="720"/>
            <w:col w:w="3116" w:space="720"/>
            <w:col w:w="3344"/>
          </w:cols>
          <w:pgMar w:left="460" w:top="216" w:right="359" w:bottom="1078"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DETROIT</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MI</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48265-3000</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760" w:space="140"/>
            <w:col w:w="7180"/>
          </w:cols>
          <w:pgMar w:left="460" w:top="216" w:right="359" w:bottom="107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591"/>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11"/>
              <w:spacing w:after="0"/>
              <w:rPr>
                <w:sz w:val="20"/>
                <w:szCs w:val="20"/>
                <w:color w:val="auto"/>
              </w:rPr>
            </w:pPr>
            <w:r>
              <w:rPr>
                <w:rFonts w:ascii="Times New Roman" w:cs="Times New Roman" w:eastAsia="Times New Roman" w:hAnsi="Times New Roman"/>
                <w:sz w:val="17"/>
                <w:szCs w:val="17"/>
                <w:color w:val="0000FF"/>
                <w:w w:val="98"/>
              </w:rPr>
              <w:t>02/06/2025</w:t>
            </w:r>
          </w:p>
        </w:tc>
        <w:tc>
          <w:tcPr>
            <w:tcW w:w="10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jc w:val="center"/>
              <w:ind w:left="73"/>
              <w:spacing w:after="0"/>
              <w:rPr>
                <w:sz w:val="20"/>
                <w:szCs w:val="20"/>
                <w:color w:val="auto"/>
              </w:rPr>
            </w:pPr>
            <w:r>
              <w:rPr>
                <w:rFonts w:ascii="Times New Roman" w:cs="Times New Roman" w:eastAsia="Times New Roman" w:hAnsi="Times New Roman"/>
                <w:sz w:val="17"/>
                <w:szCs w:val="17"/>
                <w:color w:val="0000FF"/>
                <w:w w:val="98"/>
              </w:rPr>
              <w:t>42,730</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6"/>
              <w:spacing w:after="0" w:line="305"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2"/>
              <w:spacing w:after="0"/>
              <w:rPr>
                <w:sz w:val="20"/>
                <w:szCs w:val="20"/>
                <w:color w:val="auto"/>
              </w:rPr>
            </w:pPr>
            <w:r>
              <w:rPr>
                <w:rFonts w:ascii="Times New Roman" w:cs="Times New Roman" w:eastAsia="Times New Roman" w:hAnsi="Times New Roman"/>
                <w:sz w:val="17"/>
                <w:szCs w:val="17"/>
                <w:color w:val="0000FF"/>
              </w:rPr>
              <w:t>737,278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40" w:type="dxa"/>
            <w:vAlign w:val="bottom"/>
            <w:gridSpan w:val="2"/>
          </w:tcPr>
          <w:p>
            <w:pPr>
              <w:jc w:val="center"/>
              <w:ind w:left="611"/>
              <w:spacing w:after="0"/>
              <w:rPr>
                <w:sz w:val="20"/>
                <w:szCs w:val="20"/>
                <w:color w:val="auto"/>
              </w:rPr>
            </w:pPr>
            <w:r>
              <w:rPr>
                <w:rFonts w:ascii="Times New Roman" w:cs="Times New Roman" w:eastAsia="Times New Roman" w:hAnsi="Times New Roman"/>
                <w:sz w:val="17"/>
                <w:szCs w:val="17"/>
                <w:color w:val="0000FF"/>
                <w:w w:val="98"/>
              </w:rPr>
              <w:t>02/06/2025</w:t>
            </w: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jc w:val="center"/>
              <w:ind w:right="259"/>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center"/>
              <w:ind w:left="73"/>
              <w:spacing w:after="0"/>
              <w:rPr>
                <w:sz w:val="20"/>
                <w:szCs w:val="20"/>
                <w:color w:val="auto"/>
              </w:rPr>
            </w:pPr>
            <w:r>
              <w:rPr>
                <w:rFonts w:ascii="Times New Roman" w:cs="Times New Roman" w:eastAsia="Times New Roman" w:hAnsi="Times New Roman"/>
                <w:sz w:val="17"/>
                <w:szCs w:val="17"/>
                <w:color w:val="0000FF"/>
                <w:w w:val="98"/>
              </w:rPr>
              <w:t>14,501</w:t>
            </w:r>
          </w:p>
        </w:tc>
        <w:tc>
          <w:tcPr>
            <w:tcW w:w="6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47.93</w:t>
            </w:r>
          </w:p>
        </w:tc>
        <w:tc>
          <w:tcPr>
            <w:tcW w:w="1300" w:type="dxa"/>
            <w:vAlign w:val="bottom"/>
            <w:gridSpan w:val="3"/>
          </w:tcPr>
          <w:p>
            <w:pPr>
              <w:jc w:val="right"/>
              <w:ind w:right="322"/>
              <w:spacing w:after="0"/>
              <w:rPr>
                <w:sz w:val="20"/>
                <w:szCs w:val="20"/>
                <w:color w:val="auto"/>
              </w:rPr>
            </w:pPr>
            <w:r>
              <w:rPr>
                <w:rFonts w:ascii="Times New Roman" w:cs="Times New Roman" w:eastAsia="Times New Roman" w:hAnsi="Times New Roman"/>
                <w:sz w:val="17"/>
                <w:szCs w:val="17"/>
                <w:color w:val="0000FF"/>
              </w:rPr>
              <w:t>722,777</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11"/>
              <w:spacing w:after="0"/>
              <w:rPr>
                <w:sz w:val="20"/>
                <w:szCs w:val="20"/>
                <w:color w:val="auto"/>
              </w:rPr>
            </w:pPr>
            <w:r>
              <w:rPr>
                <w:rFonts w:ascii="Times New Roman" w:cs="Times New Roman" w:eastAsia="Times New Roman" w:hAnsi="Times New Roman"/>
                <w:sz w:val="17"/>
                <w:szCs w:val="17"/>
                <w:color w:val="0000FF"/>
                <w:w w:val="98"/>
              </w:rPr>
              <w:t>02/08/2025</w:t>
            </w:r>
          </w:p>
        </w:tc>
        <w:tc>
          <w:tcPr>
            <w:tcW w:w="10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left="73"/>
              <w:spacing w:after="0"/>
              <w:rPr>
                <w:sz w:val="20"/>
                <w:szCs w:val="20"/>
                <w:color w:val="auto"/>
              </w:rPr>
            </w:pPr>
            <w:r>
              <w:rPr>
                <w:rFonts w:ascii="Times New Roman" w:cs="Times New Roman" w:eastAsia="Times New Roman" w:hAnsi="Times New Roman"/>
                <w:sz w:val="17"/>
                <w:szCs w:val="17"/>
                <w:color w:val="0000FF"/>
                <w:w w:val="97"/>
              </w:rPr>
              <w:t>229,541</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6"/>
              <w:spacing w:after="0" w:line="305"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2"/>
              <w:spacing w:after="0"/>
              <w:rPr>
                <w:sz w:val="20"/>
                <w:szCs w:val="20"/>
                <w:color w:val="auto"/>
              </w:rPr>
            </w:pPr>
            <w:r>
              <w:rPr>
                <w:rFonts w:ascii="Times New Roman" w:cs="Times New Roman" w:eastAsia="Times New Roman" w:hAnsi="Times New Roman"/>
                <w:sz w:val="17"/>
                <w:szCs w:val="17"/>
                <w:color w:val="0000FF"/>
              </w:rPr>
              <w:t>952,318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40" w:type="dxa"/>
            <w:vAlign w:val="bottom"/>
            <w:gridSpan w:val="2"/>
          </w:tcPr>
          <w:p>
            <w:pPr>
              <w:jc w:val="center"/>
              <w:ind w:left="611"/>
              <w:spacing w:after="0"/>
              <w:rPr>
                <w:sz w:val="20"/>
                <w:szCs w:val="20"/>
                <w:color w:val="auto"/>
              </w:rPr>
            </w:pPr>
            <w:r>
              <w:rPr>
                <w:rFonts w:ascii="Times New Roman" w:cs="Times New Roman" w:eastAsia="Times New Roman" w:hAnsi="Times New Roman"/>
                <w:sz w:val="17"/>
                <w:szCs w:val="17"/>
                <w:color w:val="0000FF"/>
                <w:w w:val="98"/>
              </w:rPr>
              <w:t>02/08/2025</w:t>
            </w: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jc w:val="center"/>
              <w:ind w:right="259"/>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center"/>
              <w:ind w:left="73"/>
              <w:spacing w:after="0"/>
              <w:rPr>
                <w:sz w:val="20"/>
                <w:szCs w:val="20"/>
                <w:color w:val="auto"/>
              </w:rPr>
            </w:pPr>
            <w:r>
              <w:rPr>
                <w:rFonts w:ascii="Times New Roman" w:cs="Times New Roman" w:eastAsia="Times New Roman" w:hAnsi="Times New Roman"/>
                <w:sz w:val="17"/>
                <w:szCs w:val="17"/>
                <w:color w:val="0000FF"/>
                <w:w w:val="97"/>
              </w:rPr>
              <w:t>100,080</w:t>
            </w:r>
          </w:p>
        </w:tc>
        <w:tc>
          <w:tcPr>
            <w:tcW w:w="6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47.39</w:t>
            </w:r>
          </w:p>
        </w:tc>
        <w:tc>
          <w:tcPr>
            <w:tcW w:w="1300" w:type="dxa"/>
            <w:vAlign w:val="bottom"/>
            <w:gridSpan w:val="3"/>
          </w:tcPr>
          <w:p>
            <w:pPr>
              <w:jc w:val="right"/>
              <w:ind w:right="322"/>
              <w:spacing w:after="0"/>
              <w:rPr>
                <w:sz w:val="20"/>
                <w:szCs w:val="20"/>
                <w:color w:val="auto"/>
              </w:rPr>
            </w:pPr>
            <w:r>
              <w:rPr>
                <w:rFonts w:ascii="Times New Roman" w:cs="Times New Roman" w:eastAsia="Times New Roman" w:hAnsi="Times New Roman"/>
                <w:sz w:val="17"/>
                <w:szCs w:val="17"/>
                <w:color w:val="0000FF"/>
              </w:rPr>
              <w:t>852,238</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gridSpan w:val="3"/>
            <w:vMerge w:val="restart"/>
          </w:tcPr>
          <w:p>
            <w:pPr>
              <w:jc w:val="right"/>
              <w:ind w:right="322"/>
              <w:spacing w:after="0"/>
              <w:rPr>
                <w:sz w:val="20"/>
                <w:szCs w:val="20"/>
                <w:color w:val="auto"/>
              </w:rPr>
            </w:pPr>
            <w:r>
              <w:rPr>
                <w:rFonts w:ascii="Times New Roman" w:cs="Times New Roman" w:eastAsia="Times New Roman" w:hAnsi="Times New Roman"/>
                <w:sz w:val="17"/>
                <w:szCs w:val="17"/>
                <w:color w:val="0000FF"/>
              </w:rPr>
              <w:t>169,128</w:t>
            </w:r>
          </w:p>
        </w:tc>
        <w:tc>
          <w:tcPr>
            <w:tcW w:w="26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4"/>
          </w:tcPr>
          <w:p>
            <w:pPr>
              <w:spacing w:after="0"/>
              <w:rPr>
                <w:sz w:val="8"/>
                <w:szCs w:val="8"/>
                <w:color w:val="auto"/>
              </w:rPr>
            </w:pPr>
          </w:p>
        </w:tc>
        <w:tc>
          <w:tcPr>
            <w:tcW w:w="262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of (D) (Instr. 3,</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42,730</w:t>
            </w:r>
            <w:r>
              <w:rPr>
                <w:rFonts w:ascii="Times New Roman" w:cs="Times New Roman" w:eastAsia="Times New Roman" w:hAnsi="Times New Roman"/>
                <w:sz w:val="21"/>
                <w:szCs w:val="21"/>
                <w:color w:val="008000"/>
                <w:vertAlign w:val="superscript"/>
              </w:rPr>
              <w:t>(4)</w:t>
            </w:r>
          </w:p>
        </w:tc>
        <w:tc>
          <w:tcPr>
            <w:tcW w:w="78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42,730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02/06/2025</w:t>
            </w:r>
          </w:p>
        </w:tc>
        <w:tc>
          <w:tcPr>
            <w:tcW w:w="1100" w:type="dxa"/>
            <w:vAlign w:val="bottom"/>
          </w:tcPr>
          <w:p>
            <w:pPr>
              <w:spacing w:after="0"/>
              <w:rPr>
                <w:sz w:val="12"/>
                <w:szCs w:val="12"/>
                <w:color w:val="auto"/>
              </w:rPr>
            </w:pPr>
          </w:p>
        </w:tc>
        <w:tc>
          <w:tcPr>
            <w:tcW w:w="7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100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1" w:lineRule="exact"/>
              <w:rPr>
                <w:sz w:val="20"/>
                <w:szCs w:val="20"/>
                <w:color w:val="auto"/>
              </w:rPr>
            </w:pPr>
            <w:r>
              <w:rPr>
                <w:rFonts w:ascii="Times New Roman" w:cs="Times New Roman" w:eastAsia="Times New Roman" w:hAnsi="Times New Roman"/>
                <w:sz w:val="13"/>
                <w:szCs w:val="13"/>
                <w:color w:val="0000FF"/>
                <w:w w:val="94"/>
              </w:rPr>
              <w:t>85,459</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-1827530</wp:posOffset>
            </wp:positionV>
            <wp:extent cx="29210" cy="1832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326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converts into common stock on a one-for-one basis.</w:t>
      </w:r>
    </w:p>
    <w:p>
      <w:pPr>
        <w:spacing w:after="0" w:line="41" w:lineRule="exact"/>
        <w:rPr>
          <w:rFonts w:ascii="Times New Roman" w:cs="Times New Roman" w:eastAsia="Times New Roman" w:hAnsi="Times New Roman"/>
          <w:sz w:val="13"/>
          <w:szCs w:val="13"/>
          <w:color w:val="008000"/>
        </w:rPr>
      </w:pPr>
    </w:p>
    <w:p>
      <w:pPr>
        <w:ind w:left="40" w:right="38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8, 2022, the Reporting Person received a grant of Performance Stock Units ("PSUs"). Under the grant, the PSUs could be earned based on the achievement of certain financial targets. The PSUs vested on February 8, 2025, and were awarded in shares of common stock.</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do not have a conversion or exercise price.</w:t>
      </w:r>
    </w:p>
    <w:p>
      <w:pPr>
        <w:spacing w:after="0" w:line="41"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awarded on February 6, 2024. One-third of the RSUs vested on February 6, 2025, and the remaining two-thirds will vest on February 6, 2026 and February 6, 2027. Each RSU represents a right to receive one share of the Company's common stock upon settlement.</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do not have a date on which they become exercisable or expire.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Tia Y. Turk, Attorney-In-</w:t>
            </w:r>
          </w:p>
        </w:tc>
        <w:tc>
          <w:tcPr>
            <w:tcW w:w="3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02/10/2025</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 for Ms. Barra</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07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92154"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2025-02-10T16:21:35Z</dcterms:created>
  <dcterms:modified xsi:type="dcterms:W3CDTF">2025-02-10T16:21:35Z</dcterms:modified>
</cp:coreProperties>
</file>