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90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9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9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12/31/2011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2,643</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12/31/2011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1,770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20.21</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12/31/2011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873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20.21</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12/31/2011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2,748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3,248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12/31/2011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1,841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20.21</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12/31/2011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907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20.21</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6"/>
              </w:rPr>
              <w:t>2,643</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2,643</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20.21</w:t>
            </w:r>
            <w:r>
              <w:rPr>
                <w:rFonts w:ascii="Arial" w:cs="Arial" w:eastAsia="Arial" w:hAnsi="Arial"/>
                <w:sz w:val="21"/>
                <w:szCs w:val="21"/>
                <w:color w:val="008000"/>
                <w:w w:val="88"/>
                <w:vertAlign w:val="superscript"/>
              </w:rPr>
              <w:t>(3)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w w:val="84"/>
              </w:rPr>
              <w:t>D</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tcPr>
          <w:p>
            <w:pPr>
              <w:jc w:val="center"/>
              <w:ind w:left="200"/>
              <w:spacing w:after="0"/>
              <w:rPr>
                <w:sz w:val="20"/>
                <w:szCs w:val="20"/>
                <w:color w:val="auto"/>
              </w:rPr>
            </w:pPr>
            <w:r>
              <w:rPr>
                <w:rFonts w:ascii="Arial" w:cs="Arial" w:eastAsia="Arial" w:hAnsi="Arial"/>
                <w:sz w:val="13"/>
                <w:szCs w:val="13"/>
                <w:color w:val="0000FF"/>
                <w:w w:val="92"/>
              </w:rPr>
              <w:t>2,643</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2,748</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20.21</w:t>
            </w:r>
            <w:r>
              <w:rPr>
                <w:rFonts w:ascii="Arial" w:cs="Arial" w:eastAsia="Arial" w:hAnsi="Arial"/>
                <w:sz w:val="21"/>
                <w:szCs w:val="21"/>
                <w:color w:val="008000"/>
                <w:w w:val="88"/>
                <w:vertAlign w:val="superscript"/>
              </w:rPr>
              <w:t>(3)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jc w:val="center"/>
              <w:ind w:left="83"/>
              <w:spacing w:after="0"/>
              <w:rPr>
                <w:sz w:val="20"/>
                <w:szCs w:val="20"/>
                <w:color w:val="auto"/>
              </w:rPr>
            </w:pPr>
            <w:r>
              <w:rPr>
                <w:rFonts w:ascii="Arial" w:cs="Arial" w:eastAsia="Arial" w:hAnsi="Arial"/>
                <w:sz w:val="11"/>
                <w:szCs w:val="11"/>
                <w:color w:val="008000"/>
                <w:w w:val="88"/>
              </w:rPr>
              <w:t>(3)</w:t>
            </w: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w w:val="84"/>
              </w:rPr>
              <w:t>D</w:t>
            </w:r>
          </w:p>
        </w:tc>
        <w:tc>
          <w:tcPr>
            <w:tcW w:w="5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0000FF"/>
              </w:rPr>
              <w:t>2,748</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00" w:type="dxa"/>
            <w:vAlign w:val="bottom"/>
          </w:tcPr>
          <w:p>
            <w:pPr>
              <w:jc w:val="center"/>
              <w:ind w:left="200"/>
              <w:spacing w:after="0"/>
              <w:rPr>
                <w:sz w:val="20"/>
                <w:szCs w:val="20"/>
                <w:color w:val="auto"/>
              </w:rPr>
            </w:pPr>
            <w:r>
              <w:rPr>
                <w:rFonts w:ascii="Arial" w:cs="Arial" w:eastAsia="Arial" w:hAnsi="Arial"/>
                <w:sz w:val="13"/>
                <w:szCs w:val="13"/>
                <w:color w:val="0000FF"/>
                <w:w w:val="92"/>
              </w:rPr>
              <w:t>5,494</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19,607</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(3)</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12/31/2011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19,607</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19,607</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cash, less a portion withheld for taxes.</w:t>
      </w:r>
    </w:p>
    <w:p>
      <w:pPr>
        <w:spacing w:after="0" w:line="22" w:lineRule="exact"/>
        <w:rPr>
          <w:rFonts w:ascii="Arial" w:cs="Arial" w:eastAsia="Arial" w:hAnsi="Arial"/>
          <w:sz w:val="13"/>
          <w:szCs w:val="13"/>
          <w:color w:val="008000"/>
        </w:rPr>
      </w:pPr>
    </w:p>
    <w:p>
      <w:pPr>
        <w:ind w:left="40" w:right="30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2,644 SSUs, of which 882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7,932 SSUs granted on June 30, 2009, of which 2,643 SSUs became payable on September 30, 2011.</w:t>
      </w:r>
    </w:p>
    <w:p>
      <w:pPr>
        <w:spacing w:after="0" w:line="32" w:lineRule="exact"/>
        <w:rPr>
          <w:rFonts w:ascii="Arial" w:cs="Arial" w:eastAsia="Arial" w:hAnsi="Arial"/>
          <w:sz w:val="13"/>
          <w:szCs w:val="13"/>
          <w:color w:val="008000"/>
        </w:rPr>
      </w:pP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$20.21.</w:t>
      </w:r>
    </w:p>
    <w:p>
      <w:pPr>
        <w:spacing w:after="0" w:line="29" w:lineRule="exact"/>
        <w:rPr>
          <w:rFonts w:ascii="Arial" w:cs="Arial" w:eastAsia="Arial" w:hAnsi="Arial"/>
          <w:sz w:val="13"/>
          <w:szCs w:val="13"/>
          <w:color w:val="008000"/>
        </w:rPr>
      </w:pPr>
    </w:p>
    <w:p>
      <w:pPr>
        <w:ind w:left="40" w:right="48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cash, less a portion withheld for taxes.</w:t>
      </w:r>
    </w:p>
    <w:p>
      <w:pPr>
        <w:spacing w:after="0" w:line="22" w:lineRule="exact"/>
        <w:rPr>
          <w:rFonts w:ascii="Arial" w:cs="Arial" w:eastAsia="Arial" w:hAnsi="Arial"/>
          <w:sz w:val="13"/>
          <w:szCs w:val="13"/>
          <w:color w:val="008000"/>
        </w:rPr>
      </w:pPr>
    </w:p>
    <w:p>
      <w:pPr>
        <w:ind w:left="40" w:right="3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2011 pursuant to the GMSSP, and will be settled in three equal, annual installments beginning on December 31, 2012 by the delivery of cash in an amount equal to the Fair Market Value (as defined in the GMSSP) of the Company's common stock as of the date of delivery.</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01/04/2012</w:t>
            </w:r>
          </w:p>
        </w:tc>
        <w:tc>
          <w:tcPr>
            <w:tcW w:w="0" w:type="dxa"/>
            <w:vAlign w:val="bottom"/>
          </w:tcPr>
          <w:p>
            <w:pPr>
              <w:spacing w:after="0"/>
              <w:rPr>
                <w:sz w:val="1"/>
                <w:szCs w:val="1"/>
                <w:color w:val="auto"/>
              </w:rPr>
            </w:pPr>
          </w:p>
        </w:tc>
      </w:tr>
      <w:tr>
        <w:trPr>
          <w:trHeight w:val="85"/>
        </w:trPr>
        <w:tc>
          <w:tcPr>
            <w:tcW w:w="10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Mr. Lee</w:t>
            </w:r>
          </w:p>
        </w:tc>
        <w:tc>
          <w:tcPr>
            <w:tcW w:w="9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80" w:type="dxa"/>
            <w:vAlign w:val="bottom"/>
            <w:tcBorders>
              <w:top w:val="single" w:sz="8" w:color="auto"/>
              <w:bottom w:val="single" w:sz="8" w:color="auto"/>
            </w:tcBorders>
            <w:vMerge w:val="continue"/>
          </w:tcPr>
          <w:p>
            <w:pPr>
              <w:spacing w:after="0"/>
              <w:rPr>
                <w:sz w:val="7"/>
                <w:szCs w:val="7"/>
                <w:color w:val="auto"/>
              </w:rPr>
            </w:pPr>
          </w:p>
        </w:tc>
        <w:tc>
          <w:tcPr>
            <w:tcW w:w="9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2019-12-17T01:04:19Z</dcterms:created>
  <dcterms:modified xsi:type="dcterms:W3CDTF">2019-12-17T01:04:19Z</dcterms:modified>
</cp:coreProperties>
</file>