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Boler-Davis Alicia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3"/>
              </w:rPr>
              <w:t>939</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7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11,470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ind w:right="16"/>
              <w:spacing w:after="0"/>
              <w:rPr>
                <w:sz w:val="20"/>
                <w:szCs w:val="20"/>
                <w:color w:val="auto"/>
              </w:rPr>
            </w:pPr>
            <w:r>
              <w:rPr>
                <w:rFonts w:ascii="Arial" w:cs="Arial" w:eastAsia="Arial" w:hAnsi="Arial"/>
                <w:sz w:val="14"/>
                <w:szCs w:val="14"/>
                <w:color w:val="0000FF"/>
                <w:w w:val="98"/>
              </w:rPr>
              <w:t>D</w:t>
            </w:r>
          </w:p>
        </w:tc>
        <w:tc>
          <w:tcPr>
            <w:tcW w:w="3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0000FF"/>
                <w:w w:val="93"/>
              </w:rPr>
              <w:t>581</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10,889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0000FF"/>
                <w:w w:val="92"/>
              </w:rPr>
              <w:t>F</w:t>
            </w:r>
          </w:p>
        </w:tc>
        <w:tc>
          <w:tcPr>
            <w:tcW w:w="3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0000FF"/>
                <w:w w:val="93"/>
              </w:rPr>
              <w:t>358</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10,531</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939</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939</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2016 in cash, less a portion withheld for taxes.</w:t>
      </w:r>
    </w:p>
    <w:p>
      <w:pPr>
        <w:jc w:val="both"/>
        <w:ind w:left="40" w:right="2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SSUs are fully vested when made and settled in three equal, annual installments beginning one year after the date of grant. The GMSSP gave the Reporting Person the option of having a settlement made by delivery of shares of the Common Stock or by the delivery of cash in an amount equal to the fair market value of the Stock as of the applicable anniversary date of the SSU's grant. Under the GMSSP, the fair value of the Common Stock is the average of the high and low trading prices for the Stock as reported on the New York Stock Exchange, on which it is listed, on December 30, 2016, which was $34.99.</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Ms. Boler-Davis</w:t>
            </w:r>
          </w:p>
        </w:tc>
        <w:tc>
          <w:tcPr>
            <w:tcW w:w="3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8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719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2019-12-04T01:57:19Z</dcterms:created>
  <dcterms:modified xsi:type="dcterms:W3CDTF">2019-12-04T01:57:19Z</dcterms:modified>
</cp:coreProperties>
</file>