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29210</wp:posOffset>
            </wp:positionV>
            <wp:extent cx="7322820" cy="624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43955"/>
                    </a:xfrm>
                    <a:prstGeom prst="rect">
                      <a:avLst/>
                    </a:prstGeom>
                    <a:noFill/>
                  </pic:spPr>
                </pic:pic>
              </a:graphicData>
            </a:graphic>
          </wp:anchor>
        </w:drawing>
      </w:r>
    </w:p>
    <w:p>
      <w:pPr>
        <w:spacing w:after="0" w:line="120" w:lineRule="exact"/>
        <w:rPr>
          <w:sz w:val="24"/>
          <w:szCs w:val="24"/>
          <w:color w:val="auto"/>
        </w:rPr>
      </w:pPr>
    </w:p>
    <w:p>
      <w:pPr>
        <w:sectPr>
          <w:pgSz w:w="11900" w:h="16838" w:orient="portrait"/>
          <w:cols w:equalWidth="0" w:num="2">
            <w:col w:w="2360" w:space="280"/>
            <w:col w:w="8880"/>
          </w:cols>
          <w:pgMar w:left="240" w:top="220"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Millikin Michael P</w:t>
        </w:r>
      </w:hyperlink>
    </w:p>
    <w:p>
      <w:pPr>
        <w:spacing w:after="0" w:line="30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2" w:lineRule="exact"/>
        <w:rPr>
          <w:sz w:val="24"/>
          <w:szCs w:val="24"/>
          <w:color w:val="auto"/>
        </w:rPr>
      </w:pPr>
    </w:p>
    <w:p>
      <w:pPr>
        <w:ind w:left="120" w:right="960"/>
        <w:spacing w:after="0" w:line="295" w:lineRule="auto"/>
        <w:rPr>
          <w:sz w:val="20"/>
          <w:szCs w:val="20"/>
          <w:color w:val="auto"/>
        </w:rPr>
      </w:pPr>
      <w:r>
        <w:rPr>
          <w:rFonts w:ascii="Times New Roman" w:cs="Times New Roman" w:eastAsia="Times New Roman" w:hAnsi="Times New Roman"/>
          <w:sz w:val="18"/>
          <w:szCs w:val="18"/>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4" w:lineRule="exact"/>
        <w:rPr>
          <w:sz w:val="24"/>
          <w:szCs w:val="24"/>
          <w:color w:val="auto"/>
        </w:rPr>
      </w:pPr>
    </w:p>
    <w:p>
      <w:pPr>
        <w:jc w:val="center"/>
        <w:ind w:right="268"/>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NO SYMBOL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09/30/2010</w:t>
      </w:r>
    </w:p>
    <w:p>
      <w:pPr>
        <w:spacing w:after="0" w:line="20" w:lineRule="exact"/>
        <w:rPr>
          <w:sz w:val="24"/>
          <w:szCs w:val="24"/>
          <w:color w:val="auto"/>
        </w:rPr>
      </w:pPr>
      <w:r>
        <w:rPr>
          <w:sz w:val="24"/>
          <w:szCs w:val="24"/>
          <w:color w:val="auto"/>
        </w:rPr>
        <w:br w:type="column"/>
      </w:r>
    </w:p>
    <w:p>
      <w:pPr>
        <w:ind w:left="-8" w:right="640" w:firstLine="8"/>
        <w:spacing w:after="0" w:line="27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2"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12"/>
        <w:spacing w:after="0"/>
        <w:rPr>
          <w:sz w:val="20"/>
          <w:szCs w:val="20"/>
          <w:color w:val="auto"/>
        </w:rPr>
      </w:pPr>
      <w:r>
        <w:rPr>
          <w:rFonts w:ascii="Times New Roman" w:cs="Times New Roman" w:eastAsia="Times New Roman" w:hAnsi="Times New Roman"/>
          <w:sz w:val="18"/>
          <w:szCs w:val="18"/>
          <w:color w:val="0000FF"/>
        </w:rPr>
        <w:t>Vice President &amp; GC</w:t>
      </w:r>
    </w:p>
    <w:p>
      <w:pPr>
        <w:spacing w:after="0" w:line="437" w:lineRule="exact"/>
        <w:rPr>
          <w:sz w:val="24"/>
          <w:szCs w:val="24"/>
          <w:color w:val="auto"/>
        </w:rPr>
      </w:pPr>
    </w:p>
    <w:p>
      <w:pPr>
        <w:sectPr>
          <w:pgSz w:w="11900" w:h="16838" w:orient="portrait"/>
          <w:cols w:equalWidth="0" w:num="3">
            <w:col w:w="3340" w:space="720"/>
            <w:col w:w="3268" w:space="720"/>
            <w:col w:w="3472"/>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40" w:type="dxa"/>
            <w:vAlign w:val="bottom"/>
            <w:gridSpan w:val="8"/>
          </w:tcPr>
          <w:p>
            <w:pPr>
              <w:jc w:val="center"/>
              <w:ind w:right="33"/>
              <w:spacing w:after="0" w:line="119"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line="11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DETROIT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0"/>
              </w:rPr>
              <w:t>MI</w:t>
            </w:r>
          </w:p>
        </w:tc>
        <w:tc>
          <w:tcPr>
            <w:tcW w:w="1020" w:type="dxa"/>
            <w:vAlign w:val="bottom"/>
          </w:tcPr>
          <w:p>
            <w:pPr>
              <w:spacing w:after="0"/>
              <w:rPr>
                <w:sz w:val="11"/>
                <w:szCs w:val="11"/>
                <w:color w:val="auto"/>
              </w:rPr>
            </w:pPr>
          </w:p>
        </w:tc>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6"/>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2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r>
              <w:rPr>
                <w:rFonts w:ascii="Times New Roman" w:cs="Times New Roman" w:eastAsia="Times New Roman" w:hAnsi="Times New Roman"/>
                <w:sz w:val="22"/>
                <w:szCs w:val="22"/>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6"/>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622</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Borders>
              <w:bottom w:val="single" w:sz="8" w:color="2C2C2C"/>
            </w:tcBorders>
          </w:tcPr>
          <w:p>
            <w:pPr>
              <w:jc w:val="right"/>
              <w:spacing w:after="0" w:line="324" w:lineRule="exact"/>
              <w:rPr>
                <w:sz w:val="20"/>
                <w:szCs w:val="20"/>
                <w:color w:val="auto"/>
              </w:rPr>
            </w:pPr>
            <w:r>
              <w:rPr>
                <w:rFonts w:ascii="Arial" w:cs="Arial" w:eastAsia="Arial" w:hAnsi="Arial"/>
                <w:sz w:val="35"/>
                <w:szCs w:val="35"/>
                <w:color w:val="000000"/>
                <w:vertAlign w:val="subscript"/>
              </w:rPr>
              <w:t>$</w:t>
            </w:r>
            <w:r>
              <w:rPr>
                <w:rFonts w:ascii="Times New Roman" w:cs="Times New Roman" w:eastAsia="Times New Roman" w:hAnsi="Times New Roman"/>
                <w:sz w:val="35"/>
                <w:szCs w:val="35"/>
                <w:color w:val="0000FF"/>
                <w:vertAlign w:val="subscript"/>
              </w:rPr>
              <w:t>0</w:t>
            </w: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rPr>
              <w:t>622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422</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53.98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rPr>
              <w:t>200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8"/>
                <w:szCs w:val="18"/>
                <w:color w:val="0000FF"/>
              </w:rPr>
              <w:t>09/30/2010</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6"/>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18"/>
                <w:szCs w:val="18"/>
                <w:color w:val="0000FF"/>
              </w:rPr>
              <w:t>200</w:t>
            </w:r>
          </w:p>
        </w:tc>
        <w:tc>
          <w:tcPr>
            <w:tcW w:w="720" w:type="dxa"/>
            <w:vAlign w:val="bottom"/>
            <w:tcBorders>
              <w:bottom w:val="single" w:sz="8" w:color="2C2C2C"/>
            </w:tcBorders>
          </w:tcPr>
          <w:p>
            <w:pPr>
              <w:jc w:val="right"/>
              <w:ind w:right="173"/>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53.98</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11"/>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11"/>
              <w:spacing w:after="0"/>
              <w:rPr>
                <w:sz w:val="20"/>
                <w:szCs w:val="20"/>
                <w:color w:val="auto"/>
              </w:rPr>
            </w:pPr>
            <w:r>
              <w:rPr>
                <w:rFonts w:ascii="Times New Roman" w:cs="Times New Roman" w:eastAsia="Times New Roman" w:hAnsi="Times New Roman"/>
                <w:sz w:val="18"/>
                <w:szCs w:val="18"/>
                <w:color w:val="0000FF"/>
                <w:w w:val="88"/>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8"/>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5"/>
          </w:tcPr>
          <w:p>
            <w:pPr>
              <w:jc w:val="center"/>
              <w:ind w:left="9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00" w:type="dxa"/>
            <w:vAlign w:val="bottom"/>
            <w:gridSpan w:val="12"/>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09"/>
              <w:spacing w:after="0"/>
              <w:rPr>
                <w:sz w:val="20"/>
                <w:szCs w:val="20"/>
                <w:color w:val="auto"/>
              </w:rPr>
            </w:pPr>
            <w:r>
              <w:rPr>
                <w:rFonts w:ascii="Times New Roman" w:cs="Times New Roman" w:eastAsia="Times New Roman" w:hAnsi="Times New Roman"/>
                <w:sz w:val="18"/>
                <w:szCs w:val="18"/>
                <w:color w:val="0000FF"/>
              </w:rPr>
              <w:t>622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8" w:lineRule="exact"/>
              <w:rPr>
                <w:sz w:val="20"/>
                <w:szCs w:val="20"/>
                <w:color w:val="auto"/>
              </w:rPr>
            </w:pPr>
            <w:r>
              <w:rPr>
                <w:rFonts w:ascii="Times New Roman" w:cs="Times New Roman" w:eastAsia="Times New Roman" w:hAnsi="Times New Roman"/>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restart"/>
          </w:tcPr>
          <w:p>
            <w:pPr>
              <w:spacing w:after="0" w:line="148" w:lineRule="exact"/>
              <w:rPr>
                <w:sz w:val="20"/>
                <w:szCs w:val="20"/>
                <w:color w:val="auto"/>
              </w:rPr>
            </w:pPr>
            <w:r>
              <w:rPr>
                <w:rFonts w:ascii="Times New Roman" w:cs="Times New Roman" w:eastAsia="Times New Roman" w:hAnsi="Times New Roman"/>
                <w:sz w:val="13"/>
                <w:szCs w:val="13"/>
                <w:color w:val="0000FF"/>
              </w:rPr>
              <w:t>622</w:t>
            </w: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158"/>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vMerge w:val="restart"/>
          </w:tcPr>
          <w:p>
            <w:pPr>
              <w:ind w:left="420"/>
              <w:spacing w:after="0" w:line="148" w:lineRule="exact"/>
              <w:rPr>
                <w:sz w:val="20"/>
                <w:szCs w:val="20"/>
                <w:color w:val="auto"/>
              </w:rPr>
            </w:pPr>
            <w:r>
              <w:rPr>
                <w:rFonts w:ascii="Times New Roman" w:cs="Times New Roman" w:eastAsia="Times New Roman" w:hAnsi="Times New Roman"/>
                <w:sz w:val="13"/>
                <w:szCs w:val="13"/>
                <w:color w:val="0000FF"/>
              </w:rPr>
              <w:t>1,244</w:t>
            </w:r>
          </w:p>
        </w:tc>
        <w:tc>
          <w:tcPr>
            <w:tcW w:w="30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4,433</w:t>
            </w:r>
          </w:p>
        </w:tc>
        <w:tc>
          <w:tcPr>
            <w:tcW w:w="60" w:type="dxa"/>
            <w:vAlign w:val="bottom"/>
          </w:tcPr>
          <w:p>
            <w:pPr>
              <w:spacing w:after="0"/>
              <w:rPr>
                <w:sz w:val="16"/>
                <w:szCs w:val="16"/>
                <w:color w:val="auto"/>
              </w:rPr>
            </w:pPr>
          </w:p>
        </w:tc>
        <w:tc>
          <w:tcPr>
            <w:tcW w:w="580" w:type="dxa"/>
            <w:vAlign w:val="bottom"/>
            <w:gridSpan w:val="2"/>
            <w:vMerge w:val="restart"/>
          </w:tcPr>
          <w:p>
            <w:pPr>
              <w:jc w:val="center"/>
              <w:ind w:right="58"/>
              <w:spacing w:after="0"/>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11"/>
                <w:szCs w:val="11"/>
                <w:color w:val="008000"/>
              </w:rPr>
              <w:t>(3)</w:t>
            </w: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8"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8" w:lineRule="exact"/>
              <w:rPr>
                <w:sz w:val="20"/>
                <w:szCs w:val="20"/>
                <w:color w:val="auto"/>
              </w:rPr>
            </w:pPr>
            <w:r>
              <w:rPr>
                <w:rFonts w:ascii="Times New Roman" w:cs="Times New Roman" w:eastAsia="Times New Roman" w:hAnsi="Times New Roman"/>
                <w:sz w:val="13"/>
                <w:szCs w:val="13"/>
                <w:color w:val="0000FF"/>
              </w:rPr>
              <w:t>09/30/2010</w:t>
            </w: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00"/>
              <w:spacing w:after="0" w:line="148" w:lineRule="exact"/>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7"/>
                <w:szCs w:val="7"/>
                <w:color w:val="auto"/>
              </w:rPr>
            </w:pPr>
          </w:p>
        </w:tc>
        <w:tc>
          <w:tcPr>
            <w:tcW w:w="520" w:type="dxa"/>
            <w:vAlign w:val="bottom"/>
            <w:vMerge w:val="restart"/>
          </w:tcPr>
          <w:p>
            <w:pPr>
              <w:ind w:left="80"/>
              <w:spacing w:after="0" w:line="148" w:lineRule="exact"/>
              <w:rPr>
                <w:sz w:val="20"/>
                <w:szCs w:val="20"/>
                <w:color w:val="auto"/>
              </w:rPr>
            </w:pPr>
            <w:r>
              <w:rPr>
                <w:rFonts w:ascii="Times New Roman" w:cs="Times New Roman" w:eastAsia="Times New Roman" w:hAnsi="Times New Roman"/>
                <w:sz w:val="13"/>
                <w:szCs w:val="13"/>
                <w:color w:val="0000FF"/>
              </w:rPr>
              <w:t>4,433</w:t>
            </w:r>
          </w:p>
        </w:tc>
        <w:tc>
          <w:tcPr>
            <w:tcW w:w="320" w:type="dxa"/>
            <w:vAlign w:val="bottom"/>
          </w:tcPr>
          <w:p>
            <w:pPr>
              <w:spacing w:after="0"/>
              <w:rPr>
                <w:sz w:val="7"/>
                <w:szCs w:val="7"/>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60" w:type="dxa"/>
            <w:vAlign w:val="bottom"/>
            <w:vMerge w:val="restart"/>
          </w:tcPr>
          <w:p>
            <w:pPr>
              <w:ind w:left="420"/>
              <w:spacing w:after="0" w:line="148" w:lineRule="exact"/>
              <w:rPr>
                <w:sz w:val="20"/>
                <w:szCs w:val="20"/>
                <w:color w:val="auto"/>
              </w:rPr>
            </w:pPr>
            <w:r>
              <w:rPr>
                <w:rFonts w:ascii="Times New Roman" w:cs="Times New Roman" w:eastAsia="Times New Roman" w:hAnsi="Times New Roman"/>
                <w:sz w:val="13"/>
                <w:szCs w:val="13"/>
                <w:color w:val="0000FF"/>
              </w:rPr>
              <w:t>4,433</w:t>
            </w:r>
          </w:p>
        </w:tc>
        <w:tc>
          <w:tcPr>
            <w:tcW w:w="30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jc w:val="right"/>
              <w:ind w:right="173"/>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6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Salary Stock Units ("SSUs") reported in this item were awarded on September 30, 2009 pursuant to the Company's Salary Stock Plan (the "GMSSP") and vested upon grant. The portion of this award currently payable was settled on September 30, 2010 in cash, less a portion withheld for taxes.</w:t>
      </w:r>
    </w:p>
    <w:p>
      <w:pPr>
        <w:spacing w:after="0" w:line="5" w:lineRule="exact"/>
        <w:rPr>
          <w:rFonts w:ascii="Times New Roman" w:cs="Times New Roman" w:eastAsia="Times New Roman" w:hAnsi="Times New Roman"/>
          <w:sz w:val="13"/>
          <w:szCs w:val="13"/>
          <w:color w:val="008000"/>
        </w:rPr>
      </w:pPr>
    </w:p>
    <w:p>
      <w:pPr>
        <w:ind w:left="40" w:right="340" w:firstLine="8"/>
        <w:spacing w:after="0" w:line="277"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do not have an expiration or exercise date or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5" w:lineRule="exact"/>
        <w:rPr>
          <w:rFonts w:ascii="Times New Roman" w:cs="Times New Roman" w:eastAsia="Times New Roman" w:hAnsi="Times New Roman"/>
          <w:sz w:val="13"/>
          <w:szCs w:val="13"/>
          <w:color w:val="008000"/>
        </w:rPr>
      </w:pPr>
    </w:p>
    <w:p>
      <w:pPr>
        <w:ind w:left="40" w:right="220" w:firstLine="8"/>
        <w:spacing w:after="0" w:line="251" w:lineRule="auto"/>
        <w:tabs>
          <w:tab w:leader="none" w:pos="17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SSUs reported in this item were awarded on September 30, 2010,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Anne T. Larin,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10/04/2010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fact for Mr. Millikin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2019-12-17T00:25:53Z</dcterms:created>
  <dcterms:modified xsi:type="dcterms:W3CDTF">2019-12-17T00:25:53Z</dcterms:modified>
</cp:coreProperties>
</file>