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2631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2631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323" w:lineRule="exact"/>
        <w:rPr>
          <w:sz w:val="24"/>
          <w:szCs w:val="24"/>
          <w:color w:val="auto"/>
        </w:rPr>
      </w:pPr>
    </w:p>
    <w:p>
      <w:pPr>
        <w:jc w:val="center"/>
        <w:ind w:right="-884"/>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p>
    <w:p>
      <w:pPr>
        <w:jc w:val="center"/>
        <w:ind w:right="-884"/>
        <w:spacing w:after="0"/>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884"/>
        <w:spacing w:after="0"/>
        <w:rPr>
          <w:sz w:val="20"/>
          <w:szCs w:val="20"/>
          <w:color w:val="auto"/>
        </w:rPr>
      </w:pPr>
      <w:r>
        <w:rPr>
          <w:rFonts w:ascii="Arial" w:cs="Arial" w:eastAsia="Arial" w:hAnsi="Arial"/>
          <w:sz w:val="19"/>
          <w:szCs w:val="19"/>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97790</wp:posOffset>
            </wp:positionV>
            <wp:extent cx="15189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180" w:lineRule="exact"/>
        <w:rPr>
          <w:sz w:val="24"/>
          <w:szCs w:val="24"/>
          <w:color w:val="auto"/>
        </w:rPr>
      </w:pPr>
    </w:p>
    <w:p>
      <w:pPr>
        <w:jc w:val="center"/>
        <w:ind w:right="-884"/>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106045</wp:posOffset>
            </wp:positionV>
            <wp:extent cx="15189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206" w:lineRule="exact"/>
        <w:rPr>
          <w:sz w:val="24"/>
          <w:szCs w:val="24"/>
          <w:color w:val="auto"/>
        </w:rPr>
      </w:pPr>
    </w:p>
    <w:p>
      <w:pPr>
        <w:jc w:val="center"/>
        <w:ind w:right="-884"/>
        <w:spacing w:after="0"/>
        <w:rPr>
          <w:sz w:val="20"/>
          <w:szCs w:val="20"/>
          <w:color w:val="auto"/>
        </w:rPr>
      </w:pPr>
      <w:r>
        <w:rPr>
          <w:rFonts w:ascii="Arial" w:cs="Arial" w:eastAsia="Arial" w:hAnsi="Arial"/>
          <w:sz w:val="21"/>
          <w:szCs w:val="21"/>
          <w:b w:val="1"/>
          <w:bCs w:val="1"/>
          <w:color w:val="auto"/>
        </w:rPr>
        <w:t>CURRENT REPORT</w:t>
      </w:r>
    </w:p>
    <w:p>
      <w:pPr>
        <w:spacing w:after="0" w:line="151" w:lineRule="exact"/>
        <w:rPr>
          <w:sz w:val="24"/>
          <w:szCs w:val="24"/>
          <w:color w:val="auto"/>
        </w:rPr>
      </w:pPr>
    </w:p>
    <w:p>
      <w:pPr>
        <w:jc w:val="center"/>
        <w:ind w:right="-884"/>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8" w:lineRule="exact"/>
        <w:rPr>
          <w:sz w:val="24"/>
          <w:szCs w:val="24"/>
          <w:color w:val="auto"/>
        </w:rPr>
      </w:pPr>
    </w:p>
    <w:p>
      <w:pPr>
        <w:jc w:val="center"/>
        <w:ind w:right="-884"/>
        <w:spacing w:after="0"/>
        <w:rPr>
          <w:sz w:val="20"/>
          <w:szCs w:val="20"/>
          <w:color w:val="auto"/>
        </w:rPr>
      </w:pPr>
      <w:r>
        <w:rPr>
          <w:rFonts w:ascii="Arial" w:cs="Arial" w:eastAsia="Arial" w:hAnsi="Arial"/>
          <w:sz w:val="19"/>
          <w:szCs w:val="19"/>
          <w:b w:val="1"/>
          <w:bCs w:val="1"/>
          <w:color w:val="auto"/>
        </w:rPr>
        <w:t>SECURITIES EXCHANGE ACT OF 1934</w:t>
      </w:r>
    </w:p>
    <w:p>
      <w:pPr>
        <w:spacing w:after="0" w:line="117" w:lineRule="exact"/>
        <w:rPr>
          <w:sz w:val="24"/>
          <w:szCs w:val="24"/>
          <w:color w:val="auto"/>
        </w:rPr>
      </w:pPr>
    </w:p>
    <w:p>
      <w:pPr>
        <w:ind w:left="3005"/>
        <w:spacing w:after="0"/>
        <w:rPr>
          <w:sz w:val="20"/>
          <w:szCs w:val="20"/>
          <w:color w:val="auto"/>
        </w:rPr>
      </w:pPr>
      <w:r>
        <w:rPr>
          <w:rFonts w:ascii="Arial" w:cs="Arial" w:eastAsia="Arial" w:hAnsi="Arial"/>
          <w:sz w:val="18"/>
          <w:szCs w:val="18"/>
          <w:b w:val="1"/>
          <w:bCs w:val="1"/>
          <w:color w:val="auto"/>
        </w:rPr>
        <w:t>Date of Report (Date of earliest event reported) November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111125</wp:posOffset>
            </wp:positionV>
            <wp:extent cx="15189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200" w:lineRule="exact"/>
        <w:rPr>
          <w:sz w:val="24"/>
          <w:szCs w:val="24"/>
          <w:color w:val="auto"/>
        </w:rPr>
      </w:pPr>
    </w:p>
    <w:p>
      <w:pPr>
        <w:jc w:val="center"/>
        <w:ind w:right="-884"/>
        <w:spacing w:after="0"/>
        <w:rPr>
          <w:sz w:val="20"/>
          <w:szCs w:val="20"/>
          <w:color w:val="auto"/>
        </w:rPr>
      </w:pPr>
      <w:r>
        <w:rPr>
          <w:rFonts w:ascii="Arial" w:cs="Arial" w:eastAsia="Arial" w:hAnsi="Arial"/>
          <w:sz w:val="38"/>
          <w:szCs w:val="38"/>
          <w:b w:val="1"/>
          <w:bCs w:val="1"/>
          <w:color w:val="auto"/>
        </w:rPr>
        <w:t>GENERAL MOTORS COMPANY</w:t>
      </w:r>
    </w:p>
    <w:p>
      <w:pPr>
        <w:spacing w:after="0" w:line="47" w:lineRule="exact"/>
        <w:rPr>
          <w:sz w:val="24"/>
          <w:szCs w:val="24"/>
          <w:color w:val="auto"/>
        </w:rPr>
      </w:pPr>
    </w:p>
    <w:p>
      <w:pPr>
        <w:ind w:left="3945"/>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106680</wp:posOffset>
            </wp:positionV>
            <wp:extent cx="15189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ectPr>
          <w:pgSz w:w="11900" w:h="16838" w:orient="portrait"/>
          <w:cols w:equalWidth="0" w:num="1">
            <w:col w:w="10545"/>
          </w:cols>
          <w:pgMar w:left="235" w:top="219" w:right="1119" w:bottom="1440" w:gutter="0" w:footer="0" w:header="0"/>
        </w:sectPr>
      </w:pPr>
    </w:p>
    <w:p>
      <w:pPr>
        <w:spacing w:after="0" w:line="262" w:lineRule="exact"/>
        <w:rPr>
          <w:sz w:val="24"/>
          <w:szCs w:val="24"/>
          <w:color w:val="auto"/>
        </w:rPr>
      </w:pPr>
    </w:p>
    <w:p>
      <w:pPr>
        <w:ind w:left="1045"/>
        <w:spacing w:after="0"/>
        <w:rPr>
          <w:sz w:val="20"/>
          <w:szCs w:val="20"/>
          <w:color w:val="auto"/>
        </w:rPr>
      </w:pPr>
      <w:r>
        <w:rPr>
          <w:rFonts w:ascii="Arial" w:cs="Arial" w:eastAsia="Arial" w:hAnsi="Arial"/>
          <w:sz w:val="13"/>
          <w:szCs w:val="13"/>
          <w:b w:val="1"/>
          <w:bCs w:val="1"/>
          <w:color w:val="auto"/>
        </w:rPr>
        <w:t>000-53930</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jc w:val="center"/>
        <w:ind w:right="2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51" w:lineRule="exact"/>
        <w:rPr>
          <w:sz w:val="24"/>
          <w:szCs w:val="24"/>
          <w:color w:val="auto"/>
        </w:rPr>
      </w:pPr>
    </w:p>
    <w:p>
      <w:pPr>
        <w:sectPr>
          <w:pgSz w:w="11900" w:h="16838" w:orient="portrait"/>
          <w:cols w:equalWidth="0" w:num="3">
            <w:col w:w="4565" w:space="720"/>
            <w:col w:w="3700" w:space="720"/>
            <w:col w:w="840"/>
          </w:cols>
          <w:pgMar w:left="235" w:top="219" w:right="1119" w:bottom="1440" w:gutter="0" w:footer="0" w:header="0"/>
          <w:type w:val="continuous"/>
        </w:sectPr>
      </w:pPr>
    </w:p>
    <w:p>
      <w:pPr>
        <w:ind w:left="1045"/>
        <w:spacing w:after="0"/>
        <w:rPr>
          <w:sz w:val="20"/>
          <w:szCs w:val="20"/>
          <w:color w:val="auto"/>
        </w:rPr>
      </w:pPr>
      <w:r>
        <w:rPr>
          <w:rFonts w:ascii="Arial" w:cs="Arial" w:eastAsia="Arial" w:hAnsi="Arial"/>
          <w:sz w:val="10"/>
          <w:szCs w:val="10"/>
          <w:b w:val="1"/>
          <w:bCs w:val="1"/>
          <w:color w:val="auto"/>
        </w:rPr>
        <w:t>(Commission</w:t>
      </w:r>
    </w:p>
    <w:p>
      <w:pPr>
        <w:spacing w:after="0" w:line="19" w:lineRule="exact"/>
        <w:rPr>
          <w:sz w:val="24"/>
          <w:szCs w:val="24"/>
          <w:color w:val="auto"/>
        </w:rPr>
      </w:pPr>
    </w:p>
    <w:p>
      <w:pPr>
        <w:ind w:left="1025"/>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Arial" w:cs="Arial" w:eastAsia="Arial" w:hAnsi="Arial"/>
          <w:sz w:val="10"/>
          <w:szCs w:val="10"/>
          <w:b w:val="1"/>
          <w:bCs w:val="1"/>
          <w:color w:val="auto"/>
        </w:rPr>
        <w:t>(State or other jurisdiction</w:t>
      </w:r>
    </w:p>
    <w:p>
      <w:pPr>
        <w:spacing w:after="0" w:line="19"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192" w:lineRule="exact"/>
        <w:rPr>
          <w:sz w:val="24"/>
          <w:szCs w:val="24"/>
          <w:color w:val="auto"/>
        </w:rPr>
      </w:pPr>
    </w:p>
    <w:p>
      <w:pPr>
        <w:sectPr>
          <w:pgSz w:w="11900" w:h="16838" w:orient="portrait"/>
          <w:cols w:equalWidth="0" w:num="3">
            <w:col w:w="4325" w:space="720"/>
            <w:col w:w="3840" w:space="720"/>
            <w:col w:w="940"/>
          </w:cols>
          <w:pgMar w:left="235" w:top="219" w:right="1119" w:bottom="1440" w:gutter="0" w:footer="0" w:header="0"/>
          <w:type w:val="continuous"/>
        </w:sectPr>
      </w:pPr>
    </w:p>
    <w:p>
      <w:pPr>
        <w:ind w:left="1405"/>
        <w:spacing w:after="0"/>
        <w:rPr>
          <w:sz w:val="20"/>
          <w:szCs w:val="20"/>
          <w:color w:val="auto"/>
        </w:rPr>
      </w:pPr>
      <w:r>
        <w:rPr>
          <w:rFonts w:ascii="Arial" w:cs="Arial" w:eastAsia="Arial" w:hAnsi="Arial"/>
          <w:sz w:val="13"/>
          <w:szCs w:val="13"/>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48265-3000</w:t>
      </w:r>
    </w:p>
    <w:p>
      <w:pPr>
        <w:spacing w:after="0" w:line="41" w:lineRule="exact"/>
        <w:rPr>
          <w:sz w:val="24"/>
          <w:szCs w:val="24"/>
          <w:color w:val="auto"/>
        </w:rPr>
      </w:pPr>
    </w:p>
    <w:p>
      <w:pPr>
        <w:sectPr>
          <w:pgSz w:w="11900" w:h="16838" w:orient="portrait"/>
          <w:cols w:equalWidth="0" w:num="2">
            <w:col w:w="7485" w:space="720"/>
            <w:col w:w="2340"/>
          </w:cols>
          <w:pgMar w:left="235" w:top="219" w:right="1119" w:bottom="1440" w:gutter="0" w:footer="0" w:header="0"/>
          <w:type w:val="continuous"/>
        </w:sectPr>
      </w:pPr>
    </w:p>
    <w:p>
      <w:pPr>
        <w:ind w:left="1785"/>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36" w:lineRule="exact"/>
        <w:rPr>
          <w:sz w:val="24"/>
          <w:szCs w:val="24"/>
          <w:color w:val="auto"/>
        </w:rPr>
      </w:pPr>
    </w:p>
    <w:p>
      <w:pPr>
        <w:sectPr>
          <w:pgSz w:w="11900" w:h="16838" w:orient="portrait"/>
          <w:cols w:equalWidth="0" w:num="2">
            <w:col w:w="7585" w:space="720"/>
            <w:col w:w="2240"/>
          </w:cols>
          <w:pgMar w:left="235" w:top="219" w:right="1119" w:bottom="1440" w:gutter="0" w:footer="0" w:header="0"/>
          <w:type w:val="continuous"/>
        </w:sectPr>
      </w:pPr>
    </w:p>
    <w:p>
      <w:pPr>
        <w:jc w:val="center"/>
        <w:ind w:right="-884"/>
        <w:spacing w:after="0"/>
        <w:rPr>
          <w:sz w:val="20"/>
          <w:szCs w:val="20"/>
          <w:color w:val="auto"/>
        </w:rPr>
      </w:pPr>
      <w:r>
        <w:rPr>
          <w:rFonts w:ascii="Arial" w:cs="Arial" w:eastAsia="Arial" w:hAnsi="Arial"/>
          <w:sz w:val="15"/>
          <w:szCs w:val="15"/>
          <w:b w:val="1"/>
          <w:bCs w:val="1"/>
          <w:color w:val="auto"/>
        </w:rPr>
        <w:t>(313) 556-5000</w:t>
      </w:r>
    </w:p>
    <w:p>
      <w:pPr>
        <w:spacing w:after="0" w:line="29" w:lineRule="exact"/>
        <w:rPr>
          <w:sz w:val="24"/>
          <w:szCs w:val="24"/>
          <w:color w:val="auto"/>
        </w:rPr>
      </w:pPr>
    </w:p>
    <w:p>
      <w:pPr>
        <w:jc w:val="center"/>
        <w:ind w:right="-884"/>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24" w:lineRule="exact"/>
        <w:rPr>
          <w:sz w:val="24"/>
          <w:szCs w:val="24"/>
          <w:color w:val="auto"/>
        </w:rPr>
      </w:pPr>
    </w:p>
    <w:p>
      <w:pPr>
        <w:jc w:val="center"/>
        <w:ind w:right="-884"/>
        <w:spacing w:after="0"/>
        <w:rPr>
          <w:sz w:val="20"/>
          <w:szCs w:val="20"/>
          <w:color w:val="auto"/>
        </w:rPr>
      </w:pPr>
      <w:r>
        <w:rPr>
          <w:rFonts w:ascii="Arial" w:cs="Arial" w:eastAsia="Arial" w:hAnsi="Arial"/>
          <w:sz w:val="15"/>
          <w:szCs w:val="15"/>
          <w:b w:val="1"/>
          <w:bCs w:val="1"/>
          <w:color w:val="auto"/>
        </w:rPr>
        <w:t>Not Applicable</w:t>
      </w:r>
    </w:p>
    <w:p>
      <w:pPr>
        <w:spacing w:after="0" w:line="29" w:lineRule="exact"/>
        <w:rPr>
          <w:sz w:val="24"/>
          <w:szCs w:val="24"/>
          <w:color w:val="auto"/>
        </w:rPr>
      </w:pPr>
    </w:p>
    <w:p>
      <w:pPr>
        <w:ind w:left="4145"/>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86995</wp:posOffset>
            </wp:positionV>
            <wp:extent cx="15189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194" w:lineRule="exact"/>
        <w:rPr>
          <w:sz w:val="24"/>
          <w:szCs w:val="24"/>
          <w:color w:val="auto"/>
        </w:rPr>
      </w:pPr>
    </w:p>
    <w:p>
      <w:pPr>
        <w:ind w:left="5"/>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9" w:lineRule="exact"/>
        <w:rPr>
          <w:rFonts w:ascii="MS PGothic" w:cs="MS PGothic" w:eastAsia="MS PGothic" w:hAnsi="MS PGothic"/>
          <w:sz w:val="15"/>
          <w:szCs w:val="15"/>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(17-CFR 240.14a-12)</w:t>
      </w:r>
    </w:p>
    <w:p>
      <w:pPr>
        <w:spacing w:after="0" w:line="89" w:lineRule="exact"/>
        <w:rPr>
          <w:rFonts w:ascii="MS PGothic" w:cs="MS PGothic" w:eastAsia="MS PGothic" w:hAnsi="MS PGothic"/>
          <w:sz w:val="15"/>
          <w:szCs w:val="15"/>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9" w:lineRule="exact"/>
        <w:rPr>
          <w:rFonts w:ascii="MS PGothic" w:cs="MS PGothic" w:eastAsia="MS PGothic" w:hAnsi="MS PGothic"/>
          <w:sz w:val="15"/>
          <w:szCs w:val="15"/>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31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106680</wp:posOffset>
            </wp:positionV>
            <wp:extent cx="72631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545"/>
          </w:cols>
          <w:pgMar w:left="235" w:top="219" w:right="111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3135" cy="3556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307"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TABLE OF CONTENTS</w:t>
      </w:r>
    </w:p>
    <w:p>
      <w:pPr>
        <w:spacing w:after="0" w:line="161" w:lineRule="exact"/>
        <w:rPr>
          <w:sz w:val="20"/>
          <w:szCs w:val="20"/>
          <w:color w:val="auto"/>
        </w:rPr>
      </w:pPr>
    </w:p>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ITEM 2.02 RESULTS OF OPERATIONS AND FINANCIAL CONDITIONS</w:t>
        </w:r>
      </w:hyperlink>
    </w:p>
    <w:p>
      <w:pPr>
        <w:spacing w:after="0" w:line="2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ITEM 9.01 FINANCIAL STATEMENTS AND EXHIBITS</w:t>
        </w:r>
      </w:hyperlink>
    </w:p>
    <w:p>
      <w:pPr>
        <w:spacing w:after="0" w:line="18"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SIGNATURES</w:t>
        </w:r>
      </w:hyperlink>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INDEX TO EXHIBITS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Charts Furnished to Securities Analysts</w:t>
      </w:r>
    </w:p>
    <w:p>
      <w:pPr>
        <w:sectPr>
          <w:pgSz w:w="11900" w:h="16838" w:orient="portrait"/>
          <w:cols w:equalWidth="0" w:num="1">
            <w:col w:w="10219"/>
          </w:cols>
          <w:pgMar w:left="240" w:top="421"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3135" cy="3556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On November 10, 2010, charts were furnished to securities analysts in connection with GM’s third quarter 2010 earnings release. The charts are attached as Exhibit 99.1.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7080" w:type="dxa"/>
            <w:vAlign w:val="bottom"/>
            <w:gridSpan w:val="3"/>
          </w:tcPr>
          <w:p>
            <w:pPr>
              <w:ind w:left="200"/>
              <w:spacing w:after="0"/>
              <w:rPr>
                <w:sz w:val="20"/>
                <w:szCs w:val="20"/>
                <w:color w:val="auto"/>
              </w:rPr>
            </w:pPr>
            <w:r>
              <w:rPr>
                <w:rFonts w:ascii="Arial" w:cs="Arial" w:eastAsia="Arial" w:hAnsi="Arial"/>
                <w:sz w:val="15"/>
                <w:szCs w:val="15"/>
                <w:b w:val="1"/>
                <w:bCs w:val="1"/>
                <w:color w:val="auto"/>
              </w:rPr>
              <w:t>FINANCIAL STATEMENTS AND EXHIBITS</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33"/>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80" w:type="dxa"/>
            <w:vAlign w:val="bottom"/>
            <w:gridSpan w:val="3"/>
          </w:tcPr>
          <w:p>
            <w:pPr>
              <w:ind w:left="4400"/>
              <w:spacing w:after="0"/>
              <w:rPr>
                <w:sz w:val="20"/>
                <w:szCs w:val="20"/>
                <w:color w:val="auto"/>
              </w:rPr>
            </w:pPr>
            <w:r>
              <w:rPr>
                <w:rFonts w:ascii="Arial" w:cs="Arial" w:eastAsia="Arial" w:hAnsi="Arial"/>
                <w:sz w:val="15"/>
                <w:szCs w:val="15"/>
                <w:b w:val="1"/>
                <w:bCs w:val="1"/>
                <w:color w:val="auto"/>
              </w:rPr>
              <w:t>EXHIBITS</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1"/>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Exhibits</w:t>
            </w:r>
          </w:p>
        </w:tc>
        <w:tc>
          <w:tcPr>
            <w:tcW w:w="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Description</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Method of Filing</w:t>
            </w:r>
          </w:p>
        </w:tc>
        <w:tc>
          <w:tcPr>
            <w:tcW w:w="160" w:type="dxa"/>
            <w:vAlign w:val="bottom"/>
          </w:tcPr>
          <w:p>
            <w:pPr>
              <w:spacing w:after="0"/>
              <w:rPr>
                <w:sz w:val="24"/>
                <w:szCs w:val="24"/>
                <w:color w:val="auto"/>
              </w:rPr>
            </w:pPr>
          </w:p>
        </w:tc>
      </w:tr>
      <w:tr>
        <w:trPr>
          <w:trHeight w:val="276"/>
        </w:trPr>
        <w:tc>
          <w:tcPr>
            <w:tcW w:w="940" w:type="dxa"/>
            <w:vAlign w:val="bottom"/>
            <w:gridSpan w:val="2"/>
          </w:tcPr>
          <w:p>
            <w:pPr>
              <w:spacing w:after="0"/>
              <w:rPr>
                <w:sz w:val="20"/>
                <w:szCs w:val="20"/>
                <w:color w:val="auto"/>
              </w:rPr>
            </w:pPr>
            <w:r>
              <w:rPr>
                <w:rFonts w:ascii="Arial" w:cs="Arial" w:eastAsia="Arial" w:hAnsi="Arial"/>
                <w:sz w:val="15"/>
                <w:szCs w:val="15"/>
                <w:color w:val="auto"/>
              </w:rPr>
              <w:t>Exhibit 99.1</w:t>
            </w:r>
          </w:p>
        </w:tc>
        <w:tc>
          <w:tcPr>
            <w:tcW w:w="7080" w:type="dxa"/>
            <w:vAlign w:val="bottom"/>
            <w:gridSpan w:val="3"/>
          </w:tcPr>
          <w:p>
            <w:pPr>
              <w:jc w:val="center"/>
              <w:ind w:left="2643"/>
              <w:spacing w:after="0"/>
              <w:rPr>
                <w:sz w:val="20"/>
                <w:szCs w:val="20"/>
                <w:color w:val="auto"/>
              </w:rPr>
            </w:pPr>
            <w:r>
              <w:rPr>
                <w:rFonts w:ascii="Arial" w:cs="Arial" w:eastAsia="Arial" w:hAnsi="Arial"/>
                <w:sz w:val="15"/>
                <w:szCs w:val="15"/>
                <w:color w:val="auto"/>
                <w:w w:val="92"/>
              </w:rPr>
              <w:t>Charts Furnished to Securities Analysts</w:t>
            </w:r>
          </w:p>
        </w:tc>
        <w:tc>
          <w:tcPr>
            <w:tcW w:w="2200" w:type="dxa"/>
            <w:vAlign w:val="bottom"/>
            <w:gridSpan w:val="3"/>
          </w:tcPr>
          <w:p>
            <w:pPr>
              <w:jc w:val="center"/>
              <w:ind w:left="903"/>
              <w:spacing w:after="0"/>
              <w:rPr>
                <w:sz w:val="20"/>
                <w:szCs w:val="20"/>
                <w:color w:val="auto"/>
              </w:rPr>
            </w:pPr>
            <w:r>
              <w:rPr>
                <w:rFonts w:ascii="Arial" w:cs="Arial" w:eastAsia="Arial" w:hAnsi="Arial"/>
                <w:sz w:val="15"/>
                <w:szCs w:val="15"/>
                <w:color w:val="auto"/>
                <w:w w:val="94"/>
              </w:rPr>
              <w:t>Attached as Exhibit</w:t>
            </w:r>
          </w:p>
        </w:tc>
      </w:tr>
    </w:tbl>
    <w:p>
      <w:pPr>
        <w:sectPr>
          <w:pgSz w:w="11900" w:h="16838" w:orient="portrait"/>
          <w:cols w:equalWidth="0" w:num="1">
            <w:col w:w="10480"/>
          </w:cols>
          <w:pgMar w:left="240" w:top="421" w:right="117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3135" cy="3556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SIGNATURE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5"/>
          <w:szCs w:val="15"/>
          <w:u w:val="single" w:color="auto"/>
          <w:color w:val="auto"/>
        </w:rPr>
        <w:t>GENERAL MOTORS COMPANY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(Registrant)</w:t>
      </w:r>
    </w:p>
    <w:p>
      <w:pPr>
        <w:spacing w:after="0" w:line="215" w:lineRule="exact"/>
        <w:rPr>
          <w:sz w:val="20"/>
          <w:szCs w:val="20"/>
          <w:color w:val="auto"/>
        </w:rPr>
      </w:pPr>
    </w:p>
    <w:p>
      <w:pPr>
        <w:spacing w:after="0"/>
        <w:tabs>
          <w:tab w:leader="none" w:pos="6520" w:val="left"/>
          <w:tab w:leader="none" w:pos="8320" w:val="left"/>
          <w:tab w:leader="none" w:pos="8620" w:val="left"/>
        </w:tabs>
        <w:rPr>
          <w:sz w:val="20"/>
          <w:szCs w:val="20"/>
          <w:color w:val="auto"/>
        </w:rPr>
      </w:pPr>
      <w:r>
        <w:rPr>
          <w:rFonts w:ascii="Arial" w:cs="Arial" w:eastAsia="Arial" w:hAnsi="Arial"/>
          <w:sz w:val="15"/>
          <w:szCs w:val="15"/>
          <w:color w:val="auto"/>
        </w:rPr>
        <w:t>Date: November 12,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tab/>
        <w:t>N</w:t>
      </w:r>
      <w:r>
        <w:rPr>
          <w:rFonts w:ascii="Arial" w:cs="Arial" w:eastAsia="Arial" w:hAnsi="Arial"/>
          <w:sz w:val="12"/>
          <w:szCs w:val="12"/>
          <w:color w:val="auto"/>
        </w:rPr>
        <w:t>ICK</w:t>
      </w:r>
      <w:r>
        <w:rPr>
          <w:rFonts w:ascii="Arial" w:cs="Arial" w:eastAsia="Arial" w:hAnsi="Arial"/>
          <w:sz w:val="15"/>
          <w:szCs w:val="15"/>
          <w:color w:val="auto"/>
        </w:rPr>
        <w:t xml:space="preserve"> S. C</w:t>
      </w:r>
      <w:r>
        <w:rPr>
          <w:rFonts w:ascii="Arial" w:cs="Arial" w:eastAsia="Arial" w:hAnsi="Arial"/>
          <w:sz w:val="12"/>
          <w:szCs w:val="12"/>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15875</wp:posOffset>
            </wp:positionV>
            <wp:extent cx="29698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6" w:lineRule="exact"/>
        <w:rPr>
          <w:sz w:val="20"/>
          <w:szCs w:val="20"/>
          <w:color w:val="auto"/>
        </w:rPr>
      </w:pPr>
    </w:p>
    <w:p>
      <w:pPr>
        <w:jc w:val="center"/>
        <w:ind w:left="6880"/>
        <w:spacing w:after="0"/>
        <w:rPr>
          <w:sz w:val="20"/>
          <w:szCs w:val="20"/>
          <w:color w:val="auto"/>
        </w:rPr>
      </w:pPr>
      <w:r>
        <w:rPr>
          <w:rFonts w:ascii="Arial" w:cs="Arial" w:eastAsia="Arial" w:hAnsi="Arial"/>
          <w:sz w:val="12"/>
          <w:szCs w:val="12"/>
          <w:b w:val="1"/>
          <w:bCs w:val="1"/>
          <w:color w:val="auto"/>
        </w:rPr>
        <w:t>Nick S. Cyprus</w:t>
      </w:r>
    </w:p>
    <w:p>
      <w:pPr>
        <w:spacing w:after="0" w:line="5" w:lineRule="exact"/>
        <w:rPr>
          <w:sz w:val="20"/>
          <w:szCs w:val="20"/>
          <w:color w:val="auto"/>
        </w:rPr>
      </w:pPr>
    </w:p>
    <w:p>
      <w:pPr>
        <w:jc w:val="center"/>
        <w:ind w:left="6880"/>
        <w:spacing w:after="0"/>
        <w:rPr>
          <w:sz w:val="20"/>
          <w:szCs w:val="20"/>
          <w:color w:val="auto"/>
        </w:rPr>
      </w:pPr>
      <w:r>
        <w:rPr>
          <w:rFonts w:ascii="Arial" w:cs="Arial" w:eastAsia="Arial" w:hAnsi="Arial"/>
          <w:sz w:val="12"/>
          <w:szCs w:val="12"/>
          <w:b w:val="1"/>
          <w:bCs w:val="1"/>
          <w:color w:val="auto"/>
        </w:rPr>
        <w:t>Vice President, Controller and Chief Accounting Officer</w:t>
      </w:r>
    </w:p>
    <w:p>
      <w:pPr>
        <w:sectPr>
          <w:pgSz w:w="11900" w:h="16838" w:orient="portrait"/>
          <w:cols w:equalWidth="0" w:num="1">
            <w:col w:w="11300"/>
          </w:cols>
          <w:pgMar w:left="240" w:top="42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224790</wp:posOffset>
            </wp:positionH>
            <wp:positionV relativeFrom="page">
              <wp:posOffset>164465</wp:posOffset>
            </wp:positionV>
            <wp:extent cx="4269740" cy="544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269740" cy="544893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20"/>
        <w:spacing w:after="0"/>
        <w:rPr>
          <w:sz w:val="20"/>
          <w:szCs w:val="20"/>
          <w:color w:val="auto"/>
        </w:rPr>
      </w:pPr>
      <w:r>
        <w:rPr>
          <w:rFonts w:ascii="Arial" w:cs="Arial" w:eastAsia="Arial" w:hAnsi="Arial"/>
          <w:sz w:val="44"/>
          <w:szCs w:val="44"/>
          <w:b w:val="1"/>
          <w:bCs w:val="1"/>
          <w:color w:val="auto"/>
        </w:rPr>
        <w:t>General Motors Company</w:t>
      </w:r>
    </w:p>
    <w:p>
      <w:pPr>
        <w:spacing w:after="0" w:line="200" w:lineRule="exact"/>
        <w:rPr>
          <w:sz w:val="20"/>
          <w:szCs w:val="20"/>
          <w:color w:val="auto"/>
        </w:rPr>
      </w:pPr>
    </w:p>
    <w:p>
      <w:pPr>
        <w:spacing w:after="0" w:line="353" w:lineRule="exact"/>
        <w:rPr>
          <w:sz w:val="20"/>
          <w:szCs w:val="20"/>
          <w:color w:val="auto"/>
        </w:rPr>
      </w:pPr>
    </w:p>
    <w:p>
      <w:pPr>
        <w:ind w:left="2920"/>
        <w:spacing w:after="0"/>
        <w:rPr>
          <w:sz w:val="20"/>
          <w:szCs w:val="20"/>
          <w:color w:val="auto"/>
        </w:rPr>
      </w:pPr>
      <w:r>
        <w:rPr>
          <w:rFonts w:ascii="Arial" w:cs="Arial" w:eastAsia="Arial" w:hAnsi="Arial"/>
          <w:sz w:val="44"/>
          <w:szCs w:val="44"/>
          <w:b w:val="1"/>
          <w:bCs w:val="1"/>
          <w:color w:val="auto"/>
        </w:rPr>
        <w:t>Q3 2010 Results</w:t>
      </w:r>
    </w:p>
    <w:p>
      <w:pPr>
        <w:spacing w:after="0" w:line="200" w:lineRule="exact"/>
        <w:rPr>
          <w:sz w:val="20"/>
          <w:szCs w:val="20"/>
          <w:color w:val="auto"/>
        </w:rPr>
      </w:pPr>
    </w:p>
    <w:p>
      <w:pPr>
        <w:spacing w:after="0" w:line="356" w:lineRule="exact"/>
        <w:rPr>
          <w:sz w:val="20"/>
          <w:szCs w:val="20"/>
          <w:color w:val="auto"/>
        </w:rPr>
      </w:pPr>
    </w:p>
    <w:p>
      <w:pPr>
        <w:ind w:left="2960"/>
        <w:spacing w:after="0"/>
        <w:rPr>
          <w:sz w:val="20"/>
          <w:szCs w:val="20"/>
          <w:color w:val="auto"/>
        </w:rPr>
      </w:pPr>
      <w:r>
        <w:rPr>
          <w:rFonts w:ascii="Arial" w:cs="Arial" w:eastAsia="Arial" w:hAnsi="Arial"/>
          <w:sz w:val="38"/>
          <w:szCs w:val="38"/>
          <w:color w:val="auto"/>
        </w:rPr>
        <w:t>November 10, 2010</w:t>
      </w:r>
    </w:p>
    <w:p>
      <w:pPr>
        <w:sectPr>
          <w:pgSz w:w="11900" w:h="16838" w:orient="portrait"/>
          <w:cols w:equalWidth="0" w:num="1">
            <w:col w:w="10260"/>
          </w:cols>
          <w:pgMar w:left="1440" w:top="300" w:right="199" w:bottom="1440" w:gutter="0" w:footer="0" w:header="0"/>
        </w:sectPr>
      </w:pPr>
    </w:p>
    <w:bookmarkStart w:id="5" w:name="page6"/>
    <w:bookmarkEnd w:id="5"/>
    <w:p>
      <w:pPr>
        <w:ind w:left="1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377" w:lineRule="exact"/>
        <w:rPr>
          <w:sz w:val="20"/>
          <w:szCs w:val="20"/>
          <w:color w:val="auto"/>
        </w:rPr>
      </w:pPr>
    </w:p>
    <w:p>
      <w:pPr>
        <w:ind w:left="540" w:right="1380"/>
        <w:spacing w:after="0" w:line="234" w:lineRule="auto"/>
        <w:rPr>
          <w:sz w:val="20"/>
          <w:szCs w:val="20"/>
          <w:color w:val="auto"/>
        </w:rPr>
      </w:pPr>
      <w:r>
        <w:rPr>
          <w:rFonts w:ascii="Arial" w:cs="Arial" w:eastAsia="Arial" w:hAnsi="Arial"/>
          <w:sz w:val="23"/>
          <w:szCs w:val="23"/>
          <w:i w:val="1"/>
          <w:iCs w:val="1"/>
          <w:color w:val="auto"/>
        </w:rPr>
        <w:t>In this presentation and in related comments by our management, our use of the words “expect,” “anticipate,” “possible,” “potential,” “target,” “believe,” “commit,” “intend,” “continue,” “may,” “would,” “could,” “should,” “project,” “projected,” “positioned” or similar expressions is intended to identify forward 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continue to attract new customers, particularly for our new products</w:t>
      </w:r>
    </w:p>
    <w:p>
      <w:pPr>
        <w:spacing w:after="0" w:line="222" w:lineRule="exact"/>
        <w:rPr>
          <w:sz w:val="20"/>
          <w:szCs w:val="20"/>
          <w:color w:val="auto"/>
        </w:rPr>
      </w:pPr>
    </w:p>
    <w:p>
      <w:pPr>
        <w:ind w:left="540" w:right="1480"/>
        <w:spacing w:after="0" w:line="246" w:lineRule="auto"/>
        <w:rPr>
          <w:sz w:val="20"/>
          <w:szCs w:val="20"/>
          <w:color w:val="auto"/>
        </w:rPr>
      </w:pPr>
      <w:r>
        <w:rPr>
          <w:rFonts w:ascii="Arial" w:cs="Arial" w:eastAsia="Arial" w:hAnsi="Arial"/>
          <w:sz w:val="23"/>
          <w:szCs w:val="23"/>
          <w:i w:val="1"/>
          <w:iCs w:val="1"/>
          <w:color w:val="auto"/>
        </w:rPr>
        <w:t>GM's most recent annual report on Form 10-K and quarterly report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w:t>
      </w:r>
    </w:p>
    <w:p>
      <w:pPr>
        <w:sectPr>
          <w:pgSz w:w="11900" w:h="16838" w:orient="portrait"/>
          <w:cols w:equalWidth="0" w:num="1">
            <w:col w:w="9560"/>
          </w:cols>
          <w:pgMar w:left="1440" w:top="613" w:right="899" w:bottom="1440" w:gutter="0" w:footer="0" w:header="0"/>
        </w:sectPr>
      </w:pPr>
    </w:p>
    <w:bookmarkStart w:id="6" w:name="page7"/>
    <w:bookmarkEnd w:id="6"/>
    <w:p>
      <w:pPr>
        <w:ind w:left="880"/>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Summary of Q3 2010 Results</w:t>
      </w:r>
    </w:p>
    <w:p>
      <w:pPr>
        <w:sectPr>
          <w:pgSz w:w="11900" w:h="16838" w:orient="portrait"/>
          <w:cols w:equalWidth="0" w:num="1">
            <w:col w:w="10280"/>
          </w:cols>
          <w:pgMar w:left="720" w:top="64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GAAP</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38"/>
          <w:szCs w:val="38"/>
          <w:color w:val="auto"/>
        </w:rPr>
        <w:t>Net Revenue ($B)</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38"/>
          <w:szCs w:val="38"/>
          <w:color w:val="auto"/>
        </w:rPr>
        <w:t>Operating Income ($B)</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38"/>
          <w:szCs w:val="38"/>
          <w:color w:val="auto"/>
        </w:rPr>
        <w:t>Net Income Attr. Common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38"/>
          <w:szCs w:val="38"/>
          <w:color w:val="auto"/>
        </w:rPr>
        <w:t>Stockholders ($B)</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38"/>
          <w:szCs w:val="38"/>
          <w:color w:val="auto"/>
        </w:rPr>
        <w:t>EPS – Diluted ($/Share)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Non- GAAP</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38"/>
          <w:szCs w:val="38"/>
          <w:color w:val="auto"/>
        </w:rPr>
        <w:t>EBIT - Adj. ($B)</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38"/>
          <w:szCs w:val="38"/>
          <w:color w:val="auto"/>
        </w:rPr>
        <w:t>Free Cash Flow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381"/>
        </w:trPr>
        <w:tc>
          <w:tcPr>
            <w:tcW w:w="1180" w:type="dxa"/>
            <w:vAlign w:val="bottom"/>
          </w:tcPr>
          <w:p>
            <w:pPr>
              <w:jc w:val="center"/>
              <w:ind w:right="379"/>
              <w:spacing w:after="0"/>
              <w:rPr>
                <w:sz w:val="20"/>
                <w:szCs w:val="20"/>
                <w:color w:val="auto"/>
              </w:rPr>
            </w:pPr>
            <w:r>
              <w:rPr>
                <w:rFonts w:ascii="Arial" w:cs="Arial" w:eastAsia="Arial" w:hAnsi="Arial"/>
                <w:sz w:val="32"/>
                <w:szCs w:val="32"/>
                <w:b w:val="1"/>
                <w:bCs w:val="1"/>
                <w:color w:val="auto"/>
              </w:rPr>
              <w:t>Q1</w:t>
            </w:r>
          </w:p>
        </w:tc>
        <w:tc>
          <w:tcPr>
            <w:tcW w:w="1660" w:type="dxa"/>
            <w:vAlign w:val="bottom"/>
          </w:tcPr>
          <w:p>
            <w:pPr>
              <w:jc w:val="center"/>
              <w:spacing w:after="0"/>
              <w:rPr>
                <w:sz w:val="20"/>
                <w:szCs w:val="20"/>
                <w:color w:val="auto"/>
              </w:rPr>
            </w:pPr>
            <w:r>
              <w:rPr>
                <w:rFonts w:ascii="Arial" w:cs="Arial" w:eastAsia="Arial" w:hAnsi="Arial"/>
                <w:sz w:val="32"/>
                <w:szCs w:val="32"/>
                <w:b w:val="1"/>
                <w:bCs w:val="1"/>
                <w:color w:val="auto"/>
                <w:w w:val="98"/>
              </w:rPr>
              <w:t>Q2</w:t>
            </w:r>
          </w:p>
        </w:tc>
        <w:tc>
          <w:tcPr>
            <w:tcW w:w="1200" w:type="dxa"/>
            <w:vAlign w:val="bottom"/>
          </w:tcPr>
          <w:p>
            <w:pPr>
              <w:jc w:val="center"/>
              <w:ind w:left="339"/>
              <w:spacing w:after="0"/>
              <w:rPr>
                <w:sz w:val="20"/>
                <w:szCs w:val="20"/>
                <w:color w:val="auto"/>
              </w:rPr>
            </w:pPr>
            <w:r>
              <w:rPr>
                <w:rFonts w:ascii="Arial" w:cs="Arial" w:eastAsia="Arial" w:hAnsi="Arial"/>
                <w:sz w:val="32"/>
                <w:szCs w:val="32"/>
                <w:b w:val="1"/>
                <w:bCs w:val="1"/>
                <w:color w:val="auto"/>
                <w:w w:val="98"/>
              </w:rPr>
              <w:t>Q3</w:t>
            </w:r>
          </w:p>
        </w:tc>
      </w:tr>
      <w:tr>
        <w:trPr>
          <w:trHeight w:val="427"/>
        </w:trPr>
        <w:tc>
          <w:tcPr>
            <w:tcW w:w="1180" w:type="dxa"/>
            <w:vAlign w:val="bottom"/>
          </w:tcPr>
          <w:p>
            <w:pPr>
              <w:jc w:val="right"/>
              <w:ind w:right="299"/>
              <w:spacing w:after="0"/>
              <w:rPr>
                <w:sz w:val="20"/>
                <w:szCs w:val="20"/>
                <w:color w:val="auto"/>
              </w:rPr>
            </w:pPr>
            <w:r>
              <w:rPr>
                <w:rFonts w:ascii="Arial" w:cs="Arial" w:eastAsia="Arial" w:hAnsi="Arial"/>
                <w:sz w:val="32"/>
                <w:szCs w:val="32"/>
                <w:b w:val="1"/>
                <w:bCs w:val="1"/>
                <w:color w:val="auto"/>
                <w:w w:val="98"/>
              </w:rPr>
              <w:t>2010</w:t>
            </w:r>
          </w:p>
        </w:tc>
        <w:tc>
          <w:tcPr>
            <w:tcW w:w="1660" w:type="dxa"/>
            <w:vAlign w:val="bottom"/>
          </w:tcPr>
          <w:p>
            <w:pPr>
              <w:jc w:val="right"/>
              <w:ind w:right="339"/>
              <w:spacing w:after="0"/>
              <w:rPr>
                <w:sz w:val="20"/>
                <w:szCs w:val="20"/>
                <w:color w:val="auto"/>
              </w:rPr>
            </w:pPr>
            <w:r>
              <w:rPr>
                <w:rFonts w:ascii="Arial" w:cs="Arial" w:eastAsia="Arial" w:hAnsi="Arial"/>
                <w:sz w:val="32"/>
                <w:szCs w:val="32"/>
                <w:b w:val="1"/>
                <w:bCs w:val="1"/>
                <w:color w:val="auto"/>
              </w:rPr>
              <w:t>2010</w:t>
            </w:r>
          </w:p>
        </w:tc>
        <w:tc>
          <w:tcPr>
            <w:tcW w:w="1200" w:type="dxa"/>
            <w:vAlign w:val="bottom"/>
          </w:tcPr>
          <w:p>
            <w:pPr>
              <w:jc w:val="right"/>
              <w:spacing w:after="0"/>
              <w:rPr>
                <w:sz w:val="20"/>
                <w:szCs w:val="20"/>
                <w:color w:val="auto"/>
              </w:rPr>
            </w:pPr>
            <w:r>
              <w:rPr>
                <w:rFonts w:ascii="Arial" w:cs="Arial" w:eastAsia="Arial" w:hAnsi="Arial"/>
                <w:sz w:val="32"/>
                <w:szCs w:val="32"/>
                <w:b w:val="1"/>
                <w:bCs w:val="1"/>
                <w:color w:val="auto"/>
              </w:rPr>
              <w:t>2010</w:t>
            </w: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1180" w:type="dxa"/>
            <w:vAlign w:val="bottom"/>
          </w:tcPr>
          <w:p>
            <w:pPr>
              <w:jc w:val="center"/>
              <w:ind w:right="250"/>
              <w:spacing w:after="0"/>
              <w:rPr>
                <w:sz w:val="20"/>
                <w:szCs w:val="20"/>
                <w:color w:val="auto"/>
              </w:rPr>
            </w:pPr>
            <w:r>
              <w:rPr>
                <w:rFonts w:ascii="Arial" w:cs="Arial" w:eastAsia="Arial" w:hAnsi="Arial"/>
                <w:sz w:val="38"/>
                <w:szCs w:val="38"/>
                <w:color w:val="auto"/>
              </w:rPr>
              <w:t>31.5</w:t>
            </w:r>
          </w:p>
        </w:tc>
        <w:tc>
          <w:tcPr>
            <w:tcW w:w="1680" w:type="dxa"/>
            <w:vAlign w:val="bottom"/>
          </w:tcPr>
          <w:p>
            <w:pPr>
              <w:jc w:val="center"/>
              <w:spacing w:after="0"/>
              <w:rPr>
                <w:sz w:val="20"/>
                <w:szCs w:val="20"/>
                <w:color w:val="auto"/>
              </w:rPr>
            </w:pPr>
            <w:r>
              <w:rPr>
                <w:rFonts w:ascii="Arial" w:cs="Arial" w:eastAsia="Arial" w:hAnsi="Arial"/>
                <w:sz w:val="38"/>
                <w:szCs w:val="38"/>
                <w:color w:val="auto"/>
              </w:rPr>
              <w:t>33.2</w:t>
            </w:r>
          </w:p>
        </w:tc>
        <w:tc>
          <w:tcPr>
            <w:tcW w:w="1220" w:type="dxa"/>
            <w:vAlign w:val="bottom"/>
          </w:tcPr>
          <w:p>
            <w:pPr>
              <w:jc w:val="center"/>
              <w:ind w:left="290"/>
              <w:spacing w:after="0"/>
              <w:rPr>
                <w:sz w:val="20"/>
                <w:szCs w:val="20"/>
                <w:color w:val="auto"/>
              </w:rPr>
            </w:pPr>
            <w:r>
              <w:rPr>
                <w:rFonts w:ascii="Arial" w:cs="Arial" w:eastAsia="Arial" w:hAnsi="Arial"/>
                <w:sz w:val="38"/>
                <w:szCs w:val="38"/>
                <w:color w:val="auto"/>
              </w:rPr>
              <w:t>34.1</w:t>
            </w:r>
          </w:p>
        </w:tc>
      </w:tr>
      <w:tr>
        <w:trPr>
          <w:trHeight w:val="607"/>
        </w:trPr>
        <w:tc>
          <w:tcPr>
            <w:tcW w:w="1180" w:type="dxa"/>
            <w:vAlign w:val="bottom"/>
          </w:tcPr>
          <w:p>
            <w:pPr>
              <w:jc w:val="center"/>
              <w:ind w:right="270"/>
              <w:spacing w:after="0"/>
              <w:rPr>
                <w:sz w:val="20"/>
                <w:szCs w:val="20"/>
                <w:color w:val="auto"/>
              </w:rPr>
            </w:pPr>
            <w:r>
              <w:rPr>
                <w:rFonts w:ascii="Arial" w:cs="Arial" w:eastAsia="Arial" w:hAnsi="Arial"/>
                <w:sz w:val="38"/>
                <w:szCs w:val="38"/>
                <w:color w:val="auto"/>
                <w:w w:val="98"/>
              </w:rPr>
              <w:t>1.2</w:t>
            </w:r>
          </w:p>
        </w:tc>
        <w:tc>
          <w:tcPr>
            <w:tcW w:w="1680" w:type="dxa"/>
            <w:vAlign w:val="bottom"/>
          </w:tcPr>
          <w:p>
            <w:pPr>
              <w:jc w:val="center"/>
              <w:spacing w:after="0"/>
              <w:rPr>
                <w:sz w:val="20"/>
                <w:szCs w:val="20"/>
                <w:color w:val="auto"/>
              </w:rPr>
            </w:pPr>
            <w:r>
              <w:rPr>
                <w:rFonts w:ascii="Arial" w:cs="Arial" w:eastAsia="Arial" w:hAnsi="Arial"/>
                <w:sz w:val="38"/>
                <w:szCs w:val="38"/>
                <w:color w:val="auto"/>
                <w:w w:val="98"/>
              </w:rPr>
              <w:t>1.8</w:t>
            </w:r>
          </w:p>
        </w:tc>
        <w:tc>
          <w:tcPr>
            <w:tcW w:w="1220" w:type="dxa"/>
            <w:vAlign w:val="bottom"/>
          </w:tcPr>
          <w:p>
            <w:pPr>
              <w:jc w:val="center"/>
              <w:ind w:left="310"/>
              <w:spacing w:after="0"/>
              <w:rPr>
                <w:sz w:val="20"/>
                <w:szCs w:val="20"/>
                <w:color w:val="auto"/>
              </w:rPr>
            </w:pPr>
            <w:r>
              <w:rPr>
                <w:rFonts w:ascii="Arial" w:cs="Arial" w:eastAsia="Arial" w:hAnsi="Arial"/>
                <w:sz w:val="38"/>
                <w:szCs w:val="38"/>
                <w:color w:val="auto"/>
                <w:w w:val="98"/>
              </w:rPr>
              <w:t>1.9</w:t>
            </w:r>
          </w:p>
        </w:tc>
      </w:tr>
      <w:tr>
        <w:trPr>
          <w:trHeight w:val="845"/>
        </w:trPr>
        <w:tc>
          <w:tcPr>
            <w:tcW w:w="1180" w:type="dxa"/>
            <w:vAlign w:val="bottom"/>
          </w:tcPr>
          <w:p>
            <w:pPr>
              <w:jc w:val="center"/>
              <w:ind w:right="270"/>
              <w:spacing w:after="0"/>
              <w:rPr>
                <w:sz w:val="20"/>
                <w:szCs w:val="20"/>
                <w:color w:val="auto"/>
              </w:rPr>
            </w:pPr>
            <w:r>
              <w:rPr>
                <w:rFonts w:ascii="Arial" w:cs="Arial" w:eastAsia="Arial" w:hAnsi="Arial"/>
                <w:sz w:val="38"/>
                <w:szCs w:val="38"/>
                <w:color w:val="auto"/>
                <w:w w:val="98"/>
              </w:rPr>
              <w:t>0.9</w:t>
            </w:r>
          </w:p>
        </w:tc>
        <w:tc>
          <w:tcPr>
            <w:tcW w:w="1680" w:type="dxa"/>
            <w:vAlign w:val="bottom"/>
          </w:tcPr>
          <w:p>
            <w:pPr>
              <w:jc w:val="center"/>
              <w:spacing w:after="0"/>
              <w:rPr>
                <w:sz w:val="20"/>
                <w:szCs w:val="20"/>
                <w:color w:val="auto"/>
              </w:rPr>
            </w:pPr>
            <w:r>
              <w:rPr>
                <w:rFonts w:ascii="Arial" w:cs="Arial" w:eastAsia="Arial" w:hAnsi="Arial"/>
                <w:sz w:val="38"/>
                <w:szCs w:val="38"/>
                <w:color w:val="auto"/>
                <w:w w:val="98"/>
              </w:rPr>
              <w:t>1.3</w:t>
            </w:r>
          </w:p>
        </w:tc>
        <w:tc>
          <w:tcPr>
            <w:tcW w:w="1220" w:type="dxa"/>
            <w:vAlign w:val="bottom"/>
          </w:tcPr>
          <w:p>
            <w:pPr>
              <w:jc w:val="center"/>
              <w:ind w:left="310"/>
              <w:spacing w:after="0"/>
              <w:rPr>
                <w:sz w:val="20"/>
                <w:szCs w:val="20"/>
                <w:color w:val="auto"/>
              </w:rPr>
            </w:pPr>
            <w:r>
              <w:rPr>
                <w:rFonts w:ascii="Arial" w:cs="Arial" w:eastAsia="Arial" w:hAnsi="Arial"/>
                <w:sz w:val="38"/>
                <w:szCs w:val="38"/>
                <w:color w:val="auto"/>
                <w:w w:val="98"/>
              </w:rPr>
              <w:t>2.0</w:t>
            </w:r>
          </w:p>
        </w:tc>
      </w:tr>
      <w:tr>
        <w:trPr>
          <w:trHeight w:val="845"/>
        </w:trPr>
        <w:tc>
          <w:tcPr>
            <w:tcW w:w="1180" w:type="dxa"/>
            <w:vAlign w:val="bottom"/>
          </w:tcPr>
          <w:p>
            <w:pPr>
              <w:jc w:val="center"/>
              <w:ind w:right="250"/>
              <w:spacing w:after="0"/>
              <w:rPr>
                <w:sz w:val="20"/>
                <w:szCs w:val="20"/>
                <w:color w:val="auto"/>
              </w:rPr>
            </w:pPr>
            <w:r>
              <w:rPr>
                <w:rFonts w:ascii="Arial" w:cs="Arial" w:eastAsia="Arial" w:hAnsi="Arial"/>
                <w:sz w:val="38"/>
                <w:szCs w:val="38"/>
                <w:color w:val="auto"/>
              </w:rPr>
              <w:t>0.55</w:t>
            </w:r>
          </w:p>
        </w:tc>
        <w:tc>
          <w:tcPr>
            <w:tcW w:w="1680" w:type="dxa"/>
            <w:vAlign w:val="bottom"/>
          </w:tcPr>
          <w:p>
            <w:pPr>
              <w:jc w:val="center"/>
              <w:spacing w:after="0"/>
              <w:rPr>
                <w:sz w:val="20"/>
                <w:szCs w:val="20"/>
                <w:color w:val="auto"/>
              </w:rPr>
            </w:pPr>
            <w:r>
              <w:rPr>
                <w:rFonts w:ascii="Arial" w:cs="Arial" w:eastAsia="Arial" w:hAnsi="Arial"/>
                <w:sz w:val="38"/>
                <w:szCs w:val="38"/>
                <w:color w:val="auto"/>
              </w:rPr>
              <w:t>0.85</w:t>
            </w:r>
          </w:p>
        </w:tc>
        <w:tc>
          <w:tcPr>
            <w:tcW w:w="1220" w:type="dxa"/>
            <w:vAlign w:val="bottom"/>
          </w:tcPr>
          <w:p>
            <w:pPr>
              <w:jc w:val="center"/>
              <w:ind w:left="290"/>
              <w:spacing w:after="0"/>
              <w:rPr>
                <w:sz w:val="20"/>
                <w:szCs w:val="20"/>
                <w:color w:val="auto"/>
              </w:rPr>
            </w:pPr>
            <w:r>
              <w:rPr>
                <w:rFonts w:ascii="Arial" w:cs="Arial" w:eastAsia="Arial" w:hAnsi="Arial"/>
                <w:sz w:val="38"/>
                <w:szCs w:val="38"/>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00" w:type="dxa"/>
        <w:tblCellMar>
          <w:top w:w="0" w:type="dxa"/>
          <w:left w:w="0" w:type="dxa"/>
          <w:bottom w:w="0" w:type="dxa"/>
          <w:right w:w="0" w:type="dxa"/>
        </w:tblCellMar>
      </w:tblPr>
      <w:tr>
        <w:trPr>
          <w:trHeight w:val="459"/>
        </w:trPr>
        <w:tc>
          <w:tcPr>
            <w:tcW w:w="1080" w:type="dxa"/>
            <w:vAlign w:val="bottom"/>
          </w:tcPr>
          <w:p>
            <w:pPr>
              <w:jc w:val="right"/>
              <w:ind w:right="370"/>
              <w:spacing w:after="0"/>
              <w:rPr>
                <w:sz w:val="20"/>
                <w:szCs w:val="20"/>
                <w:color w:val="auto"/>
              </w:rPr>
            </w:pPr>
            <w:r>
              <w:rPr>
                <w:rFonts w:ascii="Arial" w:cs="Arial" w:eastAsia="Arial" w:hAnsi="Arial"/>
                <w:sz w:val="38"/>
                <w:szCs w:val="38"/>
                <w:color w:val="auto"/>
                <w:w w:val="94"/>
              </w:rPr>
              <w:t>1.7</w:t>
            </w:r>
          </w:p>
        </w:tc>
        <w:tc>
          <w:tcPr>
            <w:tcW w:w="1680" w:type="dxa"/>
            <w:vAlign w:val="bottom"/>
          </w:tcPr>
          <w:p>
            <w:pPr>
              <w:jc w:val="right"/>
              <w:ind w:right="390"/>
              <w:spacing w:after="0"/>
              <w:rPr>
                <w:sz w:val="20"/>
                <w:szCs w:val="20"/>
                <w:color w:val="auto"/>
              </w:rPr>
            </w:pPr>
            <w:r>
              <w:rPr>
                <w:rFonts w:ascii="Arial" w:cs="Arial" w:eastAsia="Arial" w:hAnsi="Arial"/>
                <w:sz w:val="38"/>
                <w:szCs w:val="38"/>
                <w:color w:val="auto"/>
              </w:rPr>
              <w:t>2.0</w:t>
            </w:r>
          </w:p>
        </w:tc>
        <w:tc>
          <w:tcPr>
            <w:tcW w:w="1120" w:type="dxa"/>
            <w:vAlign w:val="bottom"/>
          </w:tcPr>
          <w:p>
            <w:pPr>
              <w:jc w:val="right"/>
              <w:spacing w:after="0"/>
              <w:rPr>
                <w:sz w:val="20"/>
                <w:szCs w:val="20"/>
                <w:color w:val="auto"/>
              </w:rPr>
            </w:pPr>
            <w:r>
              <w:rPr>
                <w:rFonts w:ascii="Arial" w:cs="Arial" w:eastAsia="Arial" w:hAnsi="Arial"/>
                <w:sz w:val="38"/>
                <w:szCs w:val="38"/>
                <w:color w:val="auto"/>
              </w:rPr>
              <w:t>2.3</w:t>
            </w:r>
          </w:p>
        </w:tc>
      </w:tr>
      <w:tr>
        <w:trPr>
          <w:trHeight w:val="595"/>
        </w:trPr>
        <w:tc>
          <w:tcPr>
            <w:tcW w:w="1080" w:type="dxa"/>
            <w:vAlign w:val="bottom"/>
          </w:tcPr>
          <w:p>
            <w:pPr>
              <w:jc w:val="right"/>
              <w:ind w:right="370"/>
              <w:spacing w:after="0"/>
              <w:rPr>
                <w:sz w:val="20"/>
                <w:szCs w:val="20"/>
                <w:color w:val="auto"/>
              </w:rPr>
            </w:pPr>
            <w:r>
              <w:rPr>
                <w:rFonts w:ascii="Arial" w:cs="Arial" w:eastAsia="Arial" w:hAnsi="Arial"/>
                <w:sz w:val="38"/>
                <w:szCs w:val="38"/>
                <w:color w:val="auto"/>
                <w:w w:val="94"/>
              </w:rPr>
              <w:t>1.0</w:t>
            </w:r>
          </w:p>
        </w:tc>
        <w:tc>
          <w:tcPr>
            <w:tcW w:w="1680" w:type="dxa"/>
            <w:vAlign w:val="bottom"/>
          </w:tcPr>
          <w:p>
            <w:pPr>
              <w:jc w:val="right"/>
              <w:ind w:right="390"/>
              <w:spacing w:after="0"/>
              <w:rPr>
                <w:sz w:val="20"/>
                <w:szCs w:val="20"/>
                <w:color w:val="auto"/>
              </w:rPr>
            </w:pPr>
            <w:r>
              <w:rPr>
                <w:rFonts w:ascii="Arial" w:cs="Arial" w:eastAsia="Arial" w:hAnsi="Arial"/>
                <w:sz w:val="38"/>
                <w:szCs w:val="38"/>
                <w:color w:val="auto"/>
              </w:rPr>
              <w:t>2.8</w:t>
            </w:r>
          </w:p>
        </w:tc>
        <w:tc>
          <w:tcPr>
            <w:tcW w:w="1120" w:type="dxa"/>
            <w:vAlign w:val="bottom"/>
          </w:tcPr>
          <w:p>
            <w:pPr>
              <w:jc w:val="right"/>
              <w:spacing w:after="0"/>
              <w:rPr>
                <w:sz w:val="20"/>
                <w:szCs w:val="20"/>
                <w:color w:val="auto"/>
              </w:rPr>
            </w:pPr>
            <w:r>
              <w:rPr>
                <w:rFonts w:ascii="Arial" w:cs="Arial" w:eastAsia="Arial" w:hAnsi="Arial"/>
                <w:sz w:val="38"/>
                <w:szCs w:val="38"/>
                <w:color w:val="auto"/>
              </w:rPr>
              <w:t>1.4</w:t>
            </w:r>
          </w:p>
        </w:tc>
      </w:tr>
    </w:tbl>
    <w:p>
      <w:pPr>
        <w:spacing w:after="0" w:line="2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w:t>
      </w:r>
    </w:p>
    <w:p>
      <w:pPr>
        <w:sectPr>
          <w:pgSz w:w="11900" w:h="16838" w:orient="portrait"/>
          <w:cols w:equalWidth="0" w:num="2">
            <w:col w:w="4720" w:space="720"/>
            <w:col w:w="4840"/>
          </w:cols>
          <w:pgMar w:left="720" w:top="649" w:right="899" w:bottom="1440" w:gutter="0" w:footer="0" w:header="0"/>
          <w:type w:val="continuous"/>
        </w:sectPr>
      </w:pPr>
    </w:p>
    <w:bookmarkStart w:id="7" w:name="page8"/>
    <w:bookmarkEnd w:id="7"/>
    <w:p>
      <w:pPr>
        <w:ind w:left="3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3135" cy="35560"/>
                    </a:xfrm>
                    <a:prstGeom prst="rect">
                      <a:avLst/>
                    </a:prstGeom>
                    <a:noFill/>
                  </pic:spPr>
                </pic:pic>
              </a:graphicData>
            </a:graphic>
          </wp:anchor>
        </w:drawing>
        <w:t>Q3 Operating Income Walk to EBIT - Adj.</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6840" w:type="dxa"/>
            <w:vAlign w:val="bottom"/>
          </w:tcPr>
          <w:p>
            <w:pPr>
              <w:spacing w:after="0"/>
              <w:rPr>
                <w:sz w:val="24"/>
                <w:szCs w:val="24"/>
                <w:color w:val="auto"/>
              </w:rPr>
            </w:pPr>
          </w:p>
        </w:tc>
        <w:tc>
          <w:tcPr>
            <w:tcW w:w="1500" w:type="dxa"/>
            <w:vAlign w:val="bottom"/>
          </w:tcPr>
          <w:p>
            <w:pPr>
              <w:jc w:val="center"/>
              <w:ind w:left="647"/>
              <w:spacing w:after="0"/>
              <w:rPr>
                <w:sz w:val="20"/>
                <w:szCs w:val="20"/>
                <w:color w:val="auto"/>
              </w:rPr>
            </w:pPr>
            <w:r>
              <w:rPr>
                <w:rFonts w:ascii="Arial" w:cs="Arial" w:eastAsia="Arial" w:hAnsi="Arial"/>
                <w:sz w:val="32"/>
                <w:szCs w:val="32"/>
                <w:b w:val="1"/>
                <w:bCs w:val="1"/>
                <w:color w:val="auto"/>
                <w:w w:val="98"/>
              </w:rPr>
              <w:t>Q3</w:t>
            </w:r>
          </w:p>
        </w:tc>
      </w:tr>
      <w:tr>
        <w:trPr>
          <w:trHeight w:val="427"/>
        </w:trPr>
        <w:tc>
          <w:tcPr>
            <w:tcW w:w="6840" w:type="dxa"/>
            <w:vAlign w:val="bottom"/>
          </w:tcPr>
          <w:p>
            <w:pPr>
              <w:spacing w:after="0"/>
              <w:rPr>
                <w:sz w:val="20"/>
                <w:szCs w:val="20"/>
                <w:color w:val="auto"/>
              </w:rPr>
            </w:pPr>
            <w:r>
              <w:rPr>
                <w:rFonts w:ascii="Arial" w:cs="Arial" w:eastAsia="Arial" w:hAnsi="Arial"/>
                <w:sz w:val="29"/>
                <w:szCs w:val="29"/>
                <w:b w:val="1"/>
                <w:bCs w:val="1"/>
                <w:color w:val="auto"/>
              </w:rPr>
              <w:t>($ B)</w:t>
            </w:r>
          </w:p>
        </w:tc>
        <w:tc>
          <w:tcPr>
            <w:tcW w:w="1500" w:type="dxa"/>
            <w:vAlign w:val="bottom"/>
          </w:tcPr>
          <w:p>
            <w:pPr>
              <w:jc w:val="center"/>
              <w:ind w:left="647"/>
              <w:spacing w:after="0"/>
              <w:rPr>
                <w:sz w:val="20"/>
                <w:szCs w:val="20"/>
                <w:color w:val="auto"/>
              </w:rPr>
            </w:pPr>
            <w:r>
              <w:rPr>
                <w:rFonts w:ascii="Arial" w:cs="Arial" w:eastAsia="Arial" w:hAnsi="Arial"/>
                <w:sz w:val="32"/>
                <w:szCs w:val="32"/>
                <w:b w:val="1"/>
                <w:bCs w:val="1"/>
                <w:color w:val="auto"/>
                <w:w w:val="98"/>
              </w:rPr>
              <w:t>2010</w:t>
            </w:r>
          </w:p>
        </w:tc>
      </w:tr>
      <w:tr>
        <w:trPr>
          <w:trHeight w:val="607"/>
        </w:trPr>
        <w:tc>
          <w:tcPr>
            <w:tcW w:w="6840" w:type="dxa"/>
            <w:vAlign w:val="bottom"/>
          </w:tcPr>
          <w:p>
            <w:pPr>
              <w:spacing w:after="0"/>
              <w:rPr>
                <w:sz w:val="20"/>
                <w:szCs w:val="20"/>
                <w:color w:val="auto"/>
              </w:rPr>
            </w:pPr>
            <w:r>
              <w:rPr>
                <w:rFonts w:ascii="Arial" w:cs="Arial" w:eastAsia="Arial" w:hAnsi="Arial"/>
                <w:sz w:val="32"/>
                <w:szCs w:val="32"/>
                <w:b w:val="1"/>
                <w:bCs w:val="1"/>
                <w:color w:val="auto"/>
              </w:rPr>
              <w:t>Operating Income</w:t>
            </w:r>
          </w:p>
        </w:tc>
        <w:tc>
          <w:tcPr>
            <w:tcW w:w="1500" w:type="dxa"/>
            <w:vAlign w:val="bottom"/>
          </w:tcPr>
          <w:p>
            <w:pPr>
              <w:jc w:val="center"/>
              <w:ind w:left="627"/>
              <w:spacing w:after="0"/>
              <w:rPr>
                <w:sz w:val="20"/>
                <w:szCs w:val="20"/>
                <w:color w:val="auto"/>
              </w:rPr>
            </w:pPr>
            <w:r>
              <w:rPr>
                <w:rFonts w:ascii="Arial" w:cs="Arial" w:eastAsia="Arial" w:hAnsi="Arial"/>
                <w:sz w:val="32"/>
                <w:szCs w:val="32"/>
                <w:b w:val="1"/>
                <w:bCs w:val="1"/>
                <w:color w:val="auto"/>
                <w:w w:val="98"/>
              </w:rPr>
              <w:t>1.9</w:t>
            </w:r>
          </w:p>
        </w:tc>
      </w:tr>
      <w:tr>
        <w:trPr>
          <w:trHeight w:val="704"/>
        </w:trPr>
        <w:tc>
          <w:tcPr>
            <w:tcW w:w="6840" w:type="dxa"/>
            <w:vAlign w:val="bottom"/>
          </w:tcPr>
          <w:p>
            <w:pPr>
              <w:ind w:left="160"/>
              <w:spacing w:after="0"/>
              <w:rPr>
                <w:sz w:val="20"/>
                <w:szCs w:val="20"/>
                <w:color w:val="auto"/>
              </w:rPr>
            </w:pPr>
            <w:r>
              <w:rPr>
                <w:rFonts w:ascii="Arial" w:cs="Arial" w:eastAsia="Arial" w:hAnsi="Arial"/>
                <w:sz w:val="29"/>
                <w:szCs w:val="29"/>
                <w:color w:val="auto"/>
              </w:rPr>
              <w:t>Equity Income</w:t>
            </w:r>
          </w:p>
        </w:tc>
        <w:tc>
          <w:tcPr>
            <w:tcW w:w="1500" w:type="dxa"/>
            <w:vAlign w:val="bottom"/>
          </w:tcPr>
          <w:p>
            <w:pPr>
              <w:jc w:val="right"/>
              <w:spacing w:after="0"/>
              <w:rPr>
                <w:sz w:val="20"/>
                <w:szCs w:val="20"/>
                <w:color w:val="auto"/>
              </w:rPr>
            </w:pPr>
            <w:r>
              <w:rPr>
                <w:rFonts w:ascii="Arial" w:cs="Arial" w:eastAsia="Arial" w:hAnsi="Arial"/>
                <w:sz w:val="29"/>
                <w:szCs w:val="29"/>
                <w:color w:val="auto"/>
              </w:rPr>
              <w:t>0.4</w:t>
            </w:r>
          </w:p>
        </w:tc>
      </w:tr>
      <w:tr>
        <w:trPr>
          <w:trHeight w:val="666"/>
        </w:trPr>
        <w:tc>
          <w:tcPr>
            <w:tcW w:w="6840" w:type="dxa"/>
            <w:vAlign w:val="bottom"/>
          </w:tcPr>
          <w:p>
            <w:pPr>
              <w:ind w:left="160"/>
              <w:spacing w:after="0"/>
              <w:rPr>
                <w:sz w:val="20"/>
                <w:szCs w:val="20"/>
                <w:color w:val="auto"/>
              </w:rPr>
            </w:pPr>
            <w:r>
              <w:rPr>
                <w:rFonts w:ascii="Arial" w:cs="Arial" w:eastAsia="Arial" w:hAnsi="Arial"/>
                <w:sz w:val="29"/>
                <w:szCs w:val="29"/>
                <w:color w:val="auto"/>
              </w:rPr>
              <w:t>Non-Controlling Interests</w:t>
            </w:r>
          </w:p>
        </w:tc>
        <w:tc>
          <w:tcPr>
            <w:tcW w:w="1500" w:type="dxa"/>
            <w:vAlign w:val="bottom"/>
          </w:tcPr>
          <w:p>
            <w:pPr>
              <w:jc w:val="right"/>
              <w:spacing w:after="0"/>
              <w:rPr>
                <w:sz w:val="20"/>
                <w:szCs w:val="20"/>
                <w:color w:val="auto"/>
              </w:rPr>
            </w:pPr>
            <w:r>
              <w:rPr>
                <w:rFonts w:ascii="Arial" w:cs="Arial" w:eastAsia="Arial" w:hAnsi="Arial"/>
                <w:sz w:val="29"/>
                <w:szCs w:val="29"/>
                <w:color w:val="auto"/>
              </w:rPr>
              <w:t>(0.1)</w:t>
            </w:r>
          </w:p>
        </w:tc>
      </w:tr>
      <w:tr>
        <w:trPr>
          <w:trHeight w:val="678"/>
        </w:trPr>
        <w:tc>
          <w:tcPr>
            <w:tcW w:w="6840" w:type="dxa"/>
            <w:vAlign w:val="bottom"/>
          </w:tcPr>
          <w:p>
            <w:pPr>
              <w:ind w:left="160"/>
              <w:spacing w:after="0"/>
              <w:rPr>
                <w:sz w:val="20"/>
                <w:szCs w:val="20"/>
                <w:color w:val="auto"/>
              </w:rPr>
            </w:pPr>
            <w:r>
              <w:rPr>
                <w:rFonts w:ascii="Arial" w:cs="Arial" w:eastAsia="Arial" w:hAnsi="Arial"/>
                <w:sz w:val="29"/>
                <w:szCs w:val="29"/>
                <w:color w:val="auto"/>
              </w:rPr>
              <w:t>Non-Operating Income</w:t>
            </w:r>
          </w:p>
        </w:tc>
        <w:tc>
          <w:tcPr>
            <w:tcW w:w="1500" w:type="dxa"/>
            <w:vAlign w:val="bottom"/>
          </w:tcPr>
          <w:p>
            <w:pPr>
              <w:jc w:val="right"/>
              <w:spacing w:after="0"/>
              <w:rPr>
                <w:sz w:val="20"/>
                <w:szCs w:val="20"/>
                <w:color w:val="auto"/>
              </w:rPr>
            </w:pPr>
            <w:r>
              <w:rPr>
                <w:rFonts w:ascii="Arial" w:cs="Arial" w:eastAsia="Arial" w:hAnsi="Arial"/>
                <w:sz w:val="29"/>
                <w:szCs w:val="29"/>
                <w:color w:val="auto"/>
              </w:rPr>
              <w:t>0.1</w:t>
            </w:r>
          </w:p>
        </w:tc>
      </w:tr>
      <w:tr>
        <w:trPr>
          <w:trHeight w:val="712"/>
        </w:trPr>
        <w:tc>
          <w:tcPr>
            <w:tcW w:w="6840" w:type="dxa"/>
            <w:vAlign w:val="bottom"/>
          </w:tcPr>
          <w:p>
            <w:pPr>
              <w:spacing w:after="0"/>
              <w:rPr>
                <w:sz w:val="20"/>
                <w:szCs w:val="20"/>
                <w:color w:val="auto"/>
              </w:rPr>
            </w:pPr>
            <w:r>
              <w:rPr>
                <w:rFonts w:ascii="Arial" w:cs="Arial" w:eastAsia="Arial" w:hAnsi="Arial"/>
                <w:sz w:val="32"/>
                <w:szCs w:val="32"/>
                <w:b w:val="1"/>
                <w:bCs w:val="1"/>
                <w:color w:val="auto"/>
              </w:rPr>
              <w:t>Earnings Before Interest &amp; Taxes (EBIT)</w:t>
            </w:r>
          </w:p>
        </w:tc>
        <w:tc>
          <w:tcPr>
            <w:tcW w:w="1500" w:type="dxa"/>
            <w:vAlign w:val="bottom"/>
          </w:tcPr>
          <w:p>
            <w:pPr>
              <w:jc w:val="center"/>
              <w:ind w:left="627"/>
              <w:spacing w:after="0"/>
              <w:rPr>
                <w:sz w:val="20"/>
                <w:szCs w:val="20"/>
                <w:color w:val="auto"/>
              </w:rPr>
            </w:pPr>
            <w:r>
              <w:rPr>
                <w:rFonts w:ascii="Arial" w:cs="Arial" w:eastAsia="Arial" w:hAnsi="Arial"/>
                <w:sz w:val="32"/>
                <w:szCs w:val="32"/>
                <w:b w:val="1"/>
                <w:bCs w:val="1"/>
                <w:color w:val="auto"/>
                <w:w w:val="98"/>
              </w:rPr>
              <w:t>2.3</w:t>
            </w:r>
          </w:p>
        </w:tc>
      </w:tr>
      <w:tr>
        <w:trPr>
          <w:trHeight w:val="692"/>
        </w:trPr>
        <w:tc>
          <w:tcPr>
            <w:tcW w:w="6840" w:type="dxa"/>
            <w:vAlign w:val="bottom"/>
          </w:tcPr>
          <w:p>
            <w:pPr>
              <w:ind w:left="240"/>
              <w:spacing w:after="0"/>
              <w:rPr>
                <w:sz w:val="20"/>
                <w:szCs w:val="20"/>
                <w:color w:val="auto"/>
              </w:rPr>
            </w:pPr>
            <w:r>
              <w:rPr>
                <w:rFonts w:ascii="Arial" w:cs="Arial" w:eastAsia="Arial" w:hAnsi="Arial"/>
                <w:sz w:val="29"/>
                <w:szCs w:val="29"/>
                <w:color w:val="auto"/>
              </w:rPr>
              <w:t>Less Adjustments</w:t>
            </w:r>
          </w:p>
        </w:tc>
        <w:tc>
          <w:tcPr>
            <w:tcW w:w="1500" w:type="dxa"/>
            <w:vAlign w:val="bottom"/>
          </w:tcPr>
          <w:p>
            <w:pPr>
              <w:jc w:val="right"/>
              <w:spacing w:after="0"/>
              <w:rPr>
                <w:sz w:val="20"/>
                <w:szCs w:val="20"/>
                <w:color w:val="auto"/>
              </w:rPr>
            </w:pPr>
            <w:r>
              <w:rPr>
                <w:rFonts w:ascii="Arial" w:cs="Arial" w:eastAsia="Arial" w:hAnsi="Arial"/>
                <w:sz w:val="29"/>
                <w:szCs w:val="29"/>
                <w:color w:val="auto"/>
              </w:rPr>
              <w:t>0.0</w:t>
            </w:r>
          </w:p>
        </w:tc>
      </w:tr>
      <w:tr>
        <w:trPr>
          <w:trHeight w:val="712"/>
        </w:trPr>
        <w:tc>
          <w:tcPr>
            <w:tcW w:w="6840" w:type="dxa"/>
            <w:vAlign w:val="bottom"/>
          </w:tcPr>
          <w:p>
            <w:pPr>
              <w:spacing w:after="0"/>
              <w:rPr>
                <w:sz w:val="20"/>
                <w:szCs w:val="20"/>
                <w:color w:val="auto"/>
              </w:rPr>
            </w:pPr>
            <w:r>
              <w:rPr>
                <w:rFonts w:ascii="Arial" w:cs="Arial" w:eastAsia="Arial" w:hAnsi="Arial"/>
                <w:sz w:val="32"/>
                <w:szCs w:val="32"/>
                <w:b w:val="1"/>
                <w:bCs w:val="1"/>
                <w:color w:val="auto"/>
              </w:rPr>
              <w:t>EBIT- Adj.</w:t>
            </w:r>
          </w:p>
        </w:tc>
        <w:tc>
          <w:tcPr>
            <w:tcW w:w="1500" w:type="dxa"/>
            <w:vAlign w:val="bottom"/>
          </w:tcPr>
          <w:p>
            <w:pPr>
              <w:jc w:val="center"/>
              <w:ind w:left="627"/>
              <w:spacing w:after="0"/>
              <w:rPr>
                <w:sz w:val="20"/>
                <w:szCs w:val="20"/>
                <w:color w:val="auto"/>
              </w:rPr>
            </w:pPr>
            <w:r>
              <w:rPr>
                <w:rFonts w:ascii="Arial" w:cs="Arial" w:eastAsia="Arial" w:hAnsi="Arial"/>
                <w:sz w:val="32"/>
                <w:szCs w:val="32"/>
                <w:b w:val="1"/>
                <w:bCs w:val="1"/>
                <w:color w:val="auto"/>
                <w:w w:val="98"/>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3</w:t>
      </w:r>
    </w:p>
    <w:p>
      <w:pPr>
        <w:sectPr>
          <w:pgSz w:w="11900" w:h="16838" w:orient="portrait"/>
          <w:cols w:equalWidth="0" w:num="1">
            <w:col w:w="9780"/>
          </w:cols>
          <w:pgMar w:left="1220" w:top="649" w:right="899" w:bottom="1440" w:gutter="0" w:footer="0" w:header="0"/>
        </w:sectPr>
      </w:pPr>
    </w:p>
    <w:bookmarkStart w:id="8" w:name="page9"/>
    <w:bookmarkEnd w:id="8"/>
    <w:p>
      <w:pPr>
        <w:ind w:left="14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EBIT &amp; EBIT - Adj.</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25"/>
          <w:szCs w:val="25"/>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23"/>
          <w:szCs w:val="23"/>
          <w:color w:val="auto"/>
        </w:rPr>
        <w:t>* Included in Earnings Before Interest and Taxes (EBIT)</w:t>
      </w:r>
    </w:p>
    <w:tbl>
      <w:tblPr>
        <w:tblLayout w:type="fixed"/>
        <w:tblInd w:w="0" w:type="dxa"/>
        <w:tblCellMar>
          <w:top w:w="0" w:type="dxa"/>
          <w:left w:w="0" w:type="dxa"/>
          <w:bottom w:w="0" w:type="dxa"/>
          <w:right w:w="0" w:type="dxa"/>
        </w:tblCellMar>
      </w:tblPr>
      <w:tr>
        <w:trPr>
          <w:trHeight w:val="262"/>
        </w:trPr>
        <w:tc>
          <w:tcPr>
            <w:tcW w:w="6800" w:type="dxa"/>
            <w:vAlign w:val="bottom"/>
            <w:vMerge w:val="restart"/>
          </w:tcPr>
          <w:p>
            <w:pPr>
              <w:spacing w:after="0"/>
              <w:rPr>
                <w:sz w:val="20"/>
                <w:szCs w:val="20"/>
                <w:color w:val="auto"/>
              </w:rPr>
            </w:pPr>
            <w:r>
              <w:rPr>
                <w:rFonts w:ascii="Arial" w:cs="Arial" w:eastAsia="Arial" w:hAnsi="Arial"/>
                <w:sz w:val="15"/>
                <w:szCs w:val="15"/>
                <w:color w:val="auto"/>
              </w:rPr>
              <w:t>Note: Results may not foot due to rounding</w:t>
            </w:r>
          </w:p>
        </w:tc>
        <w:tc>
          <w:tcPr>
            <w:tcW w:w="4020" w:type="dxa"/>
            <w:vAlign w:val="bottom"/>
          </w:tcPr>
          <w:p>
            <w:pPr>
              <w:jc w:val="right"/>
              <w:spacing w:after="0" w:line="262" w:lineRule="exact"/>
              <w:rPr>
                <w:sz w:val="20"/>
                <w:szCs w:val="20"/>
                <w:color w:val="auto"/>
              </w:rPr>
            </w:pPr>
            <w:r>
              <w:rPr>
                <w:rFonts w:ascii="Arial" w:cs="Arial" w:eastAsia="Arial" w:hAnsi="Arial"/>
                <w:sz w:val="25"/>
                <w:szCs w:val="25"/>
                <w:b w:val="1"/>
                <w:bCs w:val="1"/>
                <w:color w:val="auto"/>
              </w:rPr>
              <w:t>4</w:t>
            </w:r>
          </w:p>
        </w:tc>
        <w:tc>
          <w:tcPr>
            <w:tcW w:w="0" w:type="dxa"/>
            <w:vAlign w:val="bottom"/>
          </w:tcPr>
          <w:p>
            <w:pPr>
              <w:spacing w:after="0"/>
              <w:rPr>
                <w:sz w:val="1"/>
                <w:szCs w:val="1"/>
                <w:color w:val="auto"/>
              </w:rPr>
            </w:pPr>
          </w:p>
        </w:tc>
      </w:tr>
      <w:tr>
        <w:trPr>
          <w:trHeight w:val="46"/>
        </w:trPr>
        <w:tc>
          <w:tcPr>
            <w:tcW w:w="6800" w:type="dxa"/>
            <w:vAlign w:val="bottom"/>
            <w:vMerge w:val="continue"/>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60" w:top="613" w:right="719" w:bottom="1440" w:gutter="0" w:footer="0" w:header="0"/>
        </w:sectPr>
      </w:pPr>
    </w:p>
    <w:bookmarkStart w:id="9" w:name="page10"/>
    <w:bookmarkEnd w:id="9"/>
    <w:p>
      <w:pPr>
        <w:ind w:left="9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Global Deliveries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00" w:type="dxa"/>
            <w:vAlign w:val="bottom"/>
          </w:tcPr>
          <w:p>
            <w:pPr>
              <w:spacing w:after="0"/>
              <w:rPr>
                <w:sz w:val="20"/>
                <w:szCs w:val="20"/>
                <w:color w:val="auto"/>
              </w:rPr>
            </w:pPr>
            <w:r>
              <w:rPr>
                <w:rFonts w:ascii="Arial" w:cs="Arial" w:eastAsia="Arial" w:hAnsi="Arial"/>
                <w:sz w:val="25"/>
                <w:szCs w:val="25"/>
                <w:b w:val="1"/>
                <w:bCs w:val="1"/>
                <w:color w:val="auto"/>
              </w:rPr>
              <w:t>Global Share</w:t>
            </w:r>
          </w:p>
        </w:tc>
        <w:tc>
          <w:tcPr>
            <w:tcW w:w="2160" w:type="dxa"/>
            <w:vAlign w:val="bottom"/>
          </w:tcPr>
          <w:p>
            <w:pPr>
              <w:jc w:val="right"/>
              <w:ind w:right="895"/>
              <w:spacing w:after="0"/>
              <w:rPr>
                <w:sz w:val="20"/>
                <w:szCs w:val="20"/>
                <w:color w:val="auto"/>
              </w:rPr>
            </w:pPr>
            <w:r>
              <w:rPr>
                <w:rFonts w:ascii="Arial" w:cs="Arial" w:eastAsia="Arial" w:hAnsi="Arial"/>
                <w:sz w:val="25"/>
                <w:szCs w:val="25"/>
                <w:b w:val="1"/>
                <w:bCs w:val="1"/>
                <w:color w:val="auto"/>
              </w:rPr>
              <w:t>11.0%</w:t>
            </w:r>
          </w:p>
        </w:tc>
        <w:tc>
          <w:tcPr>
            <w:tcW w:w="2700" w:type="dxa"/>
            <w:vAlign w:val="bottom"/>
          </w:tcPr>
          <w:p>
            <w:pPr>
              <w:jc w:val="right"/>
              <w:ind w:right="875"/>
              <w:spacing w:after="0"/>
              <w:rPr>
                <w:sz w:val="20"/>
                <w:szCs w:val="20"/>
                <w:color w:val="auto"/>
              </w:rPr>
            </w:pPr>
            <w:r>
              <w:rPr>
                <w:rFonts w:ascii="Arial" w:cs="Arial" w:eastAsia="Arial" w:hAnsi="Arial"/>
                <w:sz w:val="25"/>
                <w:szCs w:val="25"/>
                <w:b w:val="1"/>
                <w:bCs w:val="1"/>
                <w:color w:val="auto"/>
              </w:rPr>
              <w:t>11.6%</w:t>
            </w:r>
          </w:p>
        </w:tc>
        <w:tc>
          <w:tcPr>
            <w:tcW w:w="1720" w:type="dxa"/>
            <w:vAlign w:val="bottom"/>
          </w:tcPr>
          <w:p>
            <w:pPr>
              <w:jc w:val="right"/>
              <w:spacing w:after="0"/>
              <w:rPr>
                <w:sz w:val="20"/>
                <w:szCs w:val="20"/>
                <w:color w:val="auto"/>
              </w:rPr>
            </w:pPr>
            <w:r>
              <w:rPr>
                <w:rFonts w:ascii="Arial" w:cs="Arial" w:eastAsia="Arial" w:hAnsi="Arial"/>
                <w:sz w:val="25"/>
                <w:szCs w:val="25"/>
                <w:b w:val="1"/>
                <w:bCs w:val="1"/>
                <w:color w:val="auto"/>
              </w:rPr>
              <w:t>11.5%</w:t>
            </w:r>
          </w:p>
        </w:tc>
      </w:tr>
    </w:tbl>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GM deliveries &amp; market share include vehicles sold around the world under GM and JV brands, and through GM branded distribution network</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5</w:t>
      </w:r>
    </w:p>
    <w:p>
      <w:pPr>
        <w:sectPr>
          <w:pgSz w:w="11900" w:h="16838" w:orient="portrait"/>
          <w:cols w:equalWidth="0" w:num="1">
            <w:col w:w="10360"/>
          </w:cols>
          <w:pgMar w:left="640" w:top="613" w:right="899" w:bottom="1440" w:gutter="0" w:footer="0" w:header="0"/>
        </w:sectPr>
      </w:pPr>
    </w:p>
    <w:bookmarkStart w:id="10" w:name="page11"/>
    <w:bookmarkEnd w:id="10"/>
    <w:p>
      <w:pPr>
        <w:ind w:left="10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GMNA Deliveries</w:t>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Arial" w:cs="Arial" w:eastAsia="Arial" w:hAnsi="Arial"/>
          <w:sz w:val="32"/>
          <w:szCs w:val="32"/>
          <w:b w:val="1"/>
          <w:bCs w:val="1"/>
          <w:color w:val="auto"/>
        </w:rPr>
        <w:t>(000’s)</w:t>
      </w:r>
    </w:p>
    <w:p>
      <w:pPr>
        <w:spacing w:after="0" w:line="200" w:lineRule="exact"/>
        <w:rPr>
          <w:sz w:val="20"/>
          <w:szCs w:val="20"/>
          <w:color w:val="auto"/>
        </w:rPr>
      </w:pPr>
    </w:p>
    <w:p>
      <w:pPr>
        <w:spacing w:after="0" w:line="218" w:lineRule="exact"/>
        <w:rPr>
          <w:sz w:val="20"/>
          <w:szCs w:val="20"/>
          <w:color w:val="auto"/>
        </w:rPr>
      </w:pPr>
    </w:p>
    <w:tbl>
      <w:tblPr>
        <w:tblLayout w:type="fixed"/>
        <w:tblInd w:w="2740" w:type="dxa"/>
        <w:tblCellMar>
          <w:top w:w="0" w:type="dxa"/>
          <w:left w:w="0" w:type="dxa"/>
          <w:bottom w:w="0" w:type="dxa"/>
          <w:right w:w="0" w:type="dxa"/>
        </w:tblCellMar>
      </w:tblPr>
      <w:tr>
        <w:trPr>
          <w:trHeight w:val="427"/>
        </w:trPr>
        <w:tc>
          <w:tcPr>
            <w:tcW w:w="1560" w:type="dxa"/>
            <w:vAlign w:val="bottom"/>
          </w:tcPr>
          <w:p>
            <w:pPr>
              <w:spacing w:after="0"/>
              <w:rPr>
                <w:sz w:val="24"/>
                <w:szCs w:val="24"/>
                <w:color w:val="auto"/>
              </w:rPr>
            </w:pPr>
          </w:p>
        </w:tc>
        <w:tc>
          <w:tcPr>
            <w:tcW w:w="2680" w:type="dxa"/>
            <w:vAlign w:val="bottom"/>
          </w:tcPr>
          <w:p>
            <w:pPr>
              <w:jc w:val="right"/>
              <w:ind w:right="939"/>
              <w:spacing w:after="0"/>
              <w:rPr>
                <w:sz w:val="20"/>
                <w:szCs w:val="20"/>
                <w:color w:val="auto"/>
              </w:rPr>
            </w:pPr>
            <w:r>
              <w:rPr>
                <w:rFonts w:ascii="Arial" w:cs="Arial" w:eastAsia="Arial" w:hAnsi="Arial"/>
                <w:sz w:val="32"/>
                <w:szCs w:val="32"/>
                <w:b w:val="1"/>
                <w:bCs w:val="1"/>
                <w:color w:val="auto"/>
              </w:rPr>
              <w:t>716</w:t>
            </w:r>
          </w:p>
        </w:tc>
        <w:tc>
          <w:tcPr>
            <w:tcW w:w="1940" w:type="dxa"/>
            <w:vAlign w:val="bottom"/>
            <w:vMerge w:val="restart"/>
          </w:tcPr>
          <w:p>
            <w:pPr>
              <w:jc w:val="right"/>
              <w:ind w:right="139"/>
              <w:spacing w:after="0"/>
              <w:rPr>
                <w:sz w:val="20"/>
                <w:szCs w:val="20"/>
                <w:color w:val="auto"/>
              </w:rPr>
            </w:pPr>
            <w:r>
              <w:rPr>
                <w:rFonts w:ascii="Arial" w:cs="Arial" w:eastAsia="Arial" w:hAnsi="Arial"/>
                <w:sz w:val="32"/>
                <w:szCs w:val="32"/>
                <w:b w:val="1"/>
                <w:bCs w:val="1"/>
                <w:color w:val="auto"/>
              </w:rPr>
              <w:t>661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560" w:type="dxa"/>
            <w:vAlign w:val="bottom"/>
            <w:vMerge w:val="restart"/>
          </w:tcPr>
          <w:p>
            <w:pPr>
              <w:jc w:val="right"/>
              <w:ind w:right="859"/>
              <w:spacing w:after="0"/>
              <w:rPr>
                <w:sz w:val="20"/>
                <w:szCs w:val="20"/>
                <w:color w:val="auto"/>
              </w:rPr>
            </w:pPr>
            <w:r>
              <w:rPr>
                <w:rFonts w:ascii="Arial" w:cs="Arial" w:eastAsia="Arial" w:hAnsi="Arial"/>
                <w:sz w:val="32"/>
                <w:szCs w:val="32"/>
                <w:b w:val="1"/>
                <w:bCs w:val="1"/>
                <w:color w:val="auto"/>
                <w:w w:val="97"/>
              </w:rPr>
              <w:t>564</w:t>
            </w:r>
          </w:p>
        </w:tc>
        <w:tc>
          <w:tcPr>
            <w:tcW w:w="268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740" w:type="dxa"/>
            <w:vAlign w:val="bottom"/>
            <w:vMerge w:val="restart"/>
          </w:tcPr>
          <w:p>
            <w:pPr>
              <w:ind w:left="300"/>
              <w:spacing w:after="0"/>
              <w:rPr>
                <w:sz w:val="20"/>
                <w:szCs w:val="20"/>
                <w:color w:val="auto"/>
              </w:rPr>
            </w:pPr>
            <w:r>
              <w:rPr>
                <w:rFonts w:ascii="Arial" w:cs="Arial" w:eastAsia="Arial" w:hAnsi="Arial"/>
                <w:sz w:val="23"/>
                <w:szCs w:val="23"/>
                <w:b w:val="1"/>
                <w:bCs w:val="1"/>
                <w:color w:val="auto"/>
                <w:w w:val="97"/>
              </w:rPr>
              <w:t>Discontinued</w:t>
            </w:r>
          </w:p>
        </w:tc>
        <w:tc>
          <w:tcPr>
            <w:tcW w:w="0" w:type="dxa"/>
            <w:vAlign w:val="bottom"/>
          </w:tcPr>
          <w:p>
            <w:pPr>
              <w:spacing w:after="0"/>
              <w:rPr>
                <w:sz w:val="1"/>
                <w:szCs w:val="1"/>
                <w:color w:val="auto"/>
              </w:rPr>
            </w:pPr>
          </w:p>
        </w:tc>
      </w:tr>
      <w:tr>
        <w:trPr>
          <w:trHeight w:val="64"/>
        </w:trPr>
        <w:tc>
          <w:tcPr>
            <w:tcW w:w="1560" w:type="dxa"/>
            <w:vAlign w:val="bottom"/>
            <w:vMerge w:val="continue"/>
          </w:tcPr>
          <w:p>
            <w:pPr>
              <w:spacing w:after="0"/>
              <w:rPr>
                <w:sz w:val="5"/>
                <w:szCs w:val="5"/>
                <w:color w:val="auto"/>
              </w:rPr>
            </w:pPr>
          </w:p>
        </w:tc>
        <w:tc>
          <w:tcPr>
            <w:tcW w:w="26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1"/>
        </w:trPr>
        <w:tc>
          <w:tcPr>
            <w:tcW w:w="156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40" w:type="dxa"/>
            <w:vAlign w:val="bottom"/>
          </w:tcPr>
          <w:p>
            <w:pPr>
              <w:ind w:left="720"/>
              <w:spacing w:after="0"/>
              <w:rPr>
                <w:sz w:val="20"/>
                <w:szCs w:val="20"/>
                <w:color w:val="auto"/>
              </w:rPr>
            </w:pPr>
            <w:r>
              <w:rPr>
                <w:rFonts w:ascii="Arial" w:cs="Arial" w:eastAsia="Arial" w:hAnsi="Arial"/>
                <w:sz w:val="23"/>
                <w:szCs w:val="23"/>
                <w:b w:val="1"/>
                <w:bCs w:val="1"/>
                <w:color w:val="auto"/>
              </w:rPr>
              <w:t>Brands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40"/>
        <w:spacing w:after="0"/>
        <w:rPr>
          <w:sz w:val="20"/>
          <w:szCs w:val="20"/>
          <w:color w:val="auto"/>
        </w:rPr>
      </w:pPr>
      <w:r>
        <w:rPr>
          <w:rFonts w:ascii="Arial" w:cs="Arial" w:eastAsia="Arial" w:hAnsi="Arial"/>
          <w:sz w:val="23"/>
          <w:szCs w:val="23"/>
          <w:b w:val="1"/>
          <w:bCs w:val="1"/>
          <w:color w:val="auto"/>
        </w:rPr>
        <w:t>Chevy, Buick,</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GMC, Cadillac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400" w:type="dxa"/>
            <w:vAlign w:val="bottom"/>
          </w:tcPr>
          <w:p>
            <w:pPr>
              <w:spacing w:after="0"/>
              <w:rPr>
                <w:sz w:val="20"/>
                <w:szCs w:val="20"/>
                <w:color w:val="auto"/>
              </w:rPr>
            </w:pPr>
            <w:r>
              <w:rPr>
                <w:rFonts w:ascii="Arial" w:cs="Arial" w:eastAsia="Arial" w:hAnsi="Arial"/>
                <w:sz w:val="25"/>
                <w:szCs w:val="25"/>
                <w:b w:val="1"/>
                <w:bCs w:val="1"/>
                <w:color w:val="auto"/>
              </w:rPr>
              <w:t>GMNA Share</w:t>
            </w:r>
          </w:p>
        </w:tc>
        <w:tc>
          <w:tcPr>
            <w:tcW w:w="1920" w:type="dxa"/>
            <w:vAlign w:val="bottom"/>
          </w:tcPr>
          <w:p>
            <w:pPr>
              <w:jc w:val="right"/>
              <w:ind w:right="855"/>
              <w:spacing w:after="0"/>
              <w:rPr>
                <w:sz w:val="20"/>
                <w:szCs w:val="20"/>
                <w:color w:val="auto"/>
              </w:rPr>
            </w:pPr>
            <w:r>
              <w:rPr>
                <w:rFonts w:ascii="Arial" w:cs="Arial" w:eastAsia="Arial" w:hAnsi="Arial"/>
                <w:sz w:val="25"/>
                <w:szCs w:val="25"/>
                <w:b w:val="1"/>
                <w:bCs w:val="1"/>
                <w:color w:val="auto"/>
              </w:rPr>
              <w:t>17.8%</w:t>
            </w:r>
          </w:p>
        </w:tc>
        <w:tc>
          <w:tcPr>
            <w:tcW w:w="2760" w:type="dxa"/>
            <w:vAlign w:val="bottom"/>
          </w:tcPr>
          <w:p>
            <w:pPr>
              <w:jc w:val="right"/>
              <w:ind w:right="915"/>
              <w:spacing w:after="0"/>
              <w:rPr>
                <w:sz w:val="20"/>
                <w:szCs w:val="20"/>
                <w:color w:val="auto"/>
              </w:rPr>
            </w:pPr>
            <w:r>
              <w:rPr>
                <w:rFonts w:ascii="Arial" w:cs="Arial" w:eastAsia="Arial" w:hAnsi="Arial"/>
                <w:sz w:val="25"/>
                <w:szCs w:val="25"/>
                <w:b w:val="1"/>
                <w:bCs w:val="1"/>
                <w:color w:val="auto"/>
              </w:rPr>
              <w:t>18.7%</w:t>
            </w:r>
          </w:p>
        </w:tc>
        <w:tc>
          <w:tcPr>
            <w:tcW w:w="1760" w:type="dxa"/>
            <w:vAlign w:val="bottom"/>
          </w:tcPr>
          <w:p>
            <w:pPr>
              <w:jc w:val="right"/>
              <w:spacing w:after="0"/>
              <w:rPr>
                <w:sz w:val="20"/>
                <w:szCs w:val="20"/>
                <w:color w:val="auto"/>
              </w:rPr>
            </w:pPr>
            <w:r>
              <w:rPr>
                <w:rFonts w:ascii="Arial" w:cs="Arial" w:eastAsia="Arial" w:hAnsi="Arial"/>
                <w:sz w:val="25"/>
                <w:szCs w:val="25"/>
                <w:b w:val="1"/>
                <w:bCs w:val="1"/>
                <w:color w:val="auto"/>
              </w:rPr>
              <w:t>17.7%</w:t>
            </w:r>
          </w:p>
        </w:tc>
      </w:tr>
      <w:tr>
        <w:trPr>
          <w:trHeight w:val="428"/>
        </w:trPr>
        <w:tc>
          <w:tcPr>
            <w:tcW w:w="2400" w:type="dxa"/>
            <w:vAlign w:val="bottom"/>
          </w:tcPr>
          <w:p>
            <w:pPr>
              <w:spacing w:after="0"/>
              <w:rPr>
                <w:sz w:val="20"/>
                <w:szCs w:val="20"/>
                <w:color w:val="auto"/>
              </w:rPr>
            </w:pPr>
            <w:r>
              <w:rPr>
                <w:rFonts w:ascii="Arial" w:cs="Arial" w:eastAsia="Arial" w:hAnsi="Arial"/>
                <w:sz w:val="25"/>
                <w:szCs w:val="25"/>
                <w:color w:val="auto"/>
              </w:rPr>
              <w:t>U.S. Share</w:t>
            </w:r>
          </w:p>
        </w:tc>
        <w:tc>
          <w:tcPr>
            <w:tcW w:w="1920" w:type="dxa"/>
            <w:vAlign w:val="bottom"/>
          </w:tcPr>
          <w:p>
            <w:pPr>
              <w:jc w:val="right"/>
              <w:ind w:right="875"/>
              <w:spacing w:after="0"/>
              <w:rPr>
                <w:sz w:val="20"/>
                <w:szCs w:val="20"/>
                <w:color w:val="auto"/>
              </w:rPr>
            </w:pPr>
            <w:r>
              <w:rPr>
                <w:rFonts w:ascii="Arial" w:cs="Arial" w:eastAsia="Arial" w:hAnsi="Arial"/>
                <w:sz w:val="25"/>
                <w:szCs w:val="25"/>
                <w:color w:val="auto"/>
              </w:rPr>
              <w:t>18.4%</w:t>
            </w:r>
          </w:p>
        </w:tc>
        <w:tc>
          <w:tcPr>
            <w:tcW w:w="2760" w:type="dxa"/>
            <w:vAlign w:val="bottom"/>
          </w:tcPr>
          <w:p>
            <w:pPr>
              <w:jc w:val="right"/>
              <w:ind w:right="935"/>
              <w:spacing w:after="0"/>
              <w:rPr>
                <w:sz w:val="20"/>
                <w:szCs w:val="20"/>
                <w:color w:val="auto"/>
              </w:rPr>
            </w:pPr>
            <w:r>
              <w:rPr>
                <w:rFonts w:ascii="Arial" w:cs="Arial" w:eastAsia="Arial" w:hAnsi="Arial"/>
                <w:sz w:val="25"/>
                <w:szCs w:val="25"/>
                <w:color w:val="auto"/>
              </w:rPr>
              <w:t>19.4%</w:t>
            </w:r>
          </w:p>
        </w:tc>
        <w:tc>
          <w:tcPr>
            <w:tcW w:w="1760" w:type="dxa"/>
            <w:vAlign w:val="bottom"/>
          </w:tcPr>
          <w:p>
            <w:pPr>
              <w:jc w:val="right"/>
              <w:spacing w:after="0"/>
              <w:rPr>
                <w:sz w:val="20"/>
                <w:szCs w:val="20"/>
                <w:color w:val="auto"/>
              </w:rPr>
            </w:pPr>
            <w:r>
              <w:rPr>
                <w:rFonts w:ascii="Arial" w:cs="Arial" w:eastAsia="Arial" w:hAnsi="Arial"/>
                <w:sz w:val="25"/>
                <w:szCs w:val="25"/>
                <w:color w:val="auto"/>
              </w:rPr>
              <w:t>18.3%</w:t>
            </w:r>
          </w:p>
        </w:tc>
      </w:tr>
      <w:tr>
        <w:trPr>
          <w:trHeight w:val="417"/>
        </w:trPr>
        <w:tc>
          <w:tcPr>
            <w:tcW w:w="2400" w:type="dxa"/>
            <w:vAlign w:val="bottom"/>
          </w:tcPr>
          <w:p>
            <w:pPr>
              <w:spacing w:after="0"/>
              <w:rPr>
                <w:sz w:val="20"/>
                <w:szCs w:val="20"/>
                <w:color w:val="auto"/>
              </w:rPr>
            </w:pPr>
            <w:r>
              <w:rPr>
                <w:rFonts w:ascii="Arial" w:cs="Arial" w:eastAsia="Arial" w:hAnsi="Arial"/>
                <w:sz w:val="25"/>
                <w:szCs w:val="25"/>
                <w:color w:val="auto"/>
              </w:rPr>
              <w:t>U.S. 4 Brand Share</w:t>
            </w:r>
          </w:p>
        </w:tc>
        <w:tc>
          <w:tcPr>
            <w:tcW w:w="1920" w:type="dxa"/>
            <w:vAlign w:val="bottom"/>
          </w:tcPr>
          <w:p>
            <w:pPr>
              <w:jc w:val="right"/>
              <w:ind w:right="875"/>
              <w:spacing w:after="0"/>
              <w:rPr>
                <w:sz w:val="20"/>
                <w:szCs w:val="20"/>
                <w:color w:val="auto"/>
              </w:rPr>
            </w:pPr>
            <w:r>
              <w:rPr>
                <w:rFonts w:ascii="Arial" w:cs="Arial" w:eastAsia="Arial" w:hAnsi="Arial"/>
                <w:sz w:val="25"/>
                <w:szCs w:val="25"/>
                <w:color w:val="auto"/>
              </w:rPr>
              <w:t>18.1%</w:t>
            </w:r>
          </w:p>
        </w:tc>
        <w:tc>
          <w:tcPr>
            <w:tcW w:w="2760" w:type="dxa"/>
            <w:vAlign w:val="bottom"/>
          </w:tcPr>
          <w:p>
            <w:pPr>
              <w:jc w:val="right"/>
              <w:ind w:right="935"/>
              <w:spacing w:after="0"/>
              <w:rPr>
                <w:sz w:val="20"/>
                <w:szCs w:val="20"/>
                <w:color w:val="auto"/>
              </w:rPr>
            </w:pPr>
            <w:r>
              <w:rPr>
                <w:rFonts w:ascii="Arial" w:cs="Arial" w:eastAsia="Arial" w:hAnsi="Arial"/>
                <w:sz w:val="25"/>
                <w:szCs w:val="25"/>
                <w:color w:val="auto"/>
              </w:rPr>
              <w:t>19.3%</w:t>
            </w:r>
          </w:p>
        </w:tc>
        <w:tc>
          <w:tcPr>
            <w:tcW w:w="1760" w:type="dxa"/>
            <w:vAlign w:val="bottom"/>
          </w:tcPr>
          <w:p>
            <w:pPr>
              <w:jc w:val="right"/>
              <w:spacing w:after="0"/>
              <w:rPr>
                <w:sz w:val="20"/>
                <w:szCs w:val="20"/>
                <w:color w:val="auto"/>
              </w:rPr>
            </w:pPr>
            <w:r>
              <w:rPr>
                <w:rFonts w:ascii="Arial" w:cs="Arial" w:eastAsia="Arial" w:hAnsi="Arial"/>
                <w:sz w:val="25"/>
                <w:szCs w:val="25"/>
                <w:color w:val="auto"/>
              </w:rPr>
              <w:t>18.3%</w:t>
            </w:r>
          </w:p>
        </w:tc>
      </w:tr>
    </w:tbl>
    <w:p>
      <w:pPr>
        <w:spacing w:after="0" w:line="170" w:lineRule="exact"/>
        <w:rPr>
          <w:sz w:val="20"/>
          <w:szCs w:val="20"/>
          <w:color w:val="auto"/>
        </w:rPr>
      </w:pPr>
    </w:p>
    <w:p>
      <w:pPr>
        <w:ind w:left="10300"/>
        <w:spacing w:after="0"/>
        <w:rPr>
          <w:sz w:val="20"/>
          <w:szCs w:val="20"/>
          <w:color w:val="auto"/>
        </w:rPr>
      </w:pPr>
      <w:r>
        <w:rPr>
          <w:rFonts w:ascii="Arial" w:cs="Arial" w:eastAsia="Arial" w:hAnsi="Arial"/>
          <w:sz w:val="25"/>
          <w:szCs w:val="25"/>
          <w:b w:val="1"/>
          <w:bCs w:val="1"/>
          <w:color w:val="auto"/>
        </w:rPr>
        <w:t>6</w:t>
      </w:r>
    </w:p>
    <w:p>
      <w:pPr>
        <w:sectPr>
          <w:pgSz w:w="11900" w:h="16838" w:orient="portrait"/>
          <w:cols w:equalWidth="0" w:num="1">
            <w:col w:w="10760"/>
          </w:cols>
          <w:pgMar w:left="560" w:top="613" w:right="579" w:bottom="1440" w:gutter="0" w:footer="0" w:header="0"/>
        </w:sectPr>
      </w:pPr>
    </w:p>
    <w:bookmarkStart w:id="11" w:name="page12"/>
    <w:bookmarkEnd w:id="11"/>
    <w:p>
      <w:pPr>
        <w:ind w:left="14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313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3135" cy="5313045"/>
                    </a:xfrm>
                    <a:prstGeom prst="rect">
                      <a:avLst/>
                    </a:prstGeom>
                    <a:noFill/>
                  </pic:spPr>
                </pic:pic>
              </a:graphicData>
            </a:graphic>
          </wp:anchor>
        </w:drawing>
        <w:t>Key GMNA Performance Indicators</w:t>
      </w:r>
    </w:p>
    <w:p>
      <w:pPr>
        <w:spacing w:after="0" w:line="335" w:lineRule="exact"/>
        <w:rPr>
          <w:sz w:val="20"/>
          <w:szCs w:val="20"/>
          <w:color w:val="auto"/>
        </w:rPr>
      </w:pPr>
    </w:p>
    <w:tbl>
      <w:tblPr>
        <w:tblLayout w:type="fixed"/>
        <w:tblInd w:w="320" w:type="dxa"/>
        <w:tblCellMar>
          <w:top w:w="0" w:type="dxa"/>
          <w:left w:w="0" w:type="dxa"/>
          <w:bottom w:w="0" w:type="dxa"/>
          <w:right w:w="0" w:type="dxa"/>
        </w:tblCellMar>
      </w:tblPr>
      <w:tr>
        <w:trPr>
          <w:trHeight w:val="309"/>
        </w:trPr>
        <w:tc>
          <w:tcPr>
            <w:tcW w:w="1220" w:type="dxa"/>
            <w:vAlign w:val="bottom"/>
          </w:tcPr>
          <w:p>
            <w:pPr>
              <w:spacing w:after="0"/>
              <w:rPr>
                <w:sz w:val="24"/>
                <w:szCs w:val="24"/>
                <w:color w:val="auto"/>
              </w:rPr>
            </w:pPr>
          </w:p>
        </w:tc>
        <w:tc>
          <w:tcPr>
            <w:tcW w:w="3600" w:type="dxa"/>
            <w:vAlign w:val="bottom"/>
          </w:tcPr>
          <w:p>
            <w:pPr>
              <w:ind w:left="580"/>
              <w:spacing w:after="0"/>
              <w:rPr>
                <w:sz w:val="20"/>
                <w:szCs w:val="20"/>
                <w:color w:val="auto"/>
              </w:rPr>
            </w:pPr>
            <w:r>
              <w:rPr>
                <w:rFonts w:ascii="Arial" w:cs="Arial" w:eastAsia="Arial" w:hAnsi="Arial"/>
                <w:sz w:val="25"/>
                <w:szCs w:val="25"/>
                <w:b w:val="1"/>
                <w:bCs w:val="1"/>
                <w:color w:val="auto"/>
              </w:rPr>
              <w:t>U.S. Total Share</w:t>
            </w:r>
          </w:p>
        </w:tc>
        <w:tc>
          <w:tcPr>
            <w:tcW w:w="4220" w:type="dxa"/>
            <w:vAlign w:val="bottom"/>
          </w:tcPr>
          <w:p>
            <w:pPr>
              <w:ind w:left="760"/>
              <w:spacing w:after="0"/>
              <w:rPr>
                <w:sz w:val="20"/>
                <w:szCs w:val="20"/>
                <w:color w:val="auto"/>
              </w:rPr>
            </w:pPr>
            <w:r>
              <w:rPr>
                <w:rFonts w:ascii="Arial" w:cs="Arial" w:eastAsia="Arial" w:hAnsi="Arial"/>
                <w:sz w:val="25"/>
                <w:szCs w:val="25"/>
                <w:b w:val="1"/>
                <w:bCs w:val="1"/>
                <w:color w:val="auto"/>
              </w:rPr>
              <w:t>Avg. GM U.S. Retail</w:t>
            </w:r>
          </w:p>
        </w:tc>
        <w:tc>
          <w:tcPr>
            <w:tcW w:w="1680" w:type="dxa"/>
            <w:vAlign w:val="bottom"/>
            <w:vMerge w:val="restart"/>
          </w:tcPr>
          <w:p>
            <w:pPr>
              <w:ind w:left="1040"/>
              <w:spacing w:after="0"/>
              <w:rPr>
                <w:sz w:val="20"/>
                <w:szCs w:val="20"/>
                <w:color w:val="auto"/>
              </w:rPr>
            </w:pPr>
            <w:r>
              <w:rPr>
                <w:rFonts w:ascii="Arial" w:cs="Arial" w:eastAsia="Arial" w:hAnsi="Arial"/>
                <w:sz w:val="23"/>
                <w:szCs w:val="23"/>
                <w:b w:val="1"/>
                <w:bCs w:val="1"/>
                <w:color w:val="auto"/>
                <w:w w:val="96"/>
              </w:rPr>
              <w:t>$/Unit</w:t>
            </w: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0"/>
                <w:szCs w:val="20"/>
                <w:color w:val="auto"/>
              </w:rPr>
            </w:pPr>
            <w:r>
              <w:rPr>
                <w:rFonts w:ascii="Arial" w:cs="Arial" w:eastAsia="Arial" w:hAnsi="Arial"/>
                <w:sz w:val="23"/>
                <w:szCs w:val="23"/>
                <w:b w:val="1"/>
                <w:bCs w:val="1"/>
                <w:color w:val="auto"/>
              </w:rPr>
              <w:t>Share</w:t>
            </w:r>
          </w:p>
        </w:tc>
        <w:tc>
          <w:tcPr>
            <w:tcW w:w="3600" w:type="dxa"/>
            <w:vAlign w:val="bottom"/>
          </w:tcPr>
          <w:p>
            <w:pPr>
              <w:ind w:left="580"/>
              <w:spacing w:after="0"/>
              <w:rPr>
                <w:sz w:val="20"/>
                <w:szCs w:val="20"/>
                <w:color w:val="auto"/>
              </w:rPr>
            </w:pPr>
            <w:r>
              <w:rPr>
                <w:rFonts w:ascii="Arial" w:cs="Arial" w:eastAsia="Arial" w:hAnsi="Arial"/>
                <w:sz w:val="25"/>
                <w:szCs w:val="25"/>
                <w:b w:val="1"/>
                <w:bCs w:val="1"/>
                <w:color w:val="auto"/>
              </w:rPr>
              <w:t>U.S. 4-Brand Share</w:t>
            </w:r>
          </w:p>
        </w:tc>
        <w:tc>
          <w:tcPr>
            <w:tcW w:w="4220" w:type="dxa"/>
            <w:vAlign w:val="bottom"/>
          </w:tcPr>
          <w:p>
            <w:pPr>
              <w:ind w:left="760"/>
              <w:spacing w:after="0"/>
              <w:rPr>
                <w:sz w:val="20"/>
                <w:szCs w:val="20"/>
                <w:color w:val="auto"/>
              </w:rPr>
            </w:pPr>
            <w:r>
              <w:rPr>
                <w:rFonts w:ascii="Arial" w:cs="Arial" w:eastAsia="Arial" w:hAnsi="Arial"/>
                <w:sz w:val="25"/>
                <w:szCs w:val="25"/>
                <w:b w:val="1"/>
                <w:bCs w:val="1"/>
                <w:color w:val="auto"/>
              </w:rPr>
              <w:t>Incentive (4-Brands)</w:t>
            </w: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jc w:val="right"/>
              <w:ind w:right="7"/>
              <w:spacing w:after="0"/>
              <w:rPr>
                <w:sz w:val="20"/>
                <w:szCs w:val="20"/>
                <w:color w:val="auto"/>
              </w:rPr>
            </w:pPr>
            <w:r>
              <w:rPr>
                <w:rFonts w:ascii="Arial" w:cs="Arial" w:eastAsia="Arial" w:hAnsi="Arial"/>
                <w:sz w:val="23"/>
                <w:szCs w:val="23"/>
                <w:b w:val="1"/>
                <w:bCs w:val="1"/>
                <w:color w:val="auto"/>
              </w:rPr>
              <w:t>Oct</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3"/>
                <w:szCs w:val="23"/>
                <w:b w:val="1"/>
                <w:bCs w:val="1"/>
                <w:color w:val="auto"/>
                <w:w w:val="99"/>
              </w:rPr>
              <w:t>2010*</w:t>
            </w:r>
          </w:p>
        </w:tc>
        <w:tc>
          <w:tcPr>
            <w:tcW w:w="0" w:type="dxa"/>
            <w:vAlign w:val="bottom"/>
          </w:tcPr>
          <w:p>
            <w:pPr>
              <w:spacing w:after="0"/>
              <w:rPr>
                <w:sz w:val="1"/>
                <w:szCs w:val="1"/>
                <w:color w:val="auto"/>
              </w:rPr>
            </w:pPr>
          </w:p>
        </w:tc>
      </w:tr>
      <w:tr>
        <w:trPr>
          <w:trHeight w:val="309"/>
        </w:trPr>
        <w:tc>
          <w:tcPr>
            <w:tcW w:w="4560" w:type="dxa"/>
            <w:vAlign w:val="bottom"/>
            <w:gridSpan w:val="7"/>
          </w:tcPr>
          <w:p>
            <w:pPr>
              <w:spacing w:after="0"/>
              <w:rPr>
                <w:sz w:val="20"/>
                <w:szCs w:val="20"/>
                <w:color w:val="auto"/>
              </w:rPr>
            </w:pPr>
            <w:r>
              <w:rPr>
                <w:rFonts w:ascii="Arial" w:cs="Arial" w:eastAsia="Arial" w:hAnsi="Arial"/>
                <w:sz w:val="23"/>
                <w:szCs w:val="23"/>
                <w:b w:val="1"/>
                <w:bCs w:val="1"/>
                <w:color w:val="auto"/>
              </w:rPr>
              <w:t>Avg. U.S. Retail Incentive, as % of ATP</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Pr>
          <w:p>
            <w:pPr>
              <w:ind w:left="360"/>
              <w:spacing w:after="0"/>
              <w:rPr>
                <w:sz w:val="20"/>
                <w:szCs w:val="20"/>
                <w:color w:val="auto"/>
              </w:rPr>
            </w:pPr>
            <w:r>
              <w:rPr>
                <w:rFonts w:ascii="Arial" w:cs="Arial" w:eastAsia="Arial" w:hAnsi="Arial"/>
                <w:sz w:val="19"/>
                <w:szCs w:val="19"/>
                <w:b w:val="1"/>
                <w:bCs w:val="1"/>
                <w:color w:val="auto"/>
              </w:rPr>
              <w:t>GM</w:t>
            </w:r>
          </w:p>
        </w:tc>
        <w:tc>
          <w:tcPr>
            <w:tcW w:w="560" w:type="dxa"/>
            <w:vAlign w:val="bottom"/>
            <w:vMerge w:val="restart"/>
          </w:tcPr>
          <w:p>
            <w:pPr>
              <w:jc w:val="right"/>
              <w:spacing w:after="0"/>
              <w:rPr>
                <w:sz w:val="20"/>
                <w:szCs w:val="20"/>
                <w:color w:val="auto"/>
              </w:rPr>
            </w:pPr>
            <w:r>
              <w:rPr>
                <w:rFonts w:ascii="Arial" w:cs="Arial" w:eastAsia="Arial" w:hAnsi="Arial"/>
                <w:sz w:val="23"/>
                <w:szCs w:val="23"/>
                <w:color w:val="auto"/>
              </w:rPr>
              <w:t>14.0</w:t>
            </w:r>
          </w:p>
        </w:tc>
        <w:tc>
          <w:tcPr>
            <w:tcW w:w="560" w:type="dxa"/>
            <w:vAlign w:val="bottom"/>
            <w:vMerge w:val="restart"/>
          </w:tcPr>
          <w:p>
            <w:pPr>
              <w:jc w:val="right"/>
              <w:spacing w:after="0"/>
              <w:rPr>
                <w:sz w:val="20"/>
                <w:szCs w:val="20"/>
                <w:color w:val="auto"/>
              </w:rPr>
            </w:pPr>
            <w:r>
              <w:rPr>
                <w:rFonts w:ascii="Arial" w:cs="Arial" w:eastAsia="Arial" w:hAnsi="Arial"/>
                <w:sz w:val="23"/>
                <w:szCs w:val="23"/>
                <w:color w:val="auto"/>
              </w:rPr>
              <w:t>12.2</w:t>
            </w:r>
          </w:p>
        </w:tc>
        <w:tc>
          <w:tcPr>
            <w:tcW w:w="580" w:type="dxa"/>
            <w:vAlign w:val="bottom"/>
            <w:vMerge w:val="restart"/>
          </w:tcPr>
          <w:p>
            <w:pPr>
              <w:jc w:val="right"/>
              <w:spacing w:after="0"/>
              <w:rPr>
                <w:sz w:val="20"/>
                <w:szCs w:val="20"/>
                <w:color w:val="auto"/>
              </w:rPr>
            </w:pPr>
            <w:r>
              <w:rPr>
                <w:rFonts w:ascii="Arial" w:cs="Arial" w:eastAsia="Arial" w:hAnsi="Arial"/>
                <w:sz w:val="23"/>
                <w:szCs w:val="23"/>
                <w:color w:val="auto"/>
              </w:rPr>
              <w:t>12.5</w:t>
            </w:r>
          </w:p>
        </w:tc>
        <w:tc>
          <w:tcPr>
            <w:tcW w:w="560" w:type="dxa"/>
            <w:vAlign w:val="bottom"/>
            <w:vMerge w:val="restart"/>
          </w:tcPr>
          <w:p>
            <w:pPr>
              <w:jc w:val="right"/>
              <w:spacing w:after="0"/>
              <w:rPr>
                <w:sz w:val="20"/>
                <w:szCs w:val="20"/>
                <w:color w:val="auto"/>
              </w:rPr>
            </w:pPr>
            <w:r>
              <w:rPr>
                <w:rFonts w:ascii="Arial" w:cs="Arial" w:eastAsia="Arial" w:hAnsi="Arial"/>
                <w:sz w:val="23"/>
                <w:szCs w:val="23"/>
                <w:color w:val="auto"/>
              </w:rPr>
              <w:t>13.3</w:t>
            </w:r>
          </w:p>
        </w:tc>
        <w:tc>
          <w:tcPr>
            <w:tcW w:w="560" w:type="dxa"/>
            <w:vAlign w:val="bottom"/>
            <w:vMerge w:val="restart"/>
          </w:tcPr>
          <w:p>
            <w:pPr>
              <w:jc w:val="right"/>
              <w:spacing w:after="0"/>
              <w:rPr>
                <w:sz w:val="20"/>
                <w:szCs w:val="20"/>
                <w:color w:val="auto"/>
              </w:rPr>
            </w:pPr>
            <w:r>
              <w:rPr>
                <w:rFonts w:ascii="Arial" w:cs="Arial" w:eastAsia="Arial" w:hAnsi="Arial"/>
                <w:sz w:val="23"/>
                <w:szCs w:val="23"/>
                <w:color w:val="auto"/>
              </w:rPr>
              <w:t>12.2</w:t>
            </w:r>
          </w:p>
        </w:tc>
        <w:tc>
          <w:tcPr>
            <w:tcW w:w="580" w:type="dxa"/>
            <w:vAlign w:val="bottom"/>
            <w:vMerge w:val="restart"/>
          </w:tcPr>
          <w:p>
            <w:pPr>
              <w:jc w:val="right"/>
              <w:spacing w:after="0"/>
              <w:rPr>
                <w:sz w:val="20"/>
                <w:szCs w:val="20"/>
                <w:color w:val="auto"/>
              </w:rPr>
            </w:pPr>
            <w:r>
              <w:rPr>
                <w:rFonts w:ascii="Arial" w:cs="Arial" w:eastAsia="Arial" w:hAnsi="Arial"/>
                <w:sz w:val="23"/>
                <w:szCs w:val="23"/>
                <w:color w:val="auto"/>
              </w:rPr>
              <w:t>12.0</w:t>
            </w:r>
          </w:p>
        </w:tc>
        <w:tc>
          <w:tcPr>
            <w:tcW w:w="1120" w:type="dxa"/>
            <w:vAlign w:val="bottom"/>
            <w:vMerge w:val="restart"/>
          </w:tcPr>
          <w:p>
            <w:pPr>
              <w:ind w:left="60"/>
              <w:spacing w:after="0"/>
              <w:rPr>
                <w:sz w:val="20"/>
                <w:szCs w:val="20"/>
                <w:color w:val="auto"/>
              </w:rPr>
            </w:pPr>
            <w:r>
              <w:rPr>
                <w:rFonts w:ascii="Arial" w:cs="Arial" w:eastAsia="Arial" w:hAnsi="Arial"/>
                <w:sz w:val="23"/>
                <w:szCs w:val="23"/>
                <w:color w:val="auto"/>
              </w:rPr>
              <w:t>10.3  9.7</w:t>
            </w:r>
          </w:p>
        </w:tc>
        <w:tc>
          <w:tcPr>
            <w:tcW w:w="580" w:type="dxa"/>
            <w:vAlign w:val="bottom"/>
            <w:vMerge w:val="restart"/>
          </w:tcPr>
          <w:p>
            <w:pPr>
              <w:jc w:val="right"/>
              <w:ind w:right="27"/>
              <w:spacing w:after="0"/>
              <w:rPr>
                <w:sz w:val="20"/>
                <w:szCs w:val="20"/>
                <w:color w:val="auto"/>
              </w:rPr>
            </w:pPr>
            <w:r>
              <w:rPr>
                <w:rFonts w:ascii="Arial" w:cs="Arial" w:eastAsia="Arial" w:hAnsi="Arial"/>
                <w:sz w:val="23"/>
                <w:szCs w:val="23"/>
                <w:color w:val="auto"/>
              </w:rPr>
              <w:t>9.3</w:t>
            </w:r>
          </w:p>
        </w:tc>
        <w:tc>
          <w:tcPr>
            <w:tcW w:w="1140" w:type="dxa"/>
            <w:vAlign w:val="bottom"/>
            <w:vMerge w:val="restart"/>
          </w:tcPr>
          <w:p>
            <w:pPr>
              <w:jc w:val="right"/>
              <w:spacing w:after="0"/>
              <w:rPr>
                <w:sz w:val="20"/>
                <w:szCs w:val="20"/>
                <w:color w:val="auto"/>
              </w:rPr>
            </w:pPr>
            <w:r>
              <w:rPr>
                <w:rFonts w:ascii="Arial" w:cs="Arial" w:eastAsia="Arial" w:hAnsi="Arial"/>
                <w:sz w:val="23"/>
                <w:szCs w:val="23"/>
                <w:color w:val="auto"/>
              </w:rPr>
              <w:t>9.9  11.2</w:t>
            </w:r>
          </w:p>
        </w:tc>
        <w:tc>
          <w:tcPr>
            <w:tcW w:w="560" w:type="dxa"/>
            <w:vAlign w:val="bottom"/>
            <w:vMerge w:val="restart"/>
          </w:tcPr>
          <w:p>
            <w:pPr>
              <w:jc w:val="right"/>
              <w:spacing w:after="0"/>
              <w:rPr>
                <w:sz w:val="20"/>
                <w:szCs w:val="20"/>
                <w:color w:val="auto"/>
              </w:rPr>
            </w:pPr>
            <w:r>
              <w:rPr>
                <w:rFonts w:ascii="Arial" w:cs="Arial" w:eastAsia="Arial" w:hAnsi="Arial"/>
                <w:sz w:val="23"/>
                <w:szCs w:val="23"/>
                <w:color w:val="auto"/>
              </w:rPr>
              <w:t>11.7</w:t>
            </w:r>
          </w:p>
        </w:tc>
        <w:tc>
          <w:tcPr>
            <w:tcW w:w="560" w:type="dxa"/>
            <w:vAlign w:val="bottom"/>
            <w:vMerge w:val="restart"/>
          </w:tcPr>
          <w:p>
            <w:pPr>
              <w:jc w:val="right"/>
              <w:spacing w:after="0"/>
              <w:rPr>
                <w:sz w:val="20"/>
                <w:szCs w:val="20"/>
                <w:color w:val="auto"/>
              </w:rPr>
            </w:pPr>
            <w:r>
              <w:rPr>
                <w:rFonts w:ascii="Arial" w:cs="Arial" w:eastAsia="Arial" w:hAnsi="Arial"/>
                <w:sz w:val="23"/>
                <w:szCs w:val="23"/>
                <w:color w:val="auto"/>
              </w:rPr>
              <w:t>12.6</w:t>
            </w:r>
          </w:p>
        </w:tc>
        <w:tc>
          <w:tcPr>
            <w:tcW w:w="580" w:type="dxa"/>
            <w:vAlign w:val="bottom"/>
            <w:vMerge w:val="restart"/>
          </w:tcPr>
          <w:p>
            <w:pPr>
              <w:jc w:val="right"/>
              <w:spacing w:after="0"/>
              <w:rPr>
                <w:sz w:val="20"/>
                <w:szCs w:val="20"/>
                <w:color w:val="auto"/>
              </w:rPr>
            </w:pPr>
            <w:r>
              <w:rPr>
                <w:rFonts w:ascii="Arial" w:cs="Arial" w:eastAsia="Arial" w:hAnsi="Arial"/>
                <w:sz w:val="23"/>
                <w:szCs w:val="23"/>
                <w:color w:val="auto"/>
              </w:rPr>
              <w:t>10.7</w:t>
            </w:r>
          </w:p>
        </w:tc>
        <w:tc>
          <w:tcPr>
            <w:tcW w:w="540" w:type="dxa"/>
            <w:vAlign w:val="bottom"/>
            <w:vMerge w:val="restart"/>
          </w:tcPr>
          <w:p>
            <w:pPr>
              <w:jc w:val="right"/>
              <w:ind w:right="7"/>
              <w:spacing w:after="0"/>
              <w:rPr>
                <w:sz w:val="20"/>
                <w:szCs w:val="20"/>
                <w:color w:val="auto"/>
              </w:rPr>
            </w:pPr>
            <w:r>
              <w:rPr>
                <w:rFonts w:ascii="Arial" w:cs="Arial" w:eastAsia="Arial" w:hAnsi="Arial"/>
                <w:sz w:val="23"/>
                <w:szCs w:val="23"/>
                <w:color w:val="auto"/>
              </w:rPr>
              <w:t>9.6</w:t>
            </w:r>
          </w:p>
        </w:tc>
        <w:tc>
          <w:tcPr>
            <w:tcW w:w="620" w:type="dxa"/>
            <w:vAlign w:val="bottom"/>
            <w:vMerge w:val="restart"/>
          </w:tcPr>
          <w:p>
            <w:pPr>
              <w:jc w:val="right"/>
              <w:ind w:right="47"/>
              <w:spacing w:after="0"/>
              <w:rPr>
                <w:sz w:val="20"/>
                <w:szCs w:val="20"/>
                <w:color w:val="auto"/>
              </w:rPr>
            </w:pPr>
            <w:r>
              <w:rPr>
                <w:rFonts w:ascii="Arial" w:cs="Arial" w:eastAsia="Arial" w:hAnsi="Arial"/>
                <w:sz w:val="23"/>
                <w:szCs w:val="23"/>
                <w:color w:val="auto"/>
              </w:rPr>
              <w:t>9.5</w:t>
            </w:r>
          </w:p>
        </w:tc>
        <w:tc>
          <w:tcPr>
            <w:tcW w:w="0" w:type="dxa"/>
            <w:vAlign w:val="bottom"/>
          </w:tcPr>
          <w:p>
            <w:pPr>
              <w:spacing w:after="0"/>
              <w:rPr>
                <w:sz w:val="1"/>
                <w:szCs w:val="1"/>
                <w:color w:val="auto"/>
              </w:rPr>
            </w:pPr>
          </w:p>
        </w:tc>
      </w:tr>
      <w:tr>
        <w:trPr>
          <w:trHeight w:val="252"/>
        </w:trPr>
        <w:tc>
          <w:tcPr>
            <w:tcW w:w="1160" w:type="dxa"/>
            <w:vAlign w:val="bottom"/>
          </w:tcPr>
          <w:p>
            <w:pPr>
              <w:ind w:left="20"/>
              <w:spacing w:after="0"/>
              <w:rPr>
                <w:sz w:val="20"/>
                <w:szCs w:val="20"/>
                <w:color w:val="auto"/>
              </w:rPr>
            </w:pPr>
            <w:r>
              <w:rPr>
                <w:rFonts w:ascii="Arial" w:cs="Arial" w:eastAsia="Arial" w:hAnsi="Arial"/>
                <w:sz w:val="19"/>
                <w:szCs w:val="19"/>
                <w:b w:val="1"/>
                <w:bCs w:val="1"/>
                <w:color w:val="auto"/>
              </w:rPr>
              <w:t>(4-Brand) %</w:t>
            </w:r>
          </w:p>
        </w:tc>
        <w:tc>
          <w:tcPr>
            <w:tcW w:w="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9"/>
        </w:trPr>
        <w:tc>
          <w:tcPr>
            <w:tcW w:w="1160" w:type="dxa"/>
            <w:vAlign w:val="bottom"/>
          </w:tcPr>
          <w:p>
            <w:pPr>
              <w:ind w:left="60"/>
              <w:spacing w:after="0"/>
              <w:rPr>
                <w:sz w:val="20"/>
                <w:szCs w:val="20"/>
                <w:color w:val="auto"/>
              </w:rPr>
            </w:pPr>
            <w:r>
              <w:rPr>
                <w:rFonts w:ascii="Arial" w:cs="Arial" w:eastAsia="Arial" w:hAnsi="Arial"/>
                <w:sz w:val="19"/>
                <w:szCs w:val="19"/>
                <w:b w:val="1"/>
                <w:bCs w:val="1"/>
                <w:color w:val="auto"/>
              </w:rPr>
              <w:t>GM vs. Ind.</w:t>
            </w:r>
          </w:p>
        </w:tc>
        <w:tc>
          <w:tcPr>
            <w:tcW w:w="560" w:type="dxa"/>
            <w:vAlign w:val="bottom"/>
          </w:tcPr>
          <w:p>
            <w:pPr>
              <w:jc w:val="right"/>
              <w:spacing w:after="0"/>
              <w:rPr>
                <w:sz w:val="20"/>
                <w:szCs w:val="20"/>
                <w:color w:val="auto"/>
              </w:rPr>
            </w:pPr>
            <w:r>
              <w:rPr>
                <w:rFonts w:ascii="Arial" w:cs="Arial" w:eastAsia="Arial" w:hAnsi="Arial"/>
                <w:sz w:val="23"/>
                <w:szCs w:val="23"/>
                <w:color w:val="auto"/>
              </w:rPr>
              <w:t>1.23</w:t>
            </w:r>
          </w:p>
        </w:tc>
        <w:tc>
          <w:tcPr>
            <w:tcW w:w="560" w:type="dxa"/>
            <w:vAlign w:val="bottom"/>
          </w:tcPr>
          <w:p>
            <w:pPr>
              <w:jc w:val="right"/>
              <w:spacing w:after="0"/>
              <w:rPr>
                <w:sz w:val="20"/>
                <w:szCs w:val="20"/>
                <w:color w:val="auto"/>
              </w:rPr>
            </w:pPr>
            <w:r>
              <w:rPr>
                <w:rFonts w:ascii="Arial" w:cs="Arial" w:eastAsia="Arial" w:hAnsi="Arial"/>
                <w:sz w:val="23"/>
                <w:szCs w:val="23"/>
                <w:color w:val="auto"/>
              </w:rPr>
              <w:t>1.23</w:t>
            </w:r>
          </w:p>
        </w:tc>
        <w:tc>
          <w:tcPr>
            <w:tcW w:w="580" w:type="dxa"/>
            <w:vAlign w:val="bottom"/>
          </w:tcPr>
          <w:p>
            <w:pPr>
              <w:jc w:val="right"/>
              <w:spacing w:after="0"/>
              <w:rPr>
                <w:sz w:val="20"/>
                <w:szCs w:val="20"/>
                <w:color w:val="auto"/>
              </w:rPr>
            </w:pPr>
            <w:r>
              <w:rPr>
                <w:rFonts w:ascii="Arial" w:cs="Arial" w:eastAsia="Arial" w:hAnsi="Arial"/>
                <w:sz w:val="23"/>
                <w:szCs w:val="23"/>
                <w:color w:val="auto"/>
              </w:rPr>
              <w:t>1.31</w:t>
            </w:r>
          </w:p>
        </w:tc>
        <w:tc>
          <w:tcPr>
            <w:tcW w:w="560" w:type="dxa"/>
            <w:vAlign w:val="bottom"/>
          </w:tcPr>
          <w:p>
            <w:pPr>
              <w:jc w:val="right"/>
              <w:spacing w:after="0"/>
              <w:rPr>
                <w:sz w:val="20"/>
                <w:szCs w:val="20"/>
                <w:color w:val="auto"/>
              </w:rPr>
            </w:pPr>
            <w:r>
              <w:rPr>
                <w:rFonts w:ascii="Arial" w:cs="Arial" w:eastAsia="Arial" w:hAnsi="Arial"/>
                <w:sz w:val="23"/>
                <w:szCs w:val="23"/>
                <w:color w:val="auto"/>
              </w:rPr>
              <w:t>1.40</w:t>
            </w:r>
          </w:p>
        </w:tc>
        <w:tc>
          <w:tcPr>
            <w:tcW w:w="560" w:type="dxa"/>
            <w:vAlign w:val="bottom"/>
          </w:tcPr>
          <w:p>
            <w:pPr>
              <w:jc w:val="right"/>
              <w:spacing w:after="0"/>
              <w:rPr>
                <w:sz w:val="20"/>
                <w:szCs w:val="20"/>
                <w:color w:val="auto"/>
              </w:rPr>
            </w:pPr>
            <w:r>
              <w:rPr>
                <w:rFonts w:ascii="Arial" w:cs="Arial" w:eastAsia="Arial" w:hAnsi="Arial"/>
                <w:sz w:val="23"/>
                <w:szCs w:val="23"/>
                <w:color w:val="auto"/>
              </w:rPr>
              <w:t>1.29</w:t>
            </w:r>
          </w:p>
        </w:tc>
        <w:tc>
          <w:tcPr>
            <w:tcW w:w="580" w:type="dxa"/>
            <w:vAlign w:val="bottom"/>
          </w:tcPr>
          <w:p>
            <w:pPr>
              <w:jc w:val="right"/>
              <w:spacing w:after="0"/>
              <w:rPr>
                <w:sz w:val="20"/>
                <w:szCs w:val="20"/>
                <w:color w:val="auto"/>
              </w:rPr>
            </w:pPr>
            <w:r>
              <w:rPr>
                <w:rFonts w:ascii="Arial" w:cs="Arial" w:eastAsia="Arial" w:hAnsi="Arial"/>
                <w:sz w:val="23"/>
                <w:szCs w:val="23"/>
                <w:color w:val="auto"/>
              </w:rPr>
              <w:t>1.20</w:t>
            </w:r>
          </w:p>
        </w:tc>
        <w:tc>
          <w:tcPr>
            <w:tcW w:w="1120" w:type="dxa"/>
            <w:vAlign w:val="bottom"/>
          </w:tcPr>
          <w:p>
            <w:pPr>
              <w:ind w:left="60"/>
              <w:spacing w:after="0"/>
              <w:rPr>
                <w:sz w:val="20"/>
                <w:szCs w:val="20"/>
                <w:color w:val="auto"/>
              </w:rPr>
            </w:pPr>
            <w:r>
              <w:rPr>
                <w:rFonts w:ascii="Arial" w:cs="Arial" w:eastAsia="Arial" w:hAnsi="Arial"/>
                <w:sz w:val="23"/>
                <w:szCs w:val="23"/>
                <w:color w:val="auto"/>
              </w:rPr>
              <w:t>1.06 0.93</w:t>
            </w:r>
          </w:p>
        </w:tc>
        <w:tc>
          <w:tcPr>
            <w:tcW w:w="580" w:type="dxa"/>
            <w:vAlign w:val="bottom"/>
          </w:tcPr>
          <w:p>
            <w:pPr>
              <w:jc w:val="right"/>
              <w:spacing w:after="0"/>
              <w:rPr>
                <w:sz w:val="20"/>
                <w:szCs w:val="20"/>
                <w:color w:val="auto"/>
              </w:rPr>
            </w:pPr>
            <w:r>
              <w:rPr>
                <w:rFonts w:ascii="Arial" w:cs="Arial" w:eastAsia="Arial" w:hAnsi="Arial"/>
                <w:sz w:val="23"/>
                <w:szCs w:val="23"/>
                <w:color w:val="auto"/>
              </w:rPr>
              <w:t>0.85</w:t>
            </w:r>
          </w:p>
        </w:tc>
        <w:tc>
          <w:tcPr>
            <w:tcW w:w="1140" w:type="dxa"/>
            <w:vAlign w:val="bottom"/>
          </w:tcPr>
          <w:p>
            <w:pPr>
              <w:jc w:val="right"/>
              <w:spacing w:after="0"/>
              <w:rPr>
                <w:sz w:val="20"/>
                <w:szCs w:val="20"/>
                <w:color w:val="auto"/>
              </w:rPr>
            </w:pPr>
            <w:r>
              <w:rPr>
                <w:rFonts w:ascii="Arial" w:cs="Arial" w:eastAsia="Arial" w:hAnsi="Arial"/>
                <w:sz w:val="23"/>
                <w:szCs w:val="23"/>
                <w:color w:val="auto"/>
              </w:rPr>
              <w:t>0.95 1.03</w:t>
            </w:r>
          </w:p>
        </w:tc>
        <w:tc>
          <w:tcPr>
            <w:tcW w:w="560" w:type="dxa"/>
            <w:vAlign w:val="bottom"/>
          </w:tcPr>
          <w:p>
            <w:pPr>
              <w:jc w:val="right"/>
              <w:spacing w:after="0"/>
              <w:rPr>
                <w:sz w:val="20"/>
                <w:szCs w:val="20"/>
                <w:color w:val="auto"/>
              </w:rPr>
            </w:pPr>
            <w:r>
              <w:rPr>
                <w:rFonts w:ascii="Arial" w:cs="Arial" w:eastAsia="Arial" w:hAnsi="Arial"/>
                <w:sz w:val="23"/>
                <w:szCs w:val="23"/>
                <w:color w:val="auto"/>
              </w:rPr>
              <w:t>1.10</w:t>
            </w:r>
          </w:p>
        </w:tc>
        <w:tc>
          <w:tcPr>
            <w:tcW w:w="560" w:type="dxa"/>
            <w:vAlign w:val="bottom"/>
          </w:tcPr>
          <w:p>
            <w:pPr>
              <w:jc w:val="right"/>
              <w:spacing w:after="0"/>
              <w:rPr>
                <w:sz w:val="20"/>
                <w:szCs w:val="20"/>
                <w:color w:val="auto"/>
              </w:rPr>
            </w:pPr>
            <w:r>
              <w:rPr>
                <w:rFonts w:ascii="Arial" w:cs="Arial" w:eastAsia="Arial" w:hAnsi="Arial"/>
                <w:sz w:val="23"/>
                <w:szCs w:val="23"/>
                <w:color w:val="auto"/>
              </w:rPr>
              <w:t>1.12</w:t>
            </w:r>
          </w:p>
        </w:tc>
        <w:tc>
          <w:tcPr>
            <w:tcW w:w="580" w:type="dxa"/>
            <w:vAlign w:val="bottom"/>
          </w:tcPr>
          <w:p>
            <w:pPr>
              <w:jc w:val="right"/>
              <w:spacing w:after="0"/>
              <w:rPr>
                <w:sz w:val="20"/>
                <w:szCs w:val="20"/>
                <w:color w:val="auto"/>
              </w:rPr>
            </w:pPr>
            <w:r>
              <w:rPr>
                <w:rFonts w:ascii="Arial" w:cs="Arial" w:eastAsia="Arial" w:hAnsi="Arial"/>
                <w:sz w:val="23"/>
                <w:szCs w:val="23"/>
                <w:color w:val="auto"/>
              </w:rPr>
              <w:t>1.01</w:t>
            </w:r>
          </w:p>
        </w:tc>
        <w:tc>
          <w:tcPr>
            <w:tcW w:w="540" w:type="dxa"/>
            <w:vAlign w:val="bottom"/>
          </w:tcPr>
          <w:p>
            <w:pPr>
              <w:jc w:val="right"/>
              <w:spacing w:after="0"/>
              <w:rPr>
                <w:sz w:val="20"/>
                <w:szCs w:val="20"/>
                <w:color w:val="auto"/>
              </w:rPr>
            </w:pPr>
            <w:r>
              <w:rPr>
                <w:rFonts w:ascii="Arial" w:cs="Arial" w:eastAsia="Arial" w:hAnsi="Arial"/>
                <w:sz w:val="23"/>
                <w:szCs w:val="23"/>
                <w:color w:val="auto"/>
              </w:rPr>
              <w:t>0.95</w:t>
            </w:r>
          </w:p>
        </w:tc>
        <w:tc>
          <w:tcPr>
            <w:tcW w:w="620" w:type="dxa"/>
            <w:vAlign w:val="bottom"/>
          </w:tcPr>
          <w:p>
            <w:pPr>
              <w:jc w:val="right"/>
              <w:spacing w:after="0"/>
              <w:rPr>
                <w:sz w:val="20"/>
                <w:szCs w:val="20"/>
                <w:color w:val="auto"/>
              </w:rPr>
            </w:pPr>
            <w:r>
              <w:rPr>
                <w:rFonts w:ascii="Arial" w:cs="Arial" w:eastAsia="Arial" w:hAnsi="Arial"/>
                <w:sz w:val="23"/>
                <w:szCs w:val="23"/>
                <w:color w:val="auto"/>
              </w:rPr>
              <w:t>1.01</w:t>
            </w:r>
          </w:p>
        </w:tc>
        <w:tc>
          <w:tcPr>
            <w:tcW w:w="0" w:type="dxa"/>
            <w:vAlign w:val="bottom"/>
          </w:tcPr>
          <w:p>
            <w:pPr>
              <w:spacing w:after="0"/>
              <w:rPr>
                <w:sz w:val="1"/>
                <w:szCs w:val="1"/>
                <w:color w:val="auto"/>
              </w:rPr>
            </w:pPr>
          </w:p>
        </w:tc>
      </w:tr>
      <w:tr>
        <w:trPr>
          <w:trHeight w:val="167"/>
        </w:trPr>
        <w:tc>
          <w:tcPr>
            <w:tcW w:w="1160" w:type="dxa"/>
            <w:vAlign w:val="bottom"/>
          </w:tcPr>
          <w:p>
            <w:pPr>
              <w:spacing w:after="0" w:line="167" w:lineRule="exact"/>
              <w:rPr>
                <w:sz w:val="20"/>
                <w:szCs w:val="20"/>
                <w:color w:val="auto"/>
              </w:rPr>
            </w:pPr>
            <w:r>
              <w:rPr>
                <w:rFonts w:ascii="Arial" w:cs="Arial" w:eastAsia="Arial" w:hAnsi="Arial"/>
                <w:sz w:val="15"/>
                <w:szCs w:val="15"/>
                <w:color w:val="auto"/>
              </w:rPr>
              <w:t>(GM % / Ind. %)</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October incentives as of the October 24</w:t>
      </w:r>
      <w:r>
        <w:rPr>
          <w:rFonts w:ascii="Arial" w:cs="Arial" w:eastAsia="Arial" w:hAnsi="Arial"/>
          <w:sz w:val="26"/>
          <w:szCs w:val="26"/>
          <w:color w:val="auto"/>
          <w:vertAlign w:val="superscript"/>
        </w:rPr>
        <w:t>th</w:t>
      </w:r>
      <w:r>
        <w:rPr>
          <w:rFonts w:ascii="Arial" w:cs="Arial" w:eastAsia="Arial" w:hAnsi="Arial"/>
          <w:sz w:val="18"/>
          <w:szCs w:val="18"/>
          <w:color w:val="auto"/>
        </w:rPr>
        <w:t>.</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9640" w:type="dxa"/>
            <w:vAlign w:val="bottom"/>
          </w:tcPr>
          <w:p>
            <w:pPr>
              <w:spacing w:after="0"/>
              <w:rPr>
                <w:sz w:val="20"/>
                <w:szCs w:val="20"/>
                <w:color w:val="auto"/>
              </w:rPr>
            </w:pPr>
            <w:r>
              <w:rPr>
                <w:rFonts w:ascii="Arial" w:cs="Arial" w:eastAsia="Arial" w:hAnsi="Arial"/>
                <w:sz w:val="19"/>
                <w:szCs w:val="19"/>
                <w:color w:val="auto"/>
              </w:rPr>
              <w:t>Note: Incentive &amp; ATP Information Based on J.D. Power and Associates Power Information Network data</w:t>
            </w:r>
          </w:p>
        </w:tc>
        <w:tc>
          <w:tcPr>
            <w:tcW w:w="920" w:type="dxa"/>
            <w:vAlign w:val="bottom"/>
            <w:vMerge w:val="restart"/>
          </w:tcPr>
          <w:p>
            <w:pPr>
              <w:jc w:val="right"/>
              <w:spacing w:after="0"/>
              <w:rPr>
                <w:sz w:val="20"/>
                <w:szCs w:val="20"/>
                <w:color w:val="auto"/>
              </w:rPr>
            </w:pPr>
            <w:r>
              <w:rPr>
                <w:rFonts w:ascii="Arial" w:cs="Arial" w:eastAsia="Arial" w:hAnsi="Arial"/>
                <w:sz w:val="25"/>
                <w:szCs w:val="25"/>
                <w:b w:val="1"/>
                <w:bCs w:val="1"/>
                <w:color w:val="auto"/>
              </w:rPr>
              <w:t>7</w:t>
            </w:r>
          </w:p>
        </w:tc>
        <w:tc>
          <w:tcPr>
            <w:tcW w:w="0" w:type="dxa"/>
            <w:vAlign w:val="bottom"/>
          </w:tcPr>
          <w:p>
            <w:pPr>
              <w:spacing w:after="0"/>
              <w:rPr>
                <w:sz w:val="1"/>
                <w:szCs w:val="1"/>
                <w:color w:val="auto"/>
              </w:rPr>
            </w:pPr>
          </w:p>
        </w:tc>
      </w:tr>
      <w:tr>
        <w:trPr>
          <w:trHeight w:val="125"/>
        </w:trPr>
        <w:tc>
          <w:tcPr>
            <w:tcW w:w="96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20" w:top="697" w:right="439" w:bottom="1440" w:gutter="0" w:footer="0" w:header="0"/>
        </w:sectPr>
      </w:pPr>
    </w:p>
    <w:bookmarkStart w:id="12" w:name="page13"/>
    <w:bookmarkEnd w:id="12"/>
    <w:p>
      <w:pPr>
        <w:ind w:left="12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GMNA Net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32"/>
          <w:szCs w:val="32"/>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3200" w:type="dxa"/>
            <w:vAlign w:val="bottom"/>
          </w:tcPr>
          <w:p>
            <w:pPr>
              <w:spacing w:after="0"/>
              <w:rPr>
                <w:sz w:val="20"/>
                <w:szCs w:val="20"/>
                <w:color w:val="auto"/>
              </w:rPr>
            </w:pPr>
            <w:r>
              <w:rPr>
                <w:rFonts w:ascii="Arial" w:cs="Arial" w:eastAsia="Arial" w:hAnsi="Arial"/>
                <w:sz w:val="25"/>
                <w:szCs w:val="25"/>
                <w:b w:val="1"/>
                <w:bCs w:val="1"/>
                <w:color w:val="auto"/>
              </w:rPr>
              <w:t>GMNA Production (000’s)</w:t>
            </w:r>
          </w:p>
        </w:tc>
        <w:tc>
          <w:tcPr>
            <w:tcW w:w="1800" w:type="dxa"/>
            <w:vAlign w:val="bottom"/>
          </w:tcPr>
          <w:p>
            <w:pPr>
              <w:jc w:val="right"/>
              <w:ind w:right="1055"/>
              <w:spacing w:after="0"/>
              <w:rPr>
                <w:sz w:val="20"/>
                <w:szCs w:val="20"/>
                <w:color w:val="auto"/>
              </w:rPr>
            </w:pPr>
            <w:r>
              <w:rPr>
                <w:rFonts w:ascii="Arial" w:cs="Arial" w:eastAsia="Arial" w:hAnsi="Arial"/>
                <w:sz w:val="25"/>
                <w:szCs w:val="25"/>
                <w:b w:val="1"/>
                <w:bCs w:val="1"/>
                <w:color w:val="auto"/>
              </w:rPr>
              <w:t>668</w:t>
            </w:r>
          </w:p>
        </w:tc>
        <w:tc>
          <w:tcPr>
            <w:tcW w:w="2760" w:type="dxa"/>
            <w:vAlign w:val="bottom"/>
          </w:tcPr>
          <w:p>
            <w:pPr>
              <w:jc w:val="right"/>
              <w:ind w:right="1035"/>
              <w:spacing w:after="0"/>
              <w:rPr>
                <w:sz w:val="20"/>
                <w:szCs w:val="20"/>
                <w:color w:val="auto"/>
              </w:rPr>
            </w:pPr>
            <w:r>
              <w:rPr>
                <w:rFonts w:ascii="Arial" w:cs="Arial" w:eastAsia="Arial" w:hAnsi="Arial"/>
                <w:sz w:val="25"/>
                <w:szCs w:val="25"/>
                <w:b w:val="1"/>
                <w:bCs w:val="1"/>
                <w:color w:val="auto"/>
              </w:rPr>
              <w:t>731</w:t>
            </w:r>
          </w:p>
        </w:tc>
        <w:tc>
          <w:tcPr>
            <w:tcW w:w="1580" w:type="dxa"/>
            <w:vAlign w:val="bottom"/>
          </w:tcPr>
          <w:p>
            <w:pPr>
              <w:jc w:val="right"/>
              <w:spacing w:after="0"/>
              <w:rPr>
                <w:sz w:val="20"/>
                <w:szCs w:val="20"/>
                <w:color w:val="auto"/>
              </w:rPr>
            </w:pPr>
            <w:r>
              <w:rPr>
                <w:rFonts w:ascii="Arial" w:cs="Arial" w:eastAsia="Arial" w:hAnsi="Arial"/>
                <w:sz w:val="25"/>
                <w:szCs w:val="25"/>
                <w:b w:val="1"/>
                <w:bCs w:val="1"/>
                <w:color w:val="auto"/>
              </w:rPr>
              <w:t>707</w:t>
            </w:r>
          </w:p>
        </w:tc>
      </w:tr>
      <w:tr>
        <w:trPr>
          <w:trHeight w:val="417"/>
        </w:trPr>
        <w:tc>
          <w:tcPr>
            <w:tcW w:w="3200" w:type="dxa"/>
            <w:vAlign w:val="bottom"/>
          </w:tcPr>
          <w:p>
            <w:pPr>
              <w:spacing w:after="0"/>
              <w:rPr>
                <w:sz w:val="20"/>
                <w:szCs w:val="20"/>
                <w:color w:val="auto"/>
              </w:rPr>
            </w:pPr>
            <w:r>
              <w:rPr>
                <w:rFonts w:ascii="Arial" w:cs="Arial" w:eastAsia="Arial" w:hAnsi="Arial"/>
                <w:sz w:val="25"/>
                <w:szCs w:val="25"/>
                <w:b w:val="1"/>
                <w:bCs w:val="1"/>
                <w:color w:val="auto"/>
              </w:rPr>
              <w:t>U.S. Dealer Inv (000’s)</w:t>
            </w:r>
          </w:p>
        </w:tc>
        <w:tc>
          <w:tcPr>
            <w:tcW w:w="1800" w:type="dxa"/>
            <w:vAlign w:val="bottom"/>
          </w:tcPr>
          <w:p>
            <w:pPr>
              <w:jc w:val="right"/>
              <w:ind w:right="1055"/>
              <w:spacing w:after="0"/>
              <w:rPr>
                <w:sz w:val="20"/>
                <w:szCs w:val="20"/>
                <w:color w:val="auto"/>
              </w:rPr>
            </w:pPr>
            <w:r>
              <w:rPr>
                <w:rFonts w:ascii="Arial" w:cs="Arial" w:eastAsia="Arial" w:hAnsi="Arial"/>
                <w:sz w:val="25"/>
                <w:szCs w:val="25"/>
                <w:b w:val="1"/>
                <w:bCs w:val="1"/>
                <w:color w:val="auto"/>
              </w:rPr>
              <w:t>428</w:t>
            </w:r>
          </w:p>
        </w:tc>
        <w:tc>
          <w:tcPr>
            <w:tcW w:w="2760" w:type="dxa"/>
            <w:vAlign w:val="bottom"/>
          </w:tcPr>
          <w:p>
            <w:pPr>
              <w:jc w:val="right"/>
              <w:ind w:right="1035"/>
              <w:spacing w:after="0"/>
              <w:rPr>
                <w:sz w:val="20"/>
                <w:szCs w:val="20"/>
                <w:color w:val="auto"/>
              </w:rPr>
            </w:pPr>
            <w:r>
              <w:rPr>
                <w:rFonts w:ascii="Arial" w:cs="Arial" w:eastAsia="Arial" w:hAnsi="Arial"/>
                <w:sz w:val="25"/>
                <w:szCs w:val="25"/>
                <w:b w:val="1"/>
                <w:bCs w:val="1"/>
                <w:color w:val="auto"/>
              </w:rPr>
              <w:t>438</w:t>
            </w:r>
          </w:p>
        </w:tc>
        <w:tc>
          <w:tcPr>
            <w:tcW w:w="1580" w:type="dxa"/>
            <w:vAlign w:val="bottom"/>
          </w:tcPr>
          <w:p>
            <w:pPr>
              <w:jc w:val="right"/>
              <w:spacing w:after="0"/>
              <w:rPr>
                <w:sz w:val="20"/>
                <w:szCs w:val="20"/>
                <w:color w:val="auto"/>
              </w:rPr>
            </w:pPr>
            <w:r>
              <w:rPr>
                <w:rFonts w:ascii="Arial" w:cs="Arial" w:eastAsia="Arial" w:hAnsi="Arial"/>
                <w:sz w:val="25"/>
                <w:szCs w:val="25"/>
                <w:b w:val="1"/>
                <w:bCs w:val="1"/>
                <w:color w:val="auto"/>
              </w:rPr>
              <w:t>478</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8</w:t>
      </w:r>
    </w:p>
    <w:p>
      <w:pPr>
        <w:sectPr>
          <w:pgSz w:w="11900" w:h="16838" w:orient="portrait"/>
          <w:cols w:equalWidth="0" w:num="1">
            <w:col w:w="10640"/>
          </w:cols>
          <w:pgMar w:left="480" w:top="613" w:right="779" w:bottom="1440" w:gutter="0" w:footer="0" w:header="0"/>
        </w:sectPr>
      </w:pPr>
    </w:p>
    <w:bookmarkStart w:id="13" w:name="page14"/>
    <w:bookmarkEnd w:id="13"/>
    <w:p>
      <w:pPr>
        <w:ind w:left="94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313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3135" cy="5313045"/>
                    </a:xfrm>
                    <a:prstGeom prst="rect">
                      <a:avLst/>
                    </a:prstGeom>
                    <a:noFill/>
                  </pic:spPr>
                </pic:pic>
              </a:graphicData>
            </a:graphic>
          </wp:anchor>
        </w:drawing>
        <w:t>Q3 2010 GMNA Earnings Before Interest &amp; Taxes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9</w:t>
      </w:r>
    </w:p>
    <w:p>
      <w:pPr>
        <w:sectPr>
          <w:pgSz w:w="11900" w:h="16838" w:orient="portrait"/>
          <w:cols w:equalWidth="0" w:num="1">
            <w:col w:w="10340"/>
          </w:cols>
          <w:pgMar w:left="600" w:top="758" w:right="959" w:bottom="1440" w:gutter="0" w:footer="0" w:header="0"/>
        </w:sectPr>
      </w:pPr>
    </w:p>
    <w:bookmarkStart w:id="14" w:name="page15"/>
    <w:bookmarkEnd w:id="14"/>
    <w:p>
      <w:pPr>
        <w:ind w:left="11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GMNA EBIT – Q2 2010 vs. Q3 2010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$0.5B Improvement</w:t>
      </w:r>
    </w:p>
    <w:p>
      <w:pPr>
        <w:sectPr>
          <w:pgSz w:w="11900" w:h="16838" w:orient="portrait"/>
          <w:cols w:equalWidth="0" w:num="1">
            <w:col w:w="10540"/>
          </w:cols>
          <w:pgMar w:left="580" w:top="613"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Q2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Q3 2010</w:t>
      </w:r>
    </w:p>
    <w:p>
      <w:pPr>
        <w:spacing w:after="0" w:line="118" w:lineRule="exact"/>
        <w:rPr>
          <w:sz w:val="20"/>
          <w:szCs w:val="20"/>
          <w:color w:val="auto"/>
        </w:rPr>
      </w:pPr>
    </w:p>
    <w:p>
      <w:pPr>
        <w:sectPr>
          <w:pgSz w:w="11900" w:h="16838" w:orient="portrait"/>
          <w:cols w:equalWidth="0" w:num="2">
            <w:col w:w="8340" w:space="720"/>
            <w:col w:w="1480"/>
          </w:cols>
          <w:pgMar w:left="580" w:top="613" w:right="779" w:bottom="1440" w:gutter="0" w:footer="0" w:header="0"/>
          <w:type w:val="continuous"/>
        </w:sectPr>
      </w:pPr>
    </w:p>
    <w:p>
      <w:pPr>
        <w:ind w:left="420"/>
        <w:spacing w:after="0"/>
        <w:rPr>
          <w:sz w:val="20"/>
          <w:szCs w:val="20"/>
          <w:color w:val="auto"/>
        </w:rPr>
      </w:pPr>
      <w:r>
        <w:rPr>
          <w:rFonts w:ascii="Arial" w:cs="Arial" w:eastAsia="Arial" w:hAnsi="Arial"/>
          <w:sz w:val="28"/>
          <w:szCs w:val="28"/>
          <w:b w:val="1"/>
          <w:bCs w:val="1"/>
          <w:color w:val="auto"/>
        </w:rPr>
        <w:t>EBIT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EBIT</w:t>
      </w:r>
    </w:p>
    <w:p>
      <w:pPr>
        <w:spacing w:after="0" w:line="200" w:lineRule="exact"/>
        <w:rPr>
          <w:sz w:val="20"/>
          <w:szCs w:val="20"/>
          <w:color w:val="auto"/>
        </w:rPr>
      </w:pPr>
    </w:p>
    <w:p>
      <w:pPr>
        <w:sectPr>
          <w:pgSz w:w="11900" w:h="16838" w:orient="portrait"/>
          <w:cols w:equalWidth="0" w:num="2">
            <w:col w:w="8560" w:space="720"/>
            <w:col w:w="1260"/>
          </w:cols>
          <w:pgMar w:left="580" w:top="613"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10</w:t>
      </w:r>
    </w:p>
    <w:p>
      <w:pPr>
        <w:sectPr>
          <w:pgSz w:w="11900" w:h="16838" w:orient="portrait"/>
          <w:cols w:equalWidth="0" w:num="1">
            <w:col w:w="10540"/>
          </w:cols>
          <w:pgMar w:left="580" w:top="613" w:right="779" w:bottom="1440" w:gutter="0" w:footer="0" w:header="0"/>
          <w:type w:val="continuous"/>
        </w:sectPr>
      </w:pPr>
    </w:p>
    <w:bookmarkStart w:id="15" w:name="page16"/>
    <w:bookmarkEnd w:id="15"/>
    <w:p>
      <w:pPr>
        <w:ind w:left="10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GME Deliveries</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32"/>
          <w:szCs w:val="32"/>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140"/>
        <w:spacing w:after="0"/>
        <w:rPr>
          <w:sz w:val="20"/>
          <w:szCs w:val="20"/>
          <w:color w:val="auto"/>
        </w:rPr>
      </w:pPr>
      <w:r>
        <w:rPr>
          <w:rFonts w:ascii="Arial" w:cs="Arial" w:eastAsia="Arial" w:hAnsi="Arial"/>
          <w:sz w:val="25"/>
          <w:szCs w:val="25"/>
          <w:b w:val="1"/>
          <w:bCs w:val="1"/>
          <w:color w:val="auto"/>
        </w:rPr>
        <w:t>Chevrolet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140"/>
        <w:spacing w:after="0"/>
        <w:rPr>
          <w:sz w:val="20"/>
          <w:szCs w:val="20"/>
          <w:color w:val="auto"/>
        </w:rPr>
      </w:pPr>
      <w:r>
        <w:rPr>
          <w:rFonts w:ascii="Arial" w:cs="Arial" w:eastAsia="Arial" w:hAnsi="Arial"/>
          <w:sz w:val="25"/>
          <w:szCs w:val="25"/>
          <w:b w:val="1"/>
          <w:bCs w:val="1"/>
          <w:color w:val="auto"/>
        </w:rPr>
        <w:t>GME Excl.</w:t>
      </w:r>
    </w:p>
    <w:p>
      <w:pPr>
        <w:spacing w:after="0" w:line="40" w:lineRule="exact"/>
        <w:rPr>
          <w:sz w:val="20"/>
          <w:szCs w:val="20"/>
          <w:color w:val="auto"/>
        </w:rPr>
      </w:pPr>
    </w:p>
    <w:p>
      <w:pPr>
        <w:ind w:left="9140"/>
        <w:spacing w:after="0"/>
        <w:rPr>
          <w:sz w:val="20"/>
          <w:szCs w:val="20"/>
          <w:color w:val="auto"/>
        </w:rPr>
      </w:pPr>
      <w:r>
        <w:rPr>
          <w:rFonts w:ascii="Arial" w:cs="Arial" w:eastAsia="Arial" w:hAnsi="Arial"/>
          <w:sz w:val="25"/>
          <w:szCs w:val="25"/>
          <w:b w:val="1"/>
          <w:bCs w:val="1"/>
          <w:color w:val="auto"/>
        </w:rPr>
        <w:t>Chevrolet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160" w:type="dxa"/>
            <w:vAlign w:val="bottom"/>
          </w:tcPr>
          <w:p>
            <w:pPr>
              <w:spacing w:after="0"/>
              <w:rPr>
                <w:sz w:val="20"/>
                <w:szCs w:val="20"/>
                <w:color w:val="auto"/>
              </w:rPr>
            </w:pPr>
            <w:r>
              <w:rPr>
                <w:rFonts w:ascii="Arial" w:cs="Arial" w:eastAsia="Arial" w:hAnsi="Arial"/>
                <w:sz w:val="25"/>
                <w:szCs w:val="25"/>
                <w:b w:val="1"/>
                <w:bCs w:val="1"/>
                <w:color w:val="auto"/>
              </w:rPr>
              <w:t>GME Share</w:t>
            </w:r>
          </w:p>
        </w:tc>
        <w:tc>
          <w:tcPr>
            <w:tcW w:w="2100" w:type="dxa"/>
            <w:vAlign w:val="bottom"/>
          </w:tcPr>
          <w:p>
            <w:pPr>
              <w:jc w:val="center"/>
              <w:ind w:right="435"/>
              <w:spacing w:after="0"/>
              <w:rPr>
                <w:sz w:val="20"/>
                <w:szCs w:val="20"/>
                <w:color w:val="auto"/>
              </w:rPr>
            </w:pPr>
            <w:r>
              <w:rPr>
                <w:rFonts w:ascii="Arial" w:cs="Arial" w:eastAsia="Arial" w:hAnsi="Arial"/>
                <w:sz w:val="25"/>
                <w:szCs w:val="25"/>
                <w:b w:val="1"/>
                <w:bCs w:val="1"/>
                <w:color w:val="auto"/>
              </w:rPr>
              <w:t>8.5%</w:t>
            </w:r>
          </w:p>
        </w:tc>
        <w:tc>
          <w:tcPr>
            <w:tcW w:w="2660" w:type="dxa"/>
            <w:vAlign w:val="bottom"/>
          </w:tcPr>
          <w:p>
            <w:pPr>
              <w:jc w:val="center"/>
              <w:spacing w:after="0"/>
              <w:rPr>
                <w:sz w:val="20"/>
                <w:szCs w:val="20"/>
                <w:color w:val="auto"/>
              </w:rPr>
            </w:pPr>
            <w:r>
              <w:rPr>
                <w:rFonts w:ascii="Arial" w:cs="Arial" w:eastAsia="Arial" w:hAnsi="Arial"/>
                <w:sz w:val="25"/>
                <w:szCs w:val="25"/>
                <w:b w:val="1"/>
                <w:bCs w:val="1"/>
                <w:color w:val="auto"/>
              </w:rPr>
              <w:t>8.8%</w:t>
            </w:r>
          </w:p>
        </w:tc>
        <w:tc>
          <w:tcPr>
            <w:tcW w:w="1700" w:type="dxa"/>
            <w:vAlign w:val="bottom"/>
          </w:tcPr>
          <w:p>
            <w:pPr>
              <w:jc w:val="center"/>
              <w:ind w:left="855"/>
              <w:spacing w:after="0"/>
              <w:rPr>
                <w:sz w:val="20"/>
                <w:szCs w:val="20"/>
                <w:color w:val="auto"/>
              </w:rPr>
            </w:pPr>
            <w:r>
              <w:rPr>
                <w:rFonts w:ascii="Arial" w:cs="Arial" w:eastAsia="Arial" w:hAnsi="Arial"/>
                <w:sz w:val="25"/>
                <w:szCs w:val="25"/>
                <w:b w:val="1"/>
                <w:bCs w:val="1"/>
                <w:color w:val="auto"/>
                <w:w w:val="98"/>
              </w:rPr>
              <w:t>8.9%</w:t>
            </w:r>
          </w:p>
        </w:tc>
      </w:tr>
      <w:tr>
        <w:trPr>
          <w:trHeight w:val="417"/>
        </w:trPr>
        <w:tc>
          <w:tcPr>
            <w:tcW w:w="2160" w:type="dxa"/>
            <w:vAlign w:val="bottom"/>
          </w:tcPr>
          <w:p>
            <w:pPr>
              <w:spacing w:after="0"/>
              <w:rPr>
                <w:sz w:val="20"/>
                <w:szCs w:val="20"/>
                <w:color w:val="auto"/>
              </w:rPr>
            </w:pPr>
            <w:r>
              <w:rPr>
                <w:rFonts w:ascii="Arial" w:cs="Arial" w:eastAsia="Arial" w:hAnsi="Arial"/>
                <w:sz w:val="25"/>
                <w:szCs w:val="25"/>
                <w:color w:val="auto"/>
              </w:rPr>
              <w:t>Germany Share</w:t>
            </w:r>
          </w:p>
        </w:tc>
        <w:tc>
          <w:tcPr>
            <w:tcW w:w="2100" w:type="dxa"/>
            <w:vAlign w:val="bottom"/>
          </w:tcPr>
          <w:p>
            <w:pPr>
              <w:jc w:val="center"/>
              <w:ind w:right="435"/>
              <w:spacing w:after="0"/>
              <w:rPr>
                <w:sz w:val="20"/>
                <w:szCs w:val="20"/>
                <w:color w:val="auto"/>
              </w:rPr>
            </w:pPr>
            <w:r>
              <w:rPr>
                <w:rFonts w:ascii="Arial" w:cs="Arial" w:eastAsia="Arial" w:hAnsi="Arial"/>
                <w:sz w:val="25"/>
                <w:szCs w:val="25"/>
                <w:color w:val="auto"/>
              </w:rPr>
              <w:t>8.2%</w:t>
            </w:r>
          </w:p>
        </w:tc>
        <w:tc>
          <w:tcPr>
            <w:tcW w:w="2660" w:type="dxa"/>
            <w:vAlign w:val="bottom"/>
          </w:tcPr>
          <w:p>
            <w:pPr>
              <w:jc w:val="center"/>
              <w:spacing w:after="0"/>
              <w:rPr>
                <w:sz w:val="20"/>
                <w:szCs w:val="20"/>
                <w:color w:val="auto"/>
              </w:rPr>
            </w:pPr>
            <w:r>
              <w:rPr>
                <w:rFonts w:ascii="Arial" w:cs="Arial" w:eastAsia="Arial" w:hAnsi="Arial"/>
                <w:sz w:val="25"/>
                <w:szCs w:val="25"/>
                <w:color w:val="auto"/>
              </w:rPr>
              <w:t>8.0%</w:t>
            </w:r>
          </w:p>
        </w:tc>
        <w:tc>
          <w:tcPr>
            <w:tcW w:w="1700" w:type="dxa"/>
            <w:vAlign w:val="bottom"/>
          </w:tcPr>
          <w:p>
            <w:pPr>
              <w:jc w:val="center"/>
              <w:ind w:left="855"/>
              <w:spacing w:after="0"/>
              <w:rPr>
                <w:sz w:val="20"/>
                <w:szCs w:val="20"/>
                <w:color w:val="auto"/>
              </w:rPr>
            </w:pPr>
            <w:r>
              <w:rPr>
                <w:rFonts w:ascii="Arial" w:cs="Arial" w:eastAsia="Arial" w:hAnsi="Arial"/>
                <w:sz w:val="25"/>
                <w:szCs w:val="25"/>
                <w:color w:val="auto"/>
                <w:w w:val="98"/>
              </w:rPr>
              <w:t>8.5%</w:t>
            </w:r>
          </w:p>
        </w:tc>
      </w:tr>
      <w:tr>
        <w:trPr>
          <w:trHeight w:val="417"/>
        </w:trPr>
        <w:tc>
          <w:tcPr>
            <w:tcW w:w="2160" w:type="dxa"/>
            <w:vAlign w:val="bottom"/>
          </w:tcPr>
          <w:p>
            <w:pPr>
              <w:spacing w:after="0"/>
              <w:rPr>
                <w:sz w:val="20"/>
                <w:szCs w:val="20"/>
                <w:color w:val="auto"/>
              </w:rPr>
            </w:pPr>
            <w:r>
              <w:rPr>
                <w:rFonts w:ascii="Arial" w:cs="Arial" w:eastAsia="Arial" w:hAnsi="Arial"/>
                <w:sz w:val="25"/>
                <w:szCs w:val="25"/>
                <w:color w:val="auto"/>
              </w:rPr>
              <w:t>U.K. Share</w:t>
            </w:r>
          </w:p>
        </w:tc>
        <w:tc>
          <w:tcPr>
            <w:tcW w:w="2100" w:type="dxa"/>
            <w:vAlign w:val="bottom"/>
          </w:tcPr>
          <w:p>
            <w:pPr>
              <w:jc w:val="center"/>
              <w:ind w:right="435"/>
              <w:spacing w:after="0"/>
              <w:rPr>
                <w:sz w:val="20"/>
                <w:szCs w:val="20"/>
                <w:color w:val="auto"/>
              </w:rPr>
            </w:pPr>
            <w:r>
              <w:rPr>
                <w:rFonts w:ascii="Arial" w:cs="Arial" w:eastAsia="Arial" w:hAnsi="Arial"/>
                <w:sz w:val="25"/>
                <w:szCs w:val="25"/>
                <w:color w:val="auto"/>
                <w:w w:val="98"/>
              </w:rPr>
              <w:t>12.0%</w:t>
            </w:r>
          </w:p>
        </w:tc>
        <w:tc>
          <w:tcPr>
            <w:tcW w:w="2660" w:type="dxa"/>
            <w:vAlign w:val="bottom"/>
          </w:tcPr>
          <w:p>
            <w:pPr>
              <w:jc w:val="center"/>
              <w:spacing w:after="0"/>
              <w:rPr>
                <w:sz w:val="20"/>
                <w:szCs w:val="20"/>
                <w:color w:val="auto"/>
              </w:rPr>
            </w:pPr>
            <w:r>
              <w:rPr>
                <w:rFonts w:ascii="Arial" w:cs="Arial" w:eastAsia="Arial" w:hAnsi="Arial"/>
                <w:sz w:val="25"/>
                <w:szCs w:val="25"/>
                <w:color w:val="auto"/>
                <w:w w:val="98"/>
              </w:rPr>
              <w:t>13.8%</w:t>
            </w:r>
          </w:p>
        </w:tc>
        <w:tc>
          <w:tcPr>
            <w:tcW w:w="1700" w:type="dxa"/>
            <w:vAlign w:val="bottom"/>
          </w:tcPr>
          <w:p>
            <w:pPr>
              <w:jc w:val="center"/>
              <w:ind w:left="855"/>
              <w:spacing w:after="0"/>
              <w:rPr>
                <w:sz w:val="20"/>
                <w:szCs w:val="20"/>
                <w:color w:val="auto"/>
              </w:rPr>
            </w:pPr>
            <w:r>
              <w:rPr>
                <w:rFonts w:ascii="Arial" w:cs="Arial" w:eastAsia="Arial" w:hAnsi="Arial"/>
                <w:sz w:val="25"/>
                <w:szCs w:val="25"/>
                <w:color w:val="auto"/>
              </w:rPr>
              <w:t>12.6%</w:t>
            </w:r>
          </w:p>
        </w:tc>
      </w:tr>
    </w:tbl>
    <w:p>
      <w:pPr>
        <w:spacing w:after="0" w:line="313" w:lineRule="exact"/>
        <w:rPr>
          <w:sz w:val="20"/>
          <w:szCs w:val="20"/>
          <w:color w:val="auto"/>
        </w:rPr>
      </w:pPr>
    </w:p>
    <w:p>
      <w:pPr>
        <w:ind w:left="60" w:right="240"/>
        <w:spacing w:after="0" w:line="259" w:lineRule="auto"/>
        <w:rPr>
          <w:sz w:val="20"/>
          <w:szCs w:val="20"/>
          <w:color w:val="auto"/>
        </w:rPr>
      </w:pPr>
      <w:r>
        <w:rPr>
          <w:rFonts w:ascii="Arial" w:cs="Arial" w:eastAsia="Arial" w:hAnsi="Arial"/>
          <w:sz w:val="19"/>
          <w:szCs w:val="19"/>
          <w:color w:val="auto"/>
        </w:rPr>
        <w:t>GME deliveries and market share include unit sales of Chevrolets produced by GMIO. Revenue and associated costs of these unit sales are reported by GMIO</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11</w:t>
      </w:r>
    </w:p>
    <w:p>
      <w:pPr>
        <w:sectPr>
          <w:pgSz w:w="11900" w:h="16838" w:orient="portrait"/>
          <w:cols w:equalWidth="0" w:num="1">
            <w:col w:w="10400"/>
          </w:cols>
          <w:pgMar w:left="580" w:top="613" w:right="919" w:bottom="1440" w:gutter="0" w:footer="0" w:header="0"/>
        </w:sectPr>
      </w:pPr>
    </w:p>
    <w:bookmarkStart w:id="16" w:name="page17"/>
    <w:bookmarkEnd w:id="16"/>
    <w:p>
      <w:pPr>
        <w:ind w:left="12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GME Net Revenue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620" w:type="dxa"/>
            <w:vAlign w:val="bottom"/>
          </w:tcPr>
          <w:p>
            <w:pPr>
              <w:spacing w:after="0"/>
              <w:rPr>
                <w:sz w:val="20"/>
                <w:szCs w:val="20"/>
                <w:color w:val="auto"/>
              </w:rPr>
            </w:pPr>
            <w:r>
              <w:rPr>
                <w:rFonts w:ascii="Arial" w:cs="Arial" w:eastAsia="Arial" w:hAnsi="Arial"/>
                <w:sz w:val="25"/>
                <w:szCs w:val="25"/>
                <w:b w:val="1"/>
                <w:bCs w:val="1"/>
                <w:color w:val="auto"/>
              </w:rPr>
              <w:t>Production (000’s)</w:t>
            </w:r>
          </w:p>
        </w:tc>
        <w:tc>
          <w:tcPr>
            <w:tcW w:w="2060" w:type="dxa"/>
            <w:vAlign w:val="bottom"/>
          </w:tcPr>
          <w:p>
            <w:pPr>
              <w:jc w:val="right"/>
              <w:ind w:right="1055"/>
              <w:spacing w:after="0"/>
              <w:rPr>
                <w:sz w:val="20"/>
                <w:szCs w:val="20"/>
                <w:color w:val="auto"/>
              </w:rPr>
            </w:pPr>
            <w:r>
              <w:rPr>
                <w:rFonts w:ascii="Arial" w:cs="Arial" w:eastAsia="Arial" w:hAnsi="Arial"/>
                <w:sz w:val="25"/>
                <w:szCs w:val="25"/>
                <w:b w:val="1"/>
                <w:bCs w:val="1"/>
                <w:color w:val="auto"/>
              </w:rPr>
              <w:t>305</w:t>
            </w:r>
          </w:p>
        </w:tc>
        <w:tc>
          <w:tcPr>
            <w:tcW w:w="2760" w:type="dxa"/>
            <w:vAlign w:val="bottom"/>
          </w:tcPr>
          <w:p>
            <w:pPr>
              <w:jc w:val="right"/>
              <w:ind w:right="1035"/>
              <w:spacing w:after="0"/>
              <w:rPr>
                <w:sz w:val="20"/>
                <w:szCs w:val="20"/>
                <w:color w:val="auto"/>
              </w:rPr>
            </w:pPr>
            <w:r>
              <w:rPr>
                <w:rFonts w:ascii="Arial" w:cs="Arial" w:eastAsia="Arial" w:hAnsi="Arial"/>
                <w:sz w:val="25"/>
                <w:szCs w:val="25"/>
                <w:b w:val="1"/>
                <w:bCs w:val="1"/>
                <w:color w:val="auto"/>
              </w:rPr>
              <w:t>331</w:t>
            </w:r>
          </w:p>
        </w:tc>
        <w:tc>
          <w:tcPr>
            <w:tcW w:w="1580" w:type="dxa"/>
            <w:vAlign w:val="bottom"/>
          </w:tcPr>
          <w:p>
            <w:pPr>
              <w:jc w:val="right"/>
              <w:spacing w:after="0"/>
              <w:rPr>
                <w:sz w:val="20"/>
                <w:szCs w:val="20"/>
                <w:color w:val="auto"/>
              </w:rPr>
            </w:pPr>
            <w:r>
              <w:rPr>
                <w:rFonts w:ascii="Arial" w:cs="Arial" w:eastAsia="Arial" w:hAnsi="Arial"/>
                <w:sz w:val="25"/>
                <w:szCs w:val="25"/>
                <w:b w:val="1"/>
                <w:bCs w:val="1"/>
                <w:color w:val="auto"/>
              </w:rPr>
              <w:t>286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12</w:t>
      </w:r>
    </w:p>
    <w:p>
      <w:pPr>
        <w:sectPr>
          <w:pgSz w:w="11900" w:h="16838" w:orient="portrait"/>
          <w:cols w:equalWidth="0" w:num="1">
            <w:col w:w="10640"/>
          </w:cols>
          <w:pgMar w:left="480" w:top="613" w:right="779" w:bottom="1440" w:gutter="0" w:footer="0" w:header="0"/>
        </w:sectPr>
      </w:pPr>
    </w:p>
    <w:bookmarkStart w:id="17" w:name="page18"/>
    <w:bookmarkEnd w:id="17"/>
    <w:p>
      <w:pPr>
        <w:ind w:left="800"/>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GME Earnings Before Interest &amp;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13</w:t>
      </w:r>
    </w:p>
    <w:p>
      <w:pPr>
        <w:sectPr>
          <w:pgSz w:w="11900" w:h="16838" w:orient="portrait"/>
          <w:cols w:equalWidth="0" w:num="1">
            <w:col w:w="10180"/>
          </w:cols>
          <w:pgMar w:left="800" w:top="651" w:right="919" w:bottom="1440" w:gutter="0" w:footer="0" w:header="0"/>
        </w:sectPr>
      </w:pPr>
    </w:p>
    <w:bookmarkStart w:id="18" w:name="page19"/>
    <w:bookmarkEnd w:id="18"/>
    <w:p>
      <w:pPr>
        <w:ind w:left="10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GME EBIT – Q2 2010 vs. Q3 2010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w:t>
      </w:r>
    </w:p>
    <w:p>
      <w:pPr>
        <w:spacing w:after="0" w:line="254" w:lineRule="exact"/>
        <w:rPr>
          <w:sz w:val="20"/>
          <w:szCs w:val="20"/>
          <w:color w:val="auto"/>
        </w:rPr>
      </w:pPr>
    </w:p>
    <w:p>
      <w:pPr>
        <w:jc w:val="center"/>
        <w:ind w:right="120"/>
        <w:spacing w:after="0"/>
        <w:rPr>
          <w:sz w:val="20"/>
          <w:szCs w:val="20"/>
          <w:color w:val="auto"/>
        </w:rPr>
      </w:pPr>
      <w:r>
        <w:rPr>
          <w:rFonts w:ascii="Arial" w:cs="Arial" w:eastAsia="Arial" w:hAnsi="Arial"/>
          <w:sz w:val="38"/>
          <w:szCs w:val="38"/>
          <w:b w:val="1"/>
          <w:bCs w:val="1"/>
          <w:color w:val="auto"/>
        </w:rPr>
        <w:t>$0.4B Reduction</w:t>
      </w:r>
    </w:p>
    <w:p>
      <w:pPr>
        <w:sectPr>
          <w:pgSz w:w="11900" w:h="16838" w:orient="portrait"/>
          <w:cols w:equalWidth="0" w:num="1">
            <w:col w:w="10440"/>
          </w:cols>
          <w:pgMar w:left="680" w:top="613"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Q2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Q3 2010</w:t>
      </w:r>
    </w:p>
    <w:p>
      <w:pPr>
        <w:spacing w:after="0" w:line="118" w:lineRule="exact"/>
        <w:rPr>
          <w:sz w:val="20"/>
          <w:szCs w:val="20"/>
          <w:color w:val="auto"/>
        </w:rPr>
      </w:pPr>
    </w:p>
    <w:p>
      <w:pPr>
        <w:sectPr>
          <w:pgSz w:w="11900" w:h="16838" w:orient="portrait"/>
          <w:cols w:equalWidth="0" w:num="2">
            <w:col w:w="8240" w:space="720"/>
            <w:col w:w="1480"/>
          </w:cols>
          <w:pgMar w:left="680" w:top="613" w:right="779" w:bottom="1440" w:gutter="0" w:footer="0" w:header="0"/>
          <w:type w:val="continuous"/>
        </w:sectPr>
      </w:pPr>
    </w:p>
    <w:p>
      <w:pPr>
        <w:ind w:left="320"/>
        <w:spacing w:after="0"/>
        <w:rPr>
          <w:sz w:val="20"/>
          <w:szCs w:val="20"/>
          <w:color w:val="auto"/>
        </w:rPr>
      </w:pPr>
      <w:r>
        <w:rPr>
          <w:rFonts w:ascii="Arial" w:cs="Arial" w:eastAsia="Arial" w:hAnsi="Arial"/>
          <w:sz w:val="28"/>
          <w:szCs w:val="28"/>
          <w:b w:val="1"/>
          <w:bCs w:val="1"/>
          <w:color w:val="auto"/>
        </w:rPr>
        <w:t>EBIT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EBIT</w:t>
      </w:r>
    </w:p>
    <w:p>
      <w:pPr>
        <w:spacing w:after="0" w:line="200" w:lineRule="exact"/>
        <w:rPr>
          <w:sz w:val="20"/>
          <w:szCs w:val="20"/>
          <w:color w:val="auto"/>
        </w:rPr>
      </w:pPr>
    </w:p>
    <w:p>
      <w:pPr>
        <w:sectPr>
          <w:pgSz w:w="11900" w:h="16838" w:orient="portrait"/>
          <w:cols w:equalWidth="0" w:num="2">
            <w:col w:w="8460" w:space="720"/>
            <w:col w:w="1260"/>
          </w:cols>
          <w:pgMar w:left="680" w:top="613"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14</w:t>
      </w:r>
    </w:p>
    <w:p>
      <w:pPr>
        <w:sectPr>
          <w:pgSz w:w="11900" w:h="16838" w:orient="portrait"/>
          <w:cols w:equalWidth="0" w:num="1">
            <w:col w:w="10440"/>
          </w:cols>
          <w:pgMar w:left="680" w:top="613" w:right="779" w:bottom="1440" w:gutter="0" w:footer="0" w:header="0"/>
          <w:type w:val="continuous"/>
        </w:sectPr>
      </w:pPr>
    </w:p>
    <w:bookmarkStart w:id="19" w:name="page20"/>
    <w:bookmarkEnd w:id="19"/>
    <w:p>
      <w:pPr>
        <w:ind w:left="9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GMIO Deliveries</w:t>
      </w: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32"/>
          <w:szCs w:val="32"/>
          <w:b w:val="1"/>
          <w:bCs w:val="1"/>
          <w:color w:val="auto"/>
        </w:rPr>
        <w:t>(000’s)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140"/>
        <w:spacing w:after="0"/>
        <w:rPr>
          <w:sz w:val="20"/>
          <w:szCs w:val="20"/>
          <w:color w:val="auto"/>
        </w:rPr>
      </w:pPr>
      <w:r>
        <w:rPr>
          <w:rFonts w:ascii="Arial" w:cs="Arial" w:eastAsia="Arial" w:hAnsi="Arial"/>
          <w:sz w:val="25"/>
          <w:szCs w:val="25"/>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140"/>
        <w:spacing w:after="0"/>
        <w:rPr>
          <w:sz w:val="20"/>
          <w:szCs w:val="20"/>
          <w:color w:val="auto"/>
        </w:rPr>
      </w:pPr>
      <w:r>
        <w:rPr>
          <w:rFonts w:ascii="Arial" w:cs="Arial" w:eastAsia="Arial" w:hAnsi="Arial"/>
          <w:sz w:val="24"/>
          <w:szCs w:val="24"/>
          <w:b w:val="1"/>
          <w:bCs w:val="1"/>
          <w:color w:val="auto"/>
        </w:rPr>
        <w:t>GMIO Excl.</w:t>
      </w:r>
    </w:p>
    <w:p>
      <w:pPr>
        <w:spacing w:after="0" w:line="52" w:lineRule="exact"/>
        <w:rPr>
          <w:sz w:val="20"/>
          <w:szCs w:val="20"/>
          <w:color w:val="auto"/>
        </w:rPr>
      </w:pPr>
    </w:p>
    <w:p>
      <w:pPr>
        <w:ind w:left="9140"/>
        <w:spacing w:after="0"/>
        <w:rPr>
          <w:sz w:val="20"/>
          <w:szCs w:val="20"/>
          <w:color w:val="auto"/>
        </w:rPr>
      </w:pPr>
      <w:r>
        <w:rPr>
          <w:rFonts w:ascii="Arial" w:cs="Arial" w:eastAsia="Arial" w:hAnsi="Arial"/>
          <w:sz w:val="25"/>
          <w:szCs w:val="25"/>
          <w:b w:val="1"/>
          <w:bCs w:val="1"/>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20" w:type="dxa"/>
            <w:vAlign w:val="bottom"/>
          </w:tcPr>
          <w:p>
            <w:pPr>
              <w:spacing w:after="0"/>
              <w:rPr>
                <w:sz w:val="20"/>
                <w:szCs w:val="20"/>
                <w:color w:val="auto"/>
              </w:rPr>
            </w:pPr>
            <w:r>
              <w:rPr>
                <w:rFonts w:ascii="Arial" w:cs="Arial" w:eastAsia="Arial" w:hAnsi="Arial"/>
                <w:sz w:val="25"/>
                <w:szCs w:val="25"/>
                <w:b w:val="1"/>
                <w:bCs w:val="1"/>
                <w:color w:val="auto"/>
              </w:rPr>
              <w:t>GMIO Share</w:t>
            </w:r>
          </w:p>
        </w:tc>
        <w:tc>
          <w:tcPr>
            <w:tcW w:w="2260" w:type="dxa"/>
            <w:vAlign w:val="bottom"/>
          </w:tcPr>
          <w:p>
            <w:pPr>
              <w:jc w:val="right"/>
              <w:ind w:right="835"/>
              <w:spacing w:after="0"/>
              <w:rPr>
                <w:sz w:val="20"/>
                <w:szCs w:val="20"/>
                <w:color w:val="auto"/>
              </w:rPr>
            </w:pPr>
            <w:r>
              <w:rPr>
                <w:rFonts w:ascii="Arial" w:cs="Arial" w:eastAsia="Arial" w:hAnsi="Arial"/>
                <w:sz w:val="25"/>
                <w:szCs w:val="25"/>
                <w:b w:val="1"/>
                <w:bCs w:val="1"/>
                <w:color w:val="auto"/>
              </w:rPr>
              <w:t>10.2%</w:t>
            </w:r>
          </w:p>
        </w:tc>
        <w:tc>
          <w:tcPr>
            <w:tcW w:w="2660" w:type="dxa"/>
            <w:vAlign w:val="bottom"/>
          </w:tcPr>
          <w:p>
            <w:pPr>
              <w:jc w:val="right"/>
              <w:ind w:right="855"/>
              <w:spacing w:after="0"/>
              <w:rPr>
                <w:sz w:val="20"/>
                <w:szCs w:val="20"/>
                <w:color w:val="auto"/>
              </w:rPr>
            </w:pPr>
            <w:r>
              <w:rPr>
                <w:rFonts w:ascii="Arial" w:cs="Arial" w:eastAsia="Arial" w:hAnsi="Arial"/>
                <w:sz w:val="25"/>
                <w:szCs w:val="25"/>
                <w:b w:val="1"/>
                <w:bCs w:val="1"/>
                <w:color w:val="auto"/>
              </w:rPr>
              <w:t>10.3%</w:t>
            </w:r>
          </w:p>
        </w:tc>
        <w:tc>
          <w:tcPr>
            <w:tcW w:w="1680" w:type="dxa"/>
            <w:vAlign w:val="bottom"/>
          </w:tcPr>
          <w:p>
            <w:pPr>
              <w:jc w:val="right"/>
              <w:spacing w:after="0"/>
              <w:rPr>
                <w:sz w:val="20"/>
                <w:szCs w:val="20"/>
                <w:color w:val="auto"/>
              </w:rPr>
            </w:pPr>
            <w:r>
              <w:rPr>
                <w:rFonts w:ascii="Arial" w:cs="Arial" w:eastAsia="Arial" w:hAnsi="Arial"/>
                <w:sz w:val="25"/>
                <w:szCs w:val="25"/>
                <w:b w:val="1"/>
                <w:bCs w:val="1"/>
                <w:color w:val="auto"/>
              </w:rPr>
              <w:t>10.3%</w:t>
            </w:r>
          </w:p>
        </w:tc>
      </w:tr>
      <w:tr>
        <w:trPr>
          <w:trHeight w:val="464"/>
        </w:trPr>
        <w:tc>
          <w:tcPr>
            <w:tcW w:w="2020" w:type="dxa"/>
            <w:vAlign w:val="bottom"/>
          </w:tcPr>
          <w:p>
            <w:pPr>
              <w:spacing w:after="0"/>
              <w:rPr>
                <w:sz w:val="20"/>
                <w:szCs w:val="20"/>
                <w:color w:val="auto"/>
              </w:rPr>
            </w:pPr>
            <w:r>
              <w:rPr>
                <w:rFonts w:ascii="Arial" w:cs="Arial" w:eastAsia="Arial" w:hAnsi="Arial"/>
                <w:sz w:val="25"/>
                <w:szCs w:val="25"/>
                <w:color w:val="auto"/>
              </w:rPr>
              <w:t>China Share</w:t>
            </w:r>
          </w:p>
        </w:tc>
        <w:tc>
          <w:tcPr>
            <w:tcW w:w="2260" w:type="dxa"/>
            <w:vAlign w:val="bottom"/>
          </w:tcPr>
          <w:p>
            <w:pPr>
              <w:jc w:val="center"/>
              <w:ind w:right="275"/>
              <w:spacing w:after="0"/>
              <w:rPr>
                <w:sz w:val="20"/>
                <w:szCs w:val="20"/>
                <w:color w:val="auto"/>
              </w:rPr>
            </w:pPr>
            <w:r>
              <w:rPr>
                <w:rFonts w:ascii="Arial" w:cs="Arial" w:eastAsia="Arial" w:hAnsi="Arial"/>
                <w:sz w:val="25"/>
                <w:szCs w:val="25"/>
                <w:color w:val="auto"/>
                <w:w w:val="98"/>
              </w:rPr>
              <w:t>13.3%</w:t>
            </w:r>
          </w:p>
        </w:tc>
        <w:tc>
          <w:tcPr>
            <w:tcW w:w="2660" w:type="dxa"/>
            <w:vAlign w:val="bottom"/>
          </w:tcPr>
          <w:p>
            <w:pPr>
              <w:jc w:val="center"/>
              <w:spacing w:after="0"/>
              <w:rPr>
                <w:sz w:val="20"/>
                <w:szCs w:val="20"/>
                <w:color w:val="auto"/>
              </w:rPr>
            </w:pPr>
            <w:r>
              <w:rPr>
                <w:rFonts w:ascii="Arial" w:cs="Arial" w:eastAsia="Arial" w:hAnsi="Arial"/>
                <w:sz w:val="25"/>
                <w:szCs w:val="25"/>
                <w:color w:val="auto"/>
              </w:rPr>
              <w:t>13.1%</w:t>
            </w:r>
          </w:p>
        </w:tc>
        <w:tc>
          <w:tcPr>
            <w:tcW w:w="1680" w:type="dxa"/>
            <w:vAlign w:val="bottom"/>
          </w:tcPr>
          <w:p>
            <w:pPr>
              <w:jc w:val="center"/>
              <w:ind w:left="815"/>
              <w:spacing w:after="0"/>
              <w:rPr>
                <w:sz w:val="20"/>
                <w:szCs w:val="20"/>
                <w:color w:val="auto"/>
              </w:rPr>
            </w:pPr>
            <w:r>
              <w:rPr>
                <w:rFonts w:ascii="Arial" w:cs="Arial" w:eastAsia="Arial" w:hAnsi="Arial"/>
                <w:sz w:val="25"/>
                <w:szCs w:val="25"/>
                <w:color w:val="auto"/>
                <w:w w:val="98"/>
              </w:rPr>
              <w:t>13.6%</w:t>
            </w:r>
          </w:p>
        </w:tc>
      </w:tr>
      <w:tr>
        <w:trPr>
          <w:trHeight w:val="464"/>
        </w:trPr>
        <w:tc>
          <w:tcPr>
            <w:tcW w:w="2020" w:type="dxa"/>
            <w:vAlign w:val="bottom"/>
          </w:tcPr>
          <w:p>
            <w:pPr>
              <w:spacing w:after="0"/>
              <w:rPr>
                <w:sz w:val="20"/>
                <w:szCs w:val="20"/>
                <w:color w:val="auto"/>
              </w:rPr>
            </w:pPr>
            <w:r>
              <w:rPr>
                <w:rFonts w:ascii="Arial" w:cs="Arial" w:eastAsia="Arial" w:hAnsi="Arial"/>
                <w:sz w:val="25"/>
                <w:szCs w:val="25"/>
                <w:color w:val="auto"/>
              </w:rPr>
              <w:t>Brazil Share</w:t>
            </w:r>
          </w:p>
        </w:tc>
        <w:tc>
          <w:tcPr>
            <w:tcW w:w="2260" w:type="dxa"/>
            <w:vAlign w:val="bottom"/>
          </w:tcPr>
          <w:p>
            <w:pPr>
              <w:jc w:val="center"/>
              <w:ind w:right="275"/>
              <w:spacing w:after="0"/>
              <w:rPr>
                <w:sz w:val="20"/>
                <w:szCs w:val="20"/>
                <w:color w:val="auto"/>
              </w:rPr>
            </w:pPr>
            <w:r>
              <w:rPr>
                <w:rFonts w:ascii="Arial" w:cs="Arial" w:eastAsia="Arial" w:hAnsi="Arial"/>
                <w:sz w:val="25"/>
                <w:szCs w:val="25"/>
                <w:color w:val="auto"/>
                <w:w w:val="98"/>
              </w:rPr>
              <w:t>19.9%</w:t>
            </w:r>
          </w:p>
        </w:tc>
        <w:tc>
          <w:tcPr>
            <w:tcW w:w="2660" w:type="dxa"/>
            <w:vAlign w:val="bottom"/>
          </w:tcPr>
          <w:p>
            <w:pPr>
              <w:jc w:val="center"/>
              <w:spacing w:after="0"/>
              <w:rPr>
                <w:sz w:val="20"/>
                <w:szCs w:val="20"/>
                <w:color w:val="auto"/>
              </w:rPr>
            </w:pPr>
            <w:r>
              <w:rPr>
                <w:rFonts w:ascii="Arial" w:cs="Arial" w:eastAsia="Arial" w:hAnsi="Arial"/>
                <w:sz w:val="25"/>
                <w:szCs w:val="25"/>
                <w:color w:val="auto"/>
              </w:rPr>
              <w:t>18.4%</w:t>
            </w:r>
          </w:p>
        </w:tc>
        <w:tc>
          <w:tcPr>
            <w:tcW w:w="1680" w:type="dxa"/>
            <w:vAlign w:val="bottom"/>
          </w:tcPr>
          <w:p>
            <w:pPr>
              <w:jc w:val="center"/>
              <w:ind w:left="815"/>
              <w:spacing w:after="0"/>
              <w:rPr>
                <w:sz w:val="20"/>
                <w:szCs w:val="20"/>
                <w:color w:val="auto"/>
              </w:rPr>
            </w:pPr>
            <w:r>
              <w:rPr>
                <w:rFonts w:ascii="Arial" w:cs="Arial" w:eastAsia="Arial" w:hAnsi="Arial"/>
                <w:sz w:val="25"/>
                <w:szCs w:val="25"/>
                <w:color w:val="auto"/>
                <w:w w:val="98"/>
              </w:rPr>
              <w:t>18.3%</w:t>
            </w:r>
          </w:p>
        </w:tc>
      </w:tr>
      <w:tr>
        <w:trPr>
          <w:trHeight w:val="464"/>
        </w:trPr>
        <w:tc>
          <w:tcPr>
            <w:tcW w:w="2020" w:type="dxa"/>
            <w:vAlign w:val="bottom"/>
          </w:tcPr>
          <w:p>
            <w:pPr>
              <w:spacing w:after="0"/>
              <w:rPr>
                <w:sz w:val="20"/>
                <w:szCs w:val="20"/>
                <w:color w:val="auto"/>
              </w:rPr>
            </w:pPr>
            <w:r>
              <w:rPr>
                <w:rFonts w:ascii="Arial" w:cs="Arial" w:eastAsia="Arial" w:hAnsi="Arial"/>
                <w:sz w:val="25"/>
                <w:szCs w:val="25"/>
                <w:color w:val="auto"/>
              </w:rPr>
              <w:t>India Share</w:t>
            </w:r>
          </w:p>
        </w:tc>
        <w:tc>
          <w:tcPr>
            <w:tcW w:w="2260" w:type="dxa"/>
            <w:vAlign w:val="bottom"/>
          </w:tcPr>
          <w:p>
            <w:pPr>
              <w:jc w:val="center"/>
              <w:ind w:right="275"/>
              <w:spacing w:after="0"/>
              <w:rPr>
                <w:sz w:val="20"/>
                <w:szCs w:val="20"/>
                <w:color w:val="auto"/>
              </w:rPr>
            </w:pPr>
            <w:r>
              <w:rPr>
                <w:rFonts w:ascii="Arial" w:cs="Arial" w:eastAsia="Arial" w:hAnsi="Arial"/>
                <w:sz w:val="25"/>
                <w:szCs w:val="25"/>
                <w:color w:val="auto"/>
              </w:rPr>
              <w:t>4.2%</w:t>
            </w:r>
          </w:p>
        </w:tc>
        <w:tc>
          <w:tcPr>
            <w:tcW w:w="2660" w:type="dxa"/>
            <w:vAlign w:val="bottom"/>
          </w:tcPr>
          <w:p>
            <w:pPr>
              <w:jc w:val="center"/>
              <w:spacing w:after="0"/>
              <w:rPr>
                <w:sz w:val="20"/>
                <w:szCs w:val="20"/>
                <w:color w:val="auto"/>
              </w:rPr>
            </w:pPr>
            <w:r>
              <w:rPr>
                <w:rFonts w:ascii="Arial" w:cs="Arial" w:eastAsia="Arial" w:hAnsi="Arial"/>
                <w:sz w:val="25"/>
                <w:szCs w:val="25"/>
                <w:color w:val="auto"/>
                <w:w w:val="98"/>
              </w:rPr>
              <w:t>4.0%</w:t>
            </w:r>
          </w:p>
        </w:tc>
        <w:tc>
          <w:tcPr>
            <w:tcW w:w="1680" w:type="dxa"/>
            <w:vAlign w:val="bottom"/>
          </w:tcPr>
          <w:p>
            <w:pPr>
              <w:jc w:val="center"/>
              <w:ind w:left="835"/>
              <w:spacing w:after="0"/>
              <w:rPr>
                <w:sz w:val="20"/>
                <w:szCs w:val="20"/>
                <w:color w:val="auto"/>
              </w:rPr>
            </w:pPr>
            <w:r>
              <w:rPr>
                <w:rFonts w:ascii="Arial" w:cs="Arial" w:eastAsia="Arial" w:hAnsi="Arial"/>
                <w:sz w:val="25"/>
                <w:szCs w:val="25"/>
                <w:color w:val="auto"/>
                <w:w w:val="98"/>
              </w:rPr>
              <w:t>3.0%</w:t>
            </w:r>
          </w:p>
        </w:tc>
      </w:tr>
    </w:tbl>
    <w:p>
      <w:pPr>
        <w:spacing w:after="0" w:line="229" w:lineRule="exact"/>
        <w:rPr>
          <w:sz w:val="20"/>
          <w:szCs w:val="20"/>
          <w:color w:val="auto"/>
        </w:rPr>
      </w:pPr>
    </w:p>
    <w:p>
      <w:pPr>
        <w:ind w:left="10080"/>
        <w:spacing w:after="0"/>
        <w:rPr>
          <w:sz w:val="20"/>
          <w:szCs w:val="20"/>
          <w:color w:val="auto"/>
        </w:rPr>
      </w:pPr>
      <w:r>
        <w:rPr>
          <w:rFonts w:ascii="Arial" w:cs="Arial" w:eastAsia="Arial" w:hAnsi="Arial"/>
          <w:sz w:val="25"/>
          <w:szCs w:val="25"/>
          <w:b w:val="1"/>
          <w:bCs w:val="1"/>
          <w:color w:val="auto"/>
        </w:rPr>
        <w:t>15</w:t>
      </w:r>
    </w:p>
    <w:p>
      <w:pPr>
        <w:sectPr>
          <w:pgSz w:w="11900" w:h="16838" w:orient="portrait"/>
          <w:cols w:equalWidth="0" w:num="1">
            <w:col w:w="10460"/>
          </w:cols>
          <w:pgMar w:left="620" w:top="613" w:right="819" w:bottom="1440" w:gutter="0" w:footer="0" w:header="0"/>
        </w:sectPr>
      </w:pPr>
    </w:p>
    <w:bookmarkStart w:id="20" w:name="page21"/>
    <w:bookmarkEnd w:id="20"/>
    <w:p>
      <w:pPr>
        <w:ind w:left="11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GMIO Net Revenue</w:t>
      </w:r>
    </w:p>
    <w:p>
      <w:pPr>
        <w:spacing w:after="0" w:line="379"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620" w:type="dxa"/>
            <w:vAlign w:val="bottom"/>
          </w:tcPr>
          <w:p>
            <w:pPr>
              <w:spacing w:after="0"/>
              <w:rPr>
                <w:sz w:val="20"/>
                <w:szCs w:val="20"/>
                <w:color w:val="auto"/>
              </w:rPr>
            </w:pPr>
            <w:r>
              <w:rPr>
                <w:rFonts w:ascii="Arial" w:cs="Arial" w:eastAsia="Arial" w:hAnsi="Arial"/>
                <w:sz w:val="25"/>
                <w:szCs w:val="25"/>
                <w:b w:val="1"/>
                <w:bCs w:val="1"/>
                <w:color w:val="auto"/>
              </w:rPr>
              <w:t>Production (000’s)</w:t>
            </w:r>
          </w:p>
        </w:tc>
        <w:tc>
          <w:tcPr>
            <w:tcW w:w="2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64"/>
        </w:trPr>
        <w:tc>
          <w:tcPr>
            <w:tcW w:w="2620" w:type="dxa"/>
            <w:vAlign w:val="bottom"/>
          </w:tcPr>
          <w:p>
            <w:pPr>
              <w:ind w:left="80"/>
              <w:spacing w:after="0"/>
              <w:rPr>
                <w:sz w:val="20"/>
                <w:szCs w:val="20"/>
                <w:color w:val="auto"/>
              </w:rPr>
            </w:pPr>
            <w:r>
              <w:rPr>
                <w:rFonts w:ascii="Arial" w:cs="Arial" w:eastAsia="Arial" w:hAnsi="Arial"/>
                <w:sz w:val="25"/>
                <w:szCs w:val="25"/>
                <w:b w:val="1"/>
                <w:bCs w:val="1"/>
                <w:color w:val="auto"/>
              </w:rPr>
              <w:t>Fully Consolidated</w:t>
            </w:r>
          </w:p>
        </w:tc>
        <w:tc>
          <w:tcPr>
            <w:tcW w:w="2000" w:type="dxa"/>
            <w:vAlign w:val="bottom"/>
          </w:tcPr>
          <w:p>
            <w:pPr>
              <w:jc w:val="center"/>
              <w:ind w:right="615"/>
              <w:spacing w:after="0"/>
              <w:rPr>
                <w:sz w:val="20"/>
                <w:szCs w:val="20"/>
                <w:color w:val="auto"/>
              </w:rPr>
            </w:pPr>
            <w:r>
              <w:rPr>
                <w:rFonts w:ascii="Arial" w:cs="Arial" w:eastAsia="Arial" w:hAnsi="Arial"/>
                <w:sz w:val="25"/>
                <w:szCs w:val="25"/>
                <w:b w:val="1"/>
                <w:bCs w:val="1"/>
                <w:color w:val="auto"/>
              </w:rPr>
              <w:t>458</w:t>
            </w:r>
          </w:p>
        </w:tc>
        <w:tc>
          <w:tcPr>
            <w:tcW w:w="2740" w:type="dxa"/>
            <w:vAlign w:val="bottom"/>
          </w:tcPr>
          <w:p>
            <w:pPr>
              <w:jc w:val="center"/>
              <w:spacing w:after="0"/>
              <w:rPr>
                <w:sz w:val="20"/>
                <w:szCs w:val="20"/>
                <w:color w:val="auto"/>
              </w:rPr>
            </w:pPr>
            <w:r>
              <w:rPr>
                <w:rFonts w:ascii="Arial" w:cs="Arial" w:eastAsia="Arial" w:hAnsi="Arial"/>
                <w:sz w:val="25"/>
                <w:szCs w:val="25"/>
                <w:b w:val="1"/>
                <w:bCs w:val="1"/>
                <w:color w:val="auto"/>
              </w:rPr>
              <w:t>498</w:t>
            </w:r>
          </w:p>
        </w:tc>
        <w:tc>
          <w:tcPr>
            <w:tcW w:w="1680" w:type="dxa"/>
            <w:vAlign w:val="bottom"/>
          </w:tcPr>
          <w:p>
            <w:pPr>
              <w:jc w:val="center"/>
              <w:ind w:left="935"/>
              <w:spacing w:after="0"/>
              <w:rPr>
                <w:sz w:val="20"/>
                <w:szCs w:val="20"/>
                <w:color w:val="auto"/>
              </w:rPr>
            </w:pPr>
            <w:r>
              <w:rPr>
                <w:rFonts w:ascii="Arial" w:cs="Arial" w:eastAsia="Arial" w:hAnsi="Arial"/>
                <w:sz w:val="25"/>
                <w:szCs w:val="25"/>
                <w:b w:val="1"/>
                <w:bCs w:val="1"/>
                <w:color w:val="auto"/>
              </w:rPr>
              <w:t>480</w:t>
            </w:r>
          </w:p>
        </w:tc>
      </w:tr>
      <w:tr>
        <w:trPr>
          <w:trHeight w:val="428"/>
        </w:trPr>
        <w:tc>
          <w:tcPr>
            <w:tcW w:w="2620" w:type="dxa"/>
            <w:vAlign w:val="bottom"/>
          </w:tcPr>
          <w:p>
            <w:pPr>
              <w:ind w:left="80"/>
              <w:spacing w:after="0"/>
              <w:rPr>
                <w:sz w:val="20"/>
                <w:szCs w:val="20"/>
                <w:color w:val="auto"/>
              </w:rPr>
            </w:pPr>
            <w:r>
              <w:rPr>
                <w:rFonts w:ascii="Arial" w:cs="Arial" w:eastAsia="Arial" w:hAnsi="Arial"/>
                <w:sz w:val="25"/>
                <w:szCs w:val="25"/>
                <w:b w:val="1"/>
                <w:bCs w:val="1"/>
                <w:color w:val="auto"/>
              </w:rPr>
              <w:t>Joint Venture</w:t>
            </w:r>
          </w:p>
        </w:tc>
        <w:tc>
          <w:tcPr>
            <w:tcW w:w="2000" w:type="dxa"/>
            <w:vAlign w:val="bottom"/>
          </w:tcPr>
          <w:p>
            <w:pPr>
              <w:jc w:val="center"/>
              <w:ind w:right="615"/>
              <w:spacing w:after="0"/>
              <w:rPr>
                <w:sz w:val="20"/>
                <w:szCs w:val="20"/>
                <w:color w:val="auto"/>
              </w:rPr>
            </w:pPr>
            <w:r>
              <w:rPr>
                <w:rFonts w:ascii="Arial" w:cs="Arial" w:eastAsia="Arial" w:hAnsi="Arial"/>
                <w:sz w:val="25"/>
                <w:szCs w:val="25"/>
                <w:b w:val="1"/>
                <w:bCs w:val="1"/>
                <w:color w:val="auto"/>
              </w:rPr>
              <w:t>654</w:t>
            </w:r>
          </w:p>
        </w:tc>
        <w:tc>
          <w:tcPr>
            <w:tcW w:w="2740" w:type="dxa"/>
            <w:vAlign w:val="bottom"/>
          </w:tcPr>
          <w:p>
            <w:pPr>
              <w:jc w:val="center"/>
              <w:spacing w:after="0"/>
              <w:rPr>
                <w:sz w:val="20"/>
                <w:szCs w:val="20"/>
                <w:color w:val="auto"/>
              </w:rPr>
            </w:pPr>
            <w:r>
              <w:rPr>
                <w:rFonts w:ascii="Arial" w:cs="Arial" w:eastAsia="Arial" w:hAnsi="Arial"/>
                <w:sz w:val="25"/>
                <w:szCs w:val="25"/>
                <w:b w:val="1"/>
                <w:bCs w:val="1"/>
                <w:color w:val="auto"/>
              </w:rPr>
              <w:t>697</w:t>
            </w:r>
          </w:p>
        </w:tc>
        <w:tc>
          <w:tcPr>
            <w:tcW w:w="1680" w:type="dxa"/>
            <w:vAlign w:val="bottom"/>
          </w:tcPr>
          <w:p>
            <w:pPr>
              <w:jc w:val="center"/>
              <w:ind w:left="935"/>
              <w:spacing w:after="0"/>
              <w:rPr>
                <w:sz w:val="20"/>
                <w:szCs w:val="20"/>
                <w:color w:val="auto"/>
              </w:rPr>
            </w:pPr>
            <w:r>
              <w:rPr>
                <w:rFonts w:ascii="Arial" w:cs="Arial" w:eastAsia="Arial" w:hAnsi="Arial"/>
                <w:sz w:val="25"/>
                <w:szCs w:val="25"/>
                <w:b w:val="1"/>
                <w:bCs w:val="1"/>
                <w:color w:val="auto"/>
              </w:rPr>
              <w:t>631</w:t>
            </w:r>
          </w:p>
        </w:tc>
      </w:tr>
      <w:tr>
        <w:trPr>
          <w:trHeight w:val="417"/>
        </w:trPr>
        <w:tc>
          <w:tcPr>
            <w:tcW w:w="2620" w:type="dxa"/>
            <w:vAlign w:val="bottom"/>
          </w:tcPr>
          <w:p>
            <w:pPr>
              <w:ind w:left="300"/>
              <w:spacing w:after="0"/>
              <w:rPr>
                <w:sz w:val="20"/>
                <w:szCs w:val="20"/>
                <w:color w:val="auto"/>
              </w:rPr>
            </w:pPr>
            <w:r>
              <w:rPr>
                <w:rFonts w:ascii="Arial" w:cs="Arial" w:eastAsia="Arial" w:hAnsi="Arial"/>
                <w:sz w:val="25"/>
                <w:szCs w:val="25"/>
                <w:b w:val="1"/>
                <w:bCs w:val="1"/>
                <w:color w:val="auto"/>
              </w:rPr>
              <w:t>Total</w:t>
            </w:r>
          </w:p>
        </w:tc>
        <w:tc>
          <w:tcPr>
            <w:tcW w:w="2000" w:type="dxa"/>
            <w:vAlign w:val="bottom"/>
          </w:tcPr>
          <w:p>
            <w:pPr>
              <w:jc w:val="center"/>
              <w:ind w:right="615"/>
              <w:spacing w:after="0"/>
              <w:rPr>
                <w:sz w:val="20"/>
                <w:szCs w:val="20"/>
                <w:color w:val="auto"/>
              </w:rPr>
            </w:pPr>
            <w:r>
              <w:rPr>
                <w:rFonts w:ascii="Arial" w:cs="Arial" w:eastAsia="Arial" w:hAnsi="Arial"/>
                <w:sz w:val="25"/>
                <w:szCs w:val="25"/>
                <w:b w:val="1"/>
                <w:bCs w:val="1"/>
                <w:color w:val="auto"/>
                <w:w w:val="99"/>
              </w:rPr>
              <w:t>1,112</w:t>
            </w:r>
          </w:p>
        </w:tc>
        <w:tc>
          <w:tcPr>
            <w:tcW w:w="2740" w:type="dxa"/>
            <w:vAlign w:val="bottom"/>
          </w:tcPr>
          <w:p>
            <w:pPr>
              <w:jc w:val="center"/>
              <w:spacing w:after="0"/>
              <w:rPr>
                <w:sz w:val="20"/>
                <w:szCs w:val="20"/>
                <w:color w:val="auto"/>
              </w:rPr>
            </w:pPr>
            <w:r>
              <w:rPr>
                <w:rFonts w:ascii="Arial" w:cs="Arial" w:eastAsia="Arial" w:hAnsi="Arial"/>
                <w:sz w:val="25"/>
                <w:szCs w:val="25"/>
                <w:b w:val="1"/>
                <w:bCs w:val="1"/>
                <w:color w:val="auto"/>
                <w:w w:val="99"/>
              </w:rPr>
              <w:t>1,195</w:t>
            </w:r>
          </w:p>
        </w:tc>
        <w:tc>
          <w:tcPr>
            <w:tcW w:w="1680" w:type="dxa"/>
            <w:vAlign w:val="bottom"/>
          </w:tcPr>
          <w:p>
            <w:pPr>
              <w:jc w:val="center"/>
              <w:ind w:left="935"/>
              <w:spacing w:after="0"/>
              <w:rPr>
                <w:sz w:val="20"/>
                <w:szCs w:val="20"/>
                <w:color w:val="auto"/>
              </w:rPr>
            </w:pPr>
            <w:r>
              <w:rPr>
                <w:rFonts w:ascii="Arial" w:cs="Arial" w:eastAsia="Arial" w:hAnsi="Arial"/>
                <w:sz w:val="25"/>
                <w:szCs w:val="25"/>
                <w:b w:val="1"/>
                <w:bCs w:val="1"/>
                <w:color w:val="auto"/>
                <w:w w:val="99"/>
              </w:rPr>
              <w:t>1,111</w:t>
            </w:r>
          </w:p>
        </w:tc>
      </w:tr>
    </w:tbl>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16</w:t>
      </w:r>
    </w:p>
    <w:p>
      <w:pPr>
        <w:sectPr>
          <w:pgSz w:w="11900" w:h="16838" w:orient="portrait"/>
          <w:cols w:equalWidth="0" w:num="1">
            <w:col w:w="10540"/>
          </w:cols>
          <w:pgMar w:left="480" w:top="613" w:right="879" w:bottom="1440" w:gutter="0" w:footer="0" w:header="0"/>
        </w:sectPr>
      </w:pPr>
    </w:p>
    <w:bookmarkStart w:id="21" w:name="page22"/>
    <w:bookmarkEnd w:id="21"/>
    <w:p>
      <w:pPr>
        <w:ind w:left="1160"/>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2010 GMIO Earnings Before Interest &amp; Taxes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60"/>
        <w:spacing w:after="0"/>
        <w:rPr>
          <w:sz w:val="20"/>
          <w:szCs w:val="20"/>
          <w:color w:val="auto"/>
        </w:rPr>
      </w:pPr>
      <w:r>
        <w:rPr>
          <w:rFonts w:ascii="Arial" w:cs="Arial" w:eastAsia="Arial" w:hAnsi="Arial"/>
          <w:sz w:val="32"/>
          <w:szCs w:val="32"/>
          <w:b w:val="1"/>
          <w:bCs w:val="1"/>
          <w:color w:val="auto"/>
        </w:rPr>
        <w:t>1.2</w:t>
      </w:r>
    </w:p>
    <w:p>
      <w:pPr>
        <w:spacing w:after="0" w:line="156" w:lineRule="exact"/>
        <w:rPr>
          <w:sz w:val="20"/>
          <w:szCs w:val="20"/>
          <w:color w:val="auto"/>
        </w:rPr>
      </w:pPr>
    </w:p>
    <w:tbl>
      <w:tblPr>
        <w:tblLayout w:type="fixed"/>
        <w:tblInd w:w="5120" w:type="dxa"/>
        <w:tblCellMar>
          <w:top w:w="0" w:type="dxa"/>
          <w:left w:w="0" w:type="dxa"/>
          <w:bottom w:w="0" w:type="dxa"/>
          <w:right w:w="0" w:type="dxa"/>
        </w:tblCellMar>
      </w:tblPr>
      <w:tr>
        <w:trPr>
          <w:trHeight w:val="427"/>
        </w:trPr>
        <w:tc>
          <w:tcPr>
            <w:tcW w:w="1720" w:type="dxa"/>
            <w:vAlign w:val="bottom"/>
          </w:tcPr>
          <w:p>
            <w:pPr>
              <w:jc w:val="right"/>
              <w:ind w:right="1099"/>
              <w:spacing w:after="0"/>
              <w:rPr>
                <w:sz w:val="20"/>
                <w:szCs w:val="20"/>
                <w:color w:val="auto"/>
              </w:rPr>
            </w:pPr>
            <w:r>
              <w:rPr>
                <w:rFonts w:ascii="Arial" w:cs="Arial" w:eastAsia="Arial" w:hAnsi="Arial"/>
                <w:sz w:val="32"/>
                <w:szCs w:val="32"/>
                <w:b w:val="1"/>
                <w:bCs w:val="1"/>
                <w:color w:val="auto"/>
                <w:w w:val="98"/>
              </w:rPr>
              <w:t>0.7</w:t>
            </w:r>
          </w:p>
        </w:tc>
        <w:tc>
          <w:tcPr>
            <w:tcW w:w="2060" w:type="dxa"/>
            <w:vAlign w:val="bottom"/>
            <w:vMerge w:val="restart"/>
          </w:tcPr>
          <w:p>
            <w:pPr>
              <w:jc w:val="right"/>
              <w:ind w:right="199"/>
              <w:spacing w:after="0"/>
              <w:rPr>
                <w:sz w:val="20"/>
                <w:szCs w:val="20"/>
                <w:color w:val="auto"/>
              </w:rPr>
            </w:pPr>
            <w:r>
              <w:rPr>
                <w:rFonts w:ascii="Arial" w:cs="Arial" w:eastAsia="Arial" w:hAnsi="Arial"/>
                <w:sz w:val="32"/>
                <w:szCs w:val="32"/>
                <w:b w:val="1"/>
                <w:bCs w:val="1"/>
                <w:color w:val="auto"/>
              </w:rPr>
              <w:t>0.6</w:t>
            </w:r>
          </w:p>
        </w:tc>
        <w:tc>
          <w:tcPr>
            <w:tcW w:w="1900" w:type="dxa"/>
            <w:vAlign w:val="bottom"/>
            <w:vMerge w:val="restart"/>
          </w:tcPr>
          <w:p>
            <w:pPr>
              <w:ind w:left="360"/>
              <w:spacing w:after="0"/>
              <w:rPr>
                <w:sz w:val="20"/>
                <w:szCs w:val="20"/>
                <w:color w:val="auto"/>
              </w:rPr>
            </w:pPr>
            <w:r>
              <w:rPr>
                <w:rFonts w:ascii="Arial" w:cs="Arial" w:eastAsia="Arial" w:hAnsi="Arial"/>
                <w:sz w:val="23"/>
                <w:szCs w:val="23"/>
                <w:b w:val="1"/>
                <w:bCs w:val="1"/>
                <w:color w:val="auto"/>
                <w:w w:val="96"/>
              </w:rPr>
              <w:t>Equity Income</w:t>
            </w: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280"/>
        <w:spacing w:after="0"/>
        <w:rPr>
          <w:sz w:val="20"/>
          <w:szCs w:val="20"/>
          <w:color w:val="auto"/>
        </w:rPr>
      </w:pPr>
      <w:r>
        <w:rPr>
          <w:rFonts w:ascii="Arial" w:cs="Arial" w:eastAsia="Arial" w:hAnsi="Arial"/>
          <w:sz w:val="23"/>
          <w:szCs w:val="23"/>
          <w:b w:val="1"/>
          <w:bCs w:val="1"/>
          <w:color w:val="auto"/>
        </w:rPr>
        <w:t>Inc. Before</w:t>
      </w:r>
    </w:p>
    <w:p>
      <w:pPr>
        <w:spacing w:after="0" w:line="25" w:lineRule="exact"/>
        <w:rPr>
          <w:sz w:val="20"/>
          <w:szCs w:val="20"/>
          <w:color w:val="auto"/>
        </w:rPr>
      </w:pPr>
    </w:p>
    <w:p>
      <w:pPr>
        <w:ind w:left="9280"/>
        <w:spacing w:after="0"/>
        <w:rPr>
          <w:sz w:val="20"/>
          <w:szCs w:val="20"/>
          <w:color w:val="auto"/>
        </w:rPr>
      </w:pPr>
      <w:r>
        <w:rPr>
          <w:rFonts w:ascii="Arial" w:cs="Arial" w:eastAsia="Arial" w:hAnsi="Arial"/>
          <w:sz w:val="23"/>
          <w:szCs w:val="23"/>
          <w:b w:val="1"/>
          <w:bCs w:val="1"/>
          <w:color w:val="auto"/>
        </w:rPr>
        <w:t>Int/Tax/Equity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60"/>
        <w:spacing w:after="0"/>
        <w:rPr>
          <w:sz w:val="20"/>
          <w:szCs w:val="20"/>
          <w:color w:val="auto"/>
        </w:rPr>
      </w:pPr>
      <w:r>
        <w:rPr>
          <w:rFonts w:ascii="Arial" w:cs="Arial" w:eastAsia="Arial" w:hAnsi="Arial"/>
          <w:sz w:val="25"/>
          <w:szCs w:val="25"/>
          <w:b w:val="1"/>
          <w:bCs w:val="1"/>
          <w:color w:val="auto"/>
        </w:rPr>
        <w:t>17</w:t>
      </w:r>
    </w:p>
    <w:p>
      <w:pPr>
        <w:sectPr>
          <w:pgSz w:w="11900" w:h="16838" w:orient="portrait"/>
          <w:cols w:equalWidth="0" w:num="1">
            <w:col w:w="10800"/>
          </w:cols>
          <w:pgMar w:left="440" w:top="650" w:right="659" w:bottom="1440" w:gutter="0" w:footer="0" w:header="0"/>
        </w:sectPr>
      </w:pPr>
    </w:p>
    <w:bookmarkStart w:id="22" w:name="page23"/>
    <w:bookmarkEnd w:id="22"/>
    <w:p>
      <w:pPr>
        <w:ind w:left="114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GMIO EBIT - Q2 2010 vs. Q3 2010</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$0.1B Reduction</w:t>
      </w:r>
    </w:p>
    <w:p>
      <w:pPr>
        <w:sectPr>
          <w:pgSz w:w="11900" w:h="16838" w:orient="portrait"/>
          <w:cols w:equalWidth="0" w:num="1">
            <w:col w:w="10540"/>
          </w:cols>
          <w:pgMar w:left="580" w:top="613"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Q2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Q3 2010</w:t>
      </w:r>
    </w:p>
    <w:p>
      <w:pPr>
        <w:spacing w:after="0" w:line="118" w:lineRule="exact"/>
        <w:rPr>
          <w:sz w:val="20"/>
          <w:szCs w:val="20"/>
          <w:color w:val="auto"/>
        </w:rPr>
      </w:pPr>
    </w:p>
    <w:p>
      <w:pPr>
        <w:sectPr>
          <w:pgSz w:w="11900" w:h="16838" w:orient="portrait"/>
          <w:cols w:equalWidth="0" w:num="2">
            <w:col w:w="8340" w:space="720"/>
            <w:col w:w="1480"/>
          </w:cols>
          <w:pgMar w:left="580" w:top="613" w:right="779" w:bottom="1440" w:gutter="0" w:footer="0" w:header="0"/>
          <w:type w:val="continuous"/>
        </w:sectPr>
      </w:pPr>
    </w:p>
    <w:p>
      <w:pPr>
        <w:ind w:left="420"/>
        <w:spacing w:after="0"/>
        <w:rPr>
          <w:sz w:val="20"/>
          <w:szCs w:val="20"/>
          <w:color w:val="auto"/>
        </w:rPr>
      </w:pPr>
      <w:r>
        <w:rPr>
          <w:rFonts w:ascii="Arial" w:cs="Arial" w:eastAsia="Arial" w:hAnsi="Arial"/>
          <w:sz w:val="28"/>
          <w:szCs w:val="28"/>
          <w:b w:val="1"/>
          <w:bCs w:val="1"/>
          <w:color w:val="auto"/>
        </w:rPr>
        <w:t>EBIT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EBIT</w:t>
      </w:r>
    </w:p>
    <w:p>
      <w:pPr>
        <w:spacing w:after="0" w:line="200" w:lineRule="exact"/>
        <w:rPr>
          <w:sz w:val="20"/>
          <w:szCs w:val="20"/>
          <w:color w:val="auto"/>
        </w:rPr>
      </w:pPr>
    </w:p>
    <w:p>
      <w:pPr>
        <w:sectPr>
          <w:pgSz w:w="11900" w:h="16838" w:orient="portrait"/>
          <w:cols w:equalWidth="0" w:num="2">
            <w:col w:w="8560" w:space="720"/>
            <w:col w:w="1260"/>
          </w:cols>
          <w:pgMar w:left="580" w:top="613"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18</w:t>
      </w:r>
    </w:p>
    <w:p>
      <w:pPr>
        <w:sectPr>
          <w:pgSz w:w="11900" w:h="16838" w:orient="portrait"/>
          <w:cols w:equalWidth="0" w:num="1">
            <w:col w:w="10540"/>
          </w:cols>
          <w:pgMar w:left="580" w:top="613" w:right="779" w:bottom="1440" w:gutter="0" w:footer="0" w:header="0"/>
          <w:type w:val="continuous"/>
        </w:sectPr>
      </w:pPr>
    </w:p>
    <w:bookmarkStart w:id="23" w:name="page24"/>
    <w:bookmarkEnd w:id="23"/>
    <w:p>
      <w:pPr>
        <w:ind w:left="960"/>
        <w:spacing w:after="0"/>
        <w:rPr>
          <w:sz w:val="20"/>
          <w:szCs w:val="20"/>
          <w:color w:val="auto"/>
        </w:rPr>
      </w:pPr>
      <w:r>
        <w:rPr>
          <w:rFonts w:ascii="Arial" w:cs="Arial" w:eastAsia="Arial" w:hAnsi="Arial"/>
          <w:sz w:val="44"/>
          <w:szCs w:val="44"/>
          <w:b w:val="1"/>
          <w:bCs w:val="1"/>
          <w:color w:val="auto"/>
        </w:rPr>
        <w:t>Cash Flow</w:t>
      </w:r>
    </w:p>
    <w:p>
      <w:pPr>
        <w:spacing w:after="0" w:line="2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w:t>
      </w:r>
    </w:p>
    <w:p>
      <w:pPr>
        <w:spacing w:after="0" w:line="227" w:lineRule="exact"/>
        <w:rPr>
          <w:sz w:val="20"/>
          <w:szCs w:val="20"/>
          <w:color w:val="auto"/>
        </w:rPr>
      </w:pPr>
    </w:p>
    <w:p>
      <w:pPr>
        <w:ind w:right="1000"/>
        <w:spacing w:after="0" w:line="286" w:lineRule="auto"/>
        <w:rPr>
          <w:sz w:val="20"/>
          <w:szCs w:val="20"/>
          <w:color w:val="auto"/>
        </w:rPr>
      </w:pPr>
      <w:r>
        <w:rPr>
          <w:rFonts w:ascii="Arial" w:cs="Arial" w:eastAsia="Arial" w:hAnsi="Arial"/>
          <w:sz w:val="32"/>
          <w:szCs w:val="32"/>
          <w:b w:val="1"/>
          <w:bCs w:val="1"/>
          <w:color w:val="auto"/>
        </w:rPr>
        <w:t>Net Income Attr. Common Stockholders</w:t>
      </w:r>
    </w:p>
    <w:p>
      <w:pPr>
        <w:spacing w:after="0" w:line="171" w:lineRule="exact"/>
        <w:rPr>
          <w:sz w:val="20"/>
          <w:szCs w:val="20"/>
          <w:color w:val="auto"/>
        </w:rPr>
      </w:pPr>
    </w:p>
    <w:p>
      <w:pPr>
        <w:ind w:left="280" w:right="680"/>
        <w:spacing w:after="0" w:line="274" w:lineRule="auto"/>
        <w:rPr>
          <w:sz w:val="20"/>
          <w:szCs w:val="20"/>
          <w:color w:val="auto"/>
        </w:rPr>
      </w:pPr>
      <w:r>
        <w:rPr>
          <w:rFonts w:ascii="Arial" w:cs="Arial" w:eastAsia="Arial" w:hAnsi="Arial"/>
          <w:sz w:val="28"/>
          <w:szCs w:val="28"/>
          <w:color w:val="auto"/>
        </w:rPr>
        <w:t>Add-back Non-Controlling Interests &amp; Preferred Dividends</w:t>
      </w:r>
    </w:p>
    <w:p>
      <w:pPr>
        <w:spacing w:after="0" w:line="8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Net Income</w:t>
      </w:r>
    </w:p>
    <w:p>
      <w:pPr>
        <w:spacing w:after="0" w:line="299" w:lineRule="exact"/>
        <w:rPr>
          <w:sz w:val="20"/>
          <w:szCs w:val="20"/>
          <w:color w:val="auto"/>
        </w:rPr>
      </w:pPr>
    </w:p>
    <w:p>
      <w:pPr>
        <w:ind w:left="240" w:right="1260"/>
        <w:spacing w:after="0" w:line="413" w:lineRule="auto"/>
        <w:rPr>
          <w:sz w:val="20"/>
          <w:szCs w:val="20"/>
          <w:color w:val="auto"/>
        </w:rPr>
      </w:pPr>
      <w:r>
        <w:rPr>
          <w:rFonts w:ascii="Arial" w:cs="Arial" w:eastAsia="Arial" w:hAnsi="Arial"/>
          <w:sz w:val="28"/>
          <w:szCs w:val="28"/>
          <w:color w:val="auto"/>
        </w:rPr>
        <w:t>Depreciation / Amortization Working Capital Pension / OPEB &amp; Other</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Net cash provided/(used)</w:t>
      </w:r>
    </w:p>
    <w:p>
      <w:pPr>
        <w:spacing w:after="0" w:line="5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operating activities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29"/>
          <w:szCs w:val="29"/>
          <w:color w:val="auto"/>
        </w:rPr>
        <w:t>Capital Expenditures</w:t>
      </w:r>
    </w:p>
    <w:p>
      <w:pPr>
        <w:spacing w:after="0" w:line="1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2640" w:val="left"/>
        </w:tabs>
        <w:rPr>
          <w:sz w:val="20"/>
          <w:szCs w:val="20"/>
          <w:color w:val="auto"/>
        </w:rPr>
      </w:pPr>
      <w:r>
        <w:rPr>
          <w:rFonts w:ascii="Arial" w:cs="Arial" w:eastAsia="Arial" w:hAnsi="Arial"/>
          <w:sz w:val="32"/>
          <w:szCs w:val="32"/>
          <w:b w:val="1"/>
          <w:bCs w:val="1"/>
          <w:color w:val="auto"/>
        </w:rPr>
        <w:t>Q2 2010</w:t>
      </w:r>
      <w:r>
        <w:rPr>
          <w:sz w:val="20"/>
          <w:szCs w:val="20"/>
          <w:color w:val="auto"/>
        </w:rPr>
        <w:tab/>
      </w:r>
      <w:r>
        <w:rPr>
          <w:rFonts w:ascii="Arial" w:cs="Arial" w:eastAsia="Arial" w:hAnsi="Arial"/>
          <w:sz w:val="32"/>
          <w:szCs w:val="32"/>
          <w:b w:val="1"/>
          <w:bCs w:val="1"/>
          <w:color w:val="auto"/>
        </w:rPr>
        <w:t>Q3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-1043305</wp:posOffset>
            </wp:positionV>
            <wp:extent cx="7303135" cy="5222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3135" cy="5222240"/>
                    </a:xfrm>
                    <a:prstGeom prst="rect">
                      <a:avLst/>
                    </a:prstGeom>
                    <a:noFill/>
                  </pic:spPr>
                </pic:pic>
              </a:graphicData>
            </a:graphic>
          </wp:anchor>
        </w:drawing>
      </w:r>
    </w:p>
    <w:p>
      <w:pPr>
        <w:spacing w:after="0" w:line="398" w:lineRule="exact"/>
        <w:rPr>
          <w:sz w:val="20"/>
          <w:szCs w:val="20"/>
          <w:color w:val="auto"/>
        </w:rPr>
      </w:pPr>
    </w:p>
    <w:p>
      <w:pPr>
        <w:ind w:left="380"/>
        <w:spacing w:after="0"/>
        <w:tabs>
          <w:tab w:leader="none" w:pos="3020" w:val="left"/>
        </w:tabs>
        <w:rPr>
          <w:sz w:val="20"/>
          <w:szCs w:val="20"/>
          <w:color w:val="auto"/>
        </w:rPr>
      </w:pPr>
      <w:r>
        <w:rPr>
          <w:rFonts w:ascii="Arial" w:cs="Arial" w:eastAsia="Arial" w:hAnsi="Arial"/>
          <w:sz w:val="32"/>
          <w:szCs w:val="32"/>
          <w:b w:val="1"/>
          <w:bCs w:val="1"/>
          <w:color w:val="auto"/>
        </w:rPr>
        <w:t>1.3</w:t>
      </w:r>
      <w:r>
        <w:rPr>
          <w:sz w:val="20"/>
          <w:szCs w:val="20"/>
          <w:color w:val="auto"/>
        </w:rPr>
        <w:tab/>
      </w:r>
      <w:r>
        <w:rPr>
          <w:rFonts w:ascii="Arial" w:cs="Arial" w:eastAsia="Arial" w:hAnsi="Arial"/>
          <w:sz w:val="31"/>
          <w:szCs w:val="31"/>
          <w:b w:val="1"/>
          <w:bCs w:val="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spacing w:after="0"/>
        <w:tabs>
          <w:tab w:leader="none" w:pos="3060" w:val="left"/>
        </w:tabs>
        <w:rPr>
          <w:sz w:val="20"/>
          <w:szCs w:val="20"/>
          <w:color w:val="auto"/>
        </w:rPr>
      </w:pPr>
      <w:r>
        <w:rPr>
          <w:rFonts w:ascii="Arial" w:cs="Arial" w:eastAsia="Arial" w:hAnsi="Arial"/>
          <w:sz w:val="29"/>
          <w:szCs w:val="29"/>
          <w:color w:val="auto"/>
        </w:rPr>
        <w:t>0.3</w:t>
      </w:r>
      <w:r>
        <w:rPr>
          <w:sz w:val="20"/>
          <w:szCs w:val="20"/>
          <w:color w:val="auto"/>
        </w:rPr>
        <w:tab/>
      </w:r>
      <w:r>
        <w:rPr>
          <w:rFonts w:ascii="Arial" w:cs="Arial" w:eastAsia="Arial" w:hAnsi="Arial"/>
          <w:sz w:val="28"/>
          <w:szCs w:val="28"/>
          <w:color w:val="auto"/>
        </w:rPr>
        <w:t>0.2</w:t>
      </w:r>
    </w:p>
    <w:p>
      <w:pPr>
        <w:spacing w:after="0" w:line="308" w:lineRule="exact"/>
        <w:rPr>
          <w:sz w:val="20"/>
          <w:szCs w:val="20"/>
          <w:color w:val="auto"/>
        </w:rPr>
      </w:pPr>
    </w:p>
    <w:p>
      <w:pPr>
        <w:ind w:left="380"/>
        <w:spacing w:after="0"/>
        <w:tabs>
          <w:tab w:leader="none" w:pos="3020" w:val="left"/>
        </w:tabs>
        <w:rPr>
          <w:sz w:val="20"/>
          <w:szCs w:val="20"/>
          <w:color w:val="auto"/>
        </w:rPr>
      </w:pPr>
      <w:r>
        <w:rPr>
          <w:rFonts w:ascii="Arial" w:cs="Arial" w:eastAsia="Arial" w:hAnsi="Arial"/>
          <w:sz w:val="32"/>
          <w:szCs w:val="32"/>
          <w:b w:val="1"/>
          <w:bCs w:val="1"/>
          <w:color w:val="auto"/>
        </w:rPr>
        <w:t>1.6</w:t>
      </w:r>
      <w:r>
        <w:rPr>
          <w:sz w:val="20"/>
          <w:szCs w:val="20"/>
          <w:color w:val="auto"/>
        </w:rPr>
        <w:tab/>
      </w:r>
      <w:r>
        <w:rPr>
          <w:rFonts w:ascii="Arial" w:cs="Arial" w:eastAsia="Arial" w:hAnsi="Arial"/>
          <w:sz w:val="31"/>
          <w:szCs w:val="31"/>
          <w:b w:val="1"/>
          <w:bCs w:val="1"/>
          <w:color w:val="auto"/>
        </w:rPr>
        <w:t>2.2</w:t>
      </w:r>
    </w:p>
    <w:p>
      <w:pPr>
        <w:spacing w:after="0" w:line="299" w:lineRule="exact"/>
        <w:rPr>
          <w:sz w:val="20"/>
          <w:szCs w:val="20"/>
          <w:color w:val="auto"/>
        </w:rPr>
      </w:pPr>
    </w:p>
    <w:p>
      <w:pPr>
        <w:ind w:left="400"/>
        <w:spacing w:after="0"/>
        <w:tabs>
          <w:tab w:leader="none" w:pos="3060" w:val="left"/>
        </w:tabs>
        <w:rPr>
          <w:sz w:val="20"/>
          <w:szCs w:val="20"/>
          <w:color w:val="auto"/>
        </w:rPr>
      </w:pPr>
      <w:r>
        <w:rPr>
          <w:rFonts w:ascii="Arial" w:cs="Arial" w:eastAsia="Arial" w:hAnsi="Arial"/>
          <w:sz w:val="29"/>
          <w:szCs w:val="29"/>
          <w:color w:val="auto"/>
        </w:rPr>
        <w:t>1.7</w:t>
      </w:r>
      <w:r>
        <w:rPr>
          <w:sz w:val="20"/>
          <w:szCs w:val="20"/>
          <w:color w:val="auto"/>
        </w:rPr>
        <w:tab/>
      </w:r>
      <w:r>
        <w:rPr>
          <w:rFonts w:ascii="Arial" w:cs="Arial" w:eastAsia="Arial" w:hAnsi="Arial"/>
          <w:sz w:val="28"/>
          <w:szCs w:val="28"/>
          <w:color w:val="auto"/>
        </w:rPr>
        <w:t>1.7</w:t>
      </w:r>
    </w:p>
    <w:p>
      <w:pPr>
        <w:spacing w:after="0" w:line="226" w:lineRule="exact"/>
        <w:rPr>
          <w:sz w:val="20"/>
          <w:szCs w:val="20"/>
          <w:color w:val="auto"/>
        </w:rPr>
      </w:pPr>
    </w:p>
    <w:p>
      <w:pPr>
        <w:ind w:left="400"/>
        <w:spacing w:after="0"/>
        <w:tabs>
          <w:tab w:leader="none" w:pos="2960" w:val="left"/>
        </w:tabs>
        <w:rPr>
          <w:sz w:val="20"/>
          <w:szCs w:val="20"/>
          <w:color w:val="auto"/>
        </w:rPr>
      </w:pPr>
      <w:r>
        <w:rPr>
          <w:rFonts w:ascii="Arial" w:cs="Arial" w:eastAsia="Arial" w:hAnsi="Arial"/>
          <w:sz w:val="29"/>
          <w:szCs w:val="29"/>
          <w:color w:val="auto"/>
        </w:rPr>
        <w:t>0.1</w:t>
      </w:r>
      <w:r>
        <w:rPr>
          <w:sz w:val="20"/>
          <w:szCs w:val="20"/>
          <w:color w:val="auto"/>
        </w:rPr>
        <w:tab/>
      </w:r>
      <w:r>
        <w:rPr>
          <w:rFonts w:ascii="Arial" w:cs="Arial" w:eastAsia="Arial" w:hAnsi="Arial"/>
          <w:sz w:val="28"/>
          <w:szCs w:val="28"/>
          <w:color w:val="auto"/>
        </w:rPr>
        <w:t>(0.5)</w:t>
      </w:r>
    </w:p>
    <w:p>
      <w:pPr>
        <w:spacing w:after="0" w:line="226" w:lineRule="exact"/>
        <w:rPr>
          <w:sz w:val="20"/>
          <w:szCs w:val="20"/>
          <w:color w:val="auto"/>
        </w:rPr>
      </w:pPr>
    </w:p>
    <w:p>
      <w:pPr>
        <w:ind w:left="400"/>
        <w:spacing w:after="0"/>
        <w:tabs>
          <w:tab w:leader="none" w:pos="2960" w:val="left"/>
        </w:tabs>
        <w:rPr>
          <w:sz w:val="20"/>
          <w:szCs w:val="20"/>
          <w:color w:val="auto"/>
        </w:rPr>
      </w:pPr>
      <w:r>
        <w:rPr>
          <w:rFonts w:ascii="Arial" w:cs="Arial" w:eastAsia="Arial" w:hAnsi="Arial"/>
          <w:sz w:val="29"/>
          <w:szCs w:val="29"/>
          <w:color w:val="auto"/>
        </w:rPr>
        <w:t>0.5</w:t>
      </w:r>
      <w:r>
        <w:rPr>
          <w:sz w:val="20"/>
          <w:szCs w:val="20"/>
          <w:color w:val="auto"/>
        </w:rPr>
        <w:tab/>
      </w:r>
      <w:r>
        <w:rPr>
          <w:rFonts w:ascii="Arial" w:cs="Arial" w:eastAsia="Arial" w:hAnsi="Arial"/>
          <w:sz w:val="28"/>
          <w:szCs w:val="28"/>
          <w:color w:val="auto"/>
        </w:rPr>
        <w:t>(0.8)</w:t>
      </w:r>
    </w:p>
    <w:p>
      <w:pPr>
        <w:spacing w:after="0" w:line="200" w:lineRule="exact"/>
        <w:rPr>
          <w:sz w:val="20"/>
          <w:szCs w:val="20"/>
          <w:color w:val="auto"/>
        </w:rPr>
      </w:pPr>
    </w:p>
    <w:p>
      <w:pPr>
        <w:spacing w:after="0" w:line="204" w:lineRule="exact"/>
        <w:rPr>
          <w:sz w:val="20"/>
          <w:szCs w:val="20"/>
          <w:color w:val="auto"/>
        </w:rPr>
      </w:pPr>
    </w:p>
    <w:p>
      <w:pPr>
        <w:ind w:left="380"/>
        <w:spacing w:after="0"/>
        <w:tabs>
          <w:tab w:leader="none" w:pos="3020" w:val="left"/>
        </w:tabs>
        <w:rPr>
          <w:sz w:val="20"/>
          <w:szCs w:val="20"/>
          <w:color w:val="auto"/>
        </w:rPr>
      </w:pPr>
      <w:r>
        <w:rPr>
          <w:rFonts w:ascii="Arial" w:cs="Arial" w:eastAsia="Arial" w:hAnsi="Arial"/>
          <w:sz w:val="32"/>
          <w:szCs w:val="32"/>
          <w:b w:val="1"/>
          <w:bCs w:val="1"/>
          <w:color w:val="auto"/>
        </w:rPr>
        <w:t>3.9</w:t>
      </w:r>
      <w:r>
        <w:rPr>
          <w:sz w:val="20"/>
          <w:szCs w:val="20"/>
          <w:color w:val="auto"/>
        </w:rPr>
        <w:tab/>
      </w:r>
      <w:r>
        <w:rPr>
          <w:rFonts w:ascii="Arial" w:cs="Arial" w:eastAsia="Arial" w:hAnsi="Arial"/>
          <w:sz w:val="31"/>
          <w:szCs w:val="31"/>
          <w:b w:val="1"/>
          <w:bCs w:val="1"/>
          <w:color w:val="auto"/>
        </w:rPr>
        <w:t>2.6</w:t>
      </w:r>
    </w:p>
    <w:p>
      <w:pPr>
        <w:spacing w:after="0" w:line="200" w:lineRule="exact"/>
        <w:rPr>
          <w:sz w:val="20"/>
          <w:szCs w:val="20"/>
          <w:color w:val="auto"/>
        </w:rPr>
      </w:pPr>
    </w:p>
    <w:p>
      <w:pPr>
        <w:spacing w:after="0" w:line="326" w:lineRule="exact"/>
        <w:rPr>
          <w:sz w:val="20"/>
          <w:szCs w:val="20"/>
          <w:color w:val="auto"/>
        </w:rPr>
      </w:pPr>
    </w:p>
    <w:p>
      <w:pPr>
        <w:ind w:left="320"/>
        <w:spacing w:after="0"/>
        <w:tabs>
          <w:tab w:leader="none" w:pos="2960" w:val="left"/>
        </w:tabs>
        <w:rPr>
          <w:sz w:val="20"/>
          <w:szCs w:val="20"/>
          <w:color w:val="auto"/>
        </w:rPr>
      </w:pPr>
      <w:r>
        <w:rPr>
          <w:rFonts w:ascii="Arial" w:cs="Arial" w:eastAsia="Arial" w:hAnsi="Arial"/>
          <w:sz w:val="29"/>
          <w:szCs w:val="29"/>
          <w:color w:val="auto"/>
        </w:rPr>
        <w:t>(1.1)</w:t>
      </w:r>
      <w:r>
        <w:rPr>
          <w:sz w:val="20"/>
          <w:szCs w:val="20"/>
          <w:color w:val="auto"/>
        </w:rPr>
        <w:tab/>
      </w:r>
      <w:r>
        <w:rPr>
          <w:rFonts w:ascii="Arial" w:cs="Arial" w:eastAsia="Arial" w:hAnsi="Arial"/>
          <w:sz w:val="28"/>
          <w:szCs w:val="28"/>
          <w:color w:val="auto"/>
        </w:rPr>
        <w:t>(1.2)</w:t>
      </w:r>
    </w:p>
    <w:p>
      <w:pPr>
        <w:spacing w:after="0" w:line="177" w:lineRule="exact"/>
        <w:rPr>
          <w:sz w:val="20"/>
          <w:szCs w:val="20"/>
          <w:color w:val="auto"/>
        </w:rPr>
      </w:pPr>
    </w:p>
    <w:p>
      <w:pPr>
        <w:ind w:left="380"/>
        <w:spacing w:after="0"/>
        <w:tabs>
          <w:tab w:leader="none" w:pos="3020" w:val="left"/>
        </w:tabs>
        <w:rPr>
          <w:sz w:val="20"/>
          <w:szCs w:val="20"/>
          <w:color w:val="auto"/>
        </w:rPr>
      </w:pPr>
      <w:r>
        <w:rPr>
          <w:rFonts w:ascii="Arial" w:cs="Arial" w:eastAsia="Arial" w:hAnsi="Arial"/>
          <w:sz w:val="32"/>
          <w:szCs w:val="32"/>
          <w:b w:val="1"/>
          <w:bCs w:val="1"/>
          <w:color w:val="auto"/>
        </w:rPr>
        <w:t>2.8</w:t>
      </w:r>
      <w:r>
        <w:rPr>
          <w:sz w:val="20"/>
          <w:szCs w:val="20"/>
          <w:color w:val="auto"/>
        </w:rPr>
        <w:tab/>
      </w:r>
      <w:r>
        <w:rPr>
          <w:rFonts w:ascii="Arial" w:cs="Arial" w:eastAsia="Arial" w:hAnsi="Arial"/>
          <w:sz w:val="31"/>
          <w:szCs w:val="31"/>
          <w:b w:val="1"/>
          <w:bCs w:val="1"/>
          <w:color w:val="auto"/>
        </w:rPr>
        <w:t>1.4</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19</w:t>
      </w:r>
    </w:p>
    <w:p>
      <w:pPr>
        <w:sectPr>
          <w:pgSz w:w="11900" w:h="16838" w:orient="portrait"/>
          <w:cols w:equalWidth="0" w:num="2">
            <w:col w:w="4940" w:space="720"/>
            <w:col w:w="4720"/>
          </w:cols>
          <w:pgMar w:left="640" w:top="613" w:right="879" w:bottom="1440" w:gutter="0" w:footer="0" w:header="0"/>
        </w:sectPr>
      </w:pPr>
    </w:p>
    <w:bookmarkStart w:id="24" w:name="page25"/>
    <w:bookmarkEnd w:id="24"/>
    <w:p>
      <w:pPr>
        <w:ind w:left="10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Key Balance Sheet Items</w:t>
      </w:r>
    </w:p>
    <w:p>
      <w:pPr>
        <w:spacing w:after="0" w:line="200" w:lineRule="exact"/>
        <w:rPr>
          <w:sz w:val="20"/>
          <w:szCs w:val="20"/>
          <w:color w:val="auto"/>
        </w:rPr>
      </w:pP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381"/>
        </w:trPr>
        <w:tc>
          <w:tcPr>
            <w:tcW w:w="5060" w:type="dxa"/>
            <w:vAlign w:val="bottom"/>
          </w:tcPr>
          <w:p>
            <w:pPr>
              <w:spacing w:after="0"/>
              <w:rPr>
                <w:sz w:val="24"/>
                <w:szCs w:val="24"/>
                <w:color w:val="auto"/>
              </w:rPr>
            </w:pPr>
          </w:p>
        </w:tc>
        <w:tc>
          <w:tcPr>
            <w:tcW w:w="2500" w:type="dxa"/>
            <w:vAlign w:val="bottom"/>
          </w:tcPr>
          <w:p>
            <w:pPr>
              <w:ind w:left="660"/>
              <w:spacing w:after="0"/>
              <w:rPr>
                <w:sz w:val="20"/>
                <w:szCs w:val="20"/>
                <w:color w:val="auto"/>
              </w:rPr>
            </w:pPr>
            <w:r>
              <w:rPr>
                <w:rFonts w:ascii="Arial" w:cs="Arial" w:eastAsia="Arial" w:hAnsi="Arial"/>
                <w:sz w:val="32"/>
                <w:szCs w:val="32"/>
                <w:b w:val="1"/>
                <w:bCs w:val="1"/>
                <w:color w:val="auto"/>
              </w:rPr>
              <w:t>June 30</w:t>
            </w:r>
          </w:p>
        </w:tc>
        <w:tc>
          <w:tcPr>
            <w:tcW w:w="1880" w:type="dxa"/>
            <w:vAlign w:val="bottom"/>
          </w:tcPr>
          <w:p>
            <w:pPr>
              <w:ind w:left="660"/>
              <w:spacing w:after="0"/>
              <w:rPr>
                <w:sz w:val="20"/>
                <w:szCs w:val="20"/>
                <w:color w:val="auto"/>
              </w:rPr>
            </w:pPr>
            <w:r>
              <w:rPr>
                <w:rFonts w:ascii="Arial" w:cs="Arial" w:eastAsia="Arial" w:hAnsi="Arial"/>
                <w:sz w:val="32"/>
                <w:szCs w:val="32"/>
                <w:b w:val="1"/>
                <w:bCs w:val="1"/>
                <w:color w:val="auto"/>
                <w:w w:val="97"/>
              </w:rPr>
              <w:t>Sept. 30</w:t>
            </w:r>
          </w:p>
        </w:tc>
      </w:tr>
      <w:tr>
        <w:trPr>
          <w:trHeight w:val="427"/>
        </w:trPr>
        <w:tc>
          <w:tcPr>
            <w:tcW w:w="5060" w:type="dxa"/>
            <w:vAlign w:val="bottom"/>
          </w:tcPr>
          <w:p>
            <w:pPr>
              <w:spacing w:after="0"/>
              <w:rPr>
                <w:sz w:val="20"/>
                <w:szCs w:val="20"/>
                <w:color w:val="auto"/>
              </w:rPr>
            </w:pPr>
            <w:r>
              <w:rPr>
                <w:rFonts w:ascii="Arial" w:cs="Arial" w:eastAsia="Arial" w:hAnsi="Arial"/>
                <w:sz w:val="32"/>
                <w:szCs w:val="32"/>
                <w:b w:val="1"/>
                <w:bCs w:val="1"/>
                <w:color w:val="auto"/>
              </w:rPr>
              <w:t>($B)</w:t>
            </w:r>
          </w:p>
        </w:tc>
        <w:tc>
          <w:tcPr>
            <w:tcW w:w="2500" w:type="dxa"/>
            <w:vAlign w:val="bottom"/>
          </w:tcPr>
          <w:p>
            <w:pPr>
              <w:jc w:val="center"/>
              <w:spacing w:after="0"/>
              <w:rPr>
                <w:sz w:val="20"/>
                <w:szCs w:val="20"/>
                <w:color w:val="auto"/>
              </w:rPr>
            </w:pPr>
            <w:r>
              <w:rPr>
                <w:rFonts w:ascii="Arial" w:cs="Arial" w:eastAsia="Arial" w:hAnsi="Arial"/>
                <w:sz w:val="32"/>
                <w:szCs w:val="32"/>
                <w:b w:val="1"/>
                <w:bCs w:val="1"/>
                <w:color w:val="auto"/>
              </w:rPr>
              <w:t>2010</w:t>
            </w:r>
          </w:p>
        </w:tc>
        <w:tc>
          <w:tcPr>
            <w:tcW w:w="1880" w:type="dxa"/>
            <w:vAlign w:val="bottom"/>
          </w:tcPr>
          <w:p>
            <w:pPr>
              <w:jc w:val="center"/>
              <w:ind w:left="479"/>
              <w:spacing w:after="0"/>
              <w:rPr>
                <w:sz w:val="20"/>
                <w:szCs w:val="20"/>
                <w:color w:val="auto"/>
              </w:rPr>
            </w:pPr>
            <w:r>
              <w:rPr>
                <w:rFonts w:ascii="Arial" w:cs="Arial" w:eastAsia="Arial" w:hAnsi="Arial"/>
                <w:sz w:val="32"/>
                <w:szCs w:val="32"/>
                <w:b w:val="1"/>
                <w:bCs w:val="1"/>
                <w:color w:val="auto"/>
              </w:rPr>
              <w:t>2010</w:t>
            </w:r>
          </w:p>
        </w:tc>
      </w:tr>
      <w:tr>
        <w:trPr>
          <w:trHeight w:val="571"/>
        </w:trPr>
        <w:tc>
          <w:tcPr>
            <w:tcW w:w="5060" w:type="dxa"/>
            <w:vAlign w:val="bottom"/>
          </w:tcPr>
          <w:p>
            <w:pPr>
              <w:spacing w:after="0"/>
              <w:rPr>
                <w:sz w:val="20"/>
                <w:szCs w:val="20"/>
                <w:color w:val="auto"/>
              </w:rPr>
            </w:pPr>
            <w:r>
              <w:rPr>
                <w:rFonts w:ascii="Arial" w:cs="Arial" w:eastAsia="Arial" w:hAnsi="Arial"/>
                <w:sz w:val="32"/>
                <w:szCs w:val="32"/>
                <w:color w:val="auto"/>
              </w:rPr>
              <w:t>Cash &amp; marketable securities *</w:t>
            </w:r>
          </w:p>
        </w:tc>
        <w:tc>
          <w:tcPr>
            <w:tcW w:w="2500" w:type="dxa"/>
            <w:vAlign w:val="bottom"/>
          </w:tcPr>
          <w:p>
            <w:pPr>
              <w:jc w:val="center"/>
              <w:spacing w:after="0"/>
              <w:rPr>
                <w:sz w:val="20"/>
                <w:szCs w:val="20"/>
                <w:color w:val="auto"/>
              </w:rPr>
            </w:pPr>
            <w:r>
              <w:rPr>
                <w:rFonts w:ascii="Arial" w:cs="Arial" w:eastAsia="Arial" w:hAnsi="Arial"/>
                <w:sz w:val="32"/>
                <w:szCs w:val="32"/>
                <w:color w:val="auto"/>
              </w:rPr>
              <w:t>32.5</w:t>
            </w:r>
          </w:p>
        </w:tc>
        <w:tc>
          <w:tcPr>
            <w:tcW w:w="1880" w:type="dxa"/>
            <w:vAlign w:val="bottom"/>
          </w:tcPr>
          <w:p>
            <w:pPr>
              <w:jc w:val="center"/>
              <w:ind w:left="479"/>
              <w:spacing w:after="0"/>
              <w:rPr>
                <w:sz w:val="20"/>
                <w:szCs w:val="20"/>
                <w:color w:val="auto"/>
              </w:rPr>
            </w:pPr>
            <w:r>
              <w:rPr>
                <w:rFonts w:ascii="Arial" w:cs="Arial" w:eastAsia="Arial" w:hAnsi="Arial"/>
                <w:sz w:val="32"/>
                <w:szCs w:val="32"/>
                <w:color w:val="auto"/>
              </w:rPr>
              <w:t>34.5</w:t>
            </w:r>
          </w:p>
        </w:tc>
      </w:tr>
      <w:tr>
        <w:trPr>
          <w:trHeight w:val="666"/>
        </w:trPr>
        <w:tc>
          <w:tcPr>
            <w:tcW w:w="5060" w:type="dxa"/>
            <w:vAlign w:val="bottom"/>
          </w:tcPr>
          <w:p>
            <w:pPr>
              <w:spacing w:after="0"/>
              <w:rPr>
                <w:sz w:val="20"/>
                <w:szCs w:val="20"/>
                <w:color w:val="auto"/>
              </w:rPr>
            </w:pPr>
            <w:r>
              <w:rPr>
                <w:rFonts w:ascii="Arial" w:cs="Arial" w:eastAsia="Arial" w:hAnsi="Arial"/>
                <w:sz w:val="32"/>
                <w:szCs w:val="32"/>
                <w:color w:val="auto"/>
              </w:rPr>
              <w:t>Available Credit Facilities</w:t>
            </w:r>
          </w:p>
        </w:tc>
        <w:tc>
          <w:tcPr>
            <w:tcW w:w="2500" w:type="dxa"/>
            <w:vAlign w:val="bottom"/>
          </w:tcPr>
          <w:p>
            <w:pPr>
              <w:jc w:val="center"/>
              <w:spacing w:after="0"/>
              <w:rPr>
                <w:sz w:val="20"/>
                <w:szCs w:val="20"/>
                <w:color w:val="auto"/>
              </w:rPr>
            </w:pPr>
            <w:r>
              <w:rPr>
                <w:rFonts w:ascii="Arial" w:cs="Arial" w:eastAsia="Arial" w:hAnsi="Arial"/>
                <w:sz w:val="32"/>
                <w:szCs w:val="32"/>
                <w:color w:val="auto"/>
                <w:w w:val="98"/>
              </w:rPr>
              <w:t>1.1</w:t>
            </w:r>
          </w:p>
        </w:tc>
        <w:tc>
          <w:tcPr>
            <w:tcW w:w="1880" w:type="dxa"/>
            <w:vAlign w:val="bottom"/>
          </w:tcPr>
          <w:p>
            <w:pPr>
              <w:jc w:val="center"/>
              <w:ind w:left="479"/>
              <w:spacing w:after="0"/>
              <w:rPr>
                <w:sz w:val="20"/>
                <w:szCs w:val="20"/>
                <w:color w:val="auto"/>
              </w:rPr>
            </w:pPr>
            <w:r>
              <w:rPr>
                <w:rFonts w:ascii="Arial" w:cs="Arial" w:eastAsia="Arial" w:hAnsi="Arial"/>
                <w:sz w:val="32"/>
                <w:szCs w:val="32"/>
                <w:color w:val="auto"/>
                <w:w w:val="98"/>
              </w:rPr>
              <w:t>1.3</w:t>
            </w:r>
          </w:p>
        </w:tc>
      </w:tr>
      <w:tr>
        <w:trPr>
          <w:trHeight w:val="583"/>
        </w:trPr>
        <w:tc>
          <w:tcPr>
            <w:tcW w:w="5060" w:type="dxa"/>
            <w:vAlign w:val="bottom"/>
          </w:tcPr>
          <w:p>
            <w:pPr>
              <w:ind w:left="280"/>
              <w:spacing w:after="0"/>
              <w:rPr>
                <w:sz w:val="20"/>
                <w:szCs w:val="20"/>
                <w:color w:val="auto"/>
              </w:rPr>
            </w:pPr>
            <w:r>
              <w:rPr>
                <w:rFonts w:ascii="Arial" w:cs="Arial" w:eastAsia="Arial" w:hAnsi="Arial"/>
                <w:sz w:val="32"/>
                <w:szCs w:val="32"/>
                <w:b w:val="1"/>
                <w:bCs w:val="1"/>
                <w:color w:val="auto"/>
              </w:rPr>
              <w:t>Available Liquidity *</w:t>
            </w:r>
          </w:p>
        </w:tc>
        <w:tc>
          <w:tcPr>
            <w:tcW w:w="2500" w:type="dxa"/>
            <w:vAlign w:val="bottom"/>
          </w:tcPr>
          <w:p>
            <w:pPr>
              <w:jc w:val="center"/>
              <w:spacing w:after="0"/>
              <w:rPr>
                <w:sz w:val="20"/>
                <w:szCs w:val="20"/>
                <w:color w:val="auto"/>
              </w:rPr>
            </w:pPr>
            <w:r>
              <w:rPr>
                <w:rFonts w:ascii="Arial" w:cs="Arial" w:eastAsia="Arial" w:hAnsi="Arial"/>
                <w:sz w:val="32"/>
                <w:szCs w:val="32"/>
                <w:b w:val="1"/>
                <w:bCs w:val="1"/>
                <w:color w:val="auto"/>
              </w:rPr>
              <w:t>33.6</w:t>
            </w:r>
          </w:p>
        </w:tc>
        <w:tc>
          <w:tcPr>
            <w:tcW w:w="1880" w:type="dxa"/>
            <w:vAlign w:val="bottom"/>
          </w:tcPr>
          <w:p>
            <w:pPr>
              <w:jc w:val="center"/>
              <w:ind w:left="479"/>
              <w:spacing w:after="0"/>
              <w:rPr>
                <w:sz w:val="20"/>
                <w:szCs w:val="20"/>
                <w:color w:val="auto"/>
              </w:rPr>
            </w:pPr>
            <w:r>
              <w:rPr>
                <w:rFonts w:ascii="Arial" w:cs="Arial" w:eastAsia="Arial" w:hAnsi="Arial"/>
                <w:sz w:val="32"/>
                <w:szCs w:val="32"/>
                <w:b w:val="1"/>
                <w:bCs w:val="1"/>
                <w:color w:val="auto"/>
              </w:rPr>
              <w:t>35.8</w:t>
            </w:r>
          </w:p>
        </w:tc>
      </w:tr>
      <w:tr>
        <w:trPr>
          <w:trHeight w:val="1071"/>
        </w:trPr>
        <w:tc>
          <w:tcPr>
            <w:tcW w:w="5060" w:type="dxa"/>
            <w:vAlign w:val="bottom"/>
          </w:tcPr>
          <w:p>
            <w:pPr>
              <w:spacing w:after="0"/>
              <w:rPr>
                <w:sz w:val="20"/>
                <w:szCs w:val="20"/>
                <w:color w:val="auto"/>
              </w:rPr>
            </w:pPr>
            <w:r>
              <w:rPr>
                <w:rFonts w:ascii="Arial" w:cs="Arial" w:eastAsia="Arial" w:hAnsi="Arial"/>
                <w:sz w:val="32"/>
                <w:szCs w:val="32"/>
                <w:b w:val="1"/>
                <w:bCs w:val="1"/>
                <w:color w:val="auto"/>
              </w:rPr>
              <w:t>Key Obligations:</w:t>
            </w:r>
          </w:p>
        </w:tc>
        <w:tc>
          <w:tcPr>
            <w:tcW w:w="25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4"/>
        </w:trPr>
        <w:tc>
          <w:tcPr>
            <w:tcW w:w="5060" w:type="dxa"/>
            <w:vAlign w:val="bottom"/>
          </w:tcPr>
          <w:p>
            <w:pPr>
              <w:ind w:left="140"/>
              <w:spacing w:after="0"/>
              <w:rPr>
                <w:sz w:val="20"/>
                <w:szCs w:val="20"/>
                <w:color w:val="auto"/>
              </w:rPr>
            </w:pPr>
            <w:r>
              <w:rPr>
                <w:rFonts w:ascii="Arial" w:cs="Arial" w:eastAsia="Arial" w:hAnsi="Arial"/>
                <w:sz w:val="32"/>
                <w:szCs w:val="32"/>
                <w:color w:val="auto"/>
              </w:rPr>
              <w:t>Debt</w:t>
            </w:r>
          </w:p>
        </w:tc>
        <w:tc>
          <w:tcPr>
            <w:tcW w:w="2500" w:type="dxa"/>
            <w:vAlign w:val="bottom"/>
          </w:tcPr>
          <w:p>
            <w:pPr>
              <w:jc w:val="center"/>
              <w:spacing w:after="0"/>
              <w:rPr>
                <w:sz w:val="20"/>
                <w:szCs w:val="20"/>
                <w:color w:val="auto"/>
              </w:rPr>
            </w:pPr>
            <w:r>
              <w:rPr>
                <w:rFonts w:ascii="Arial" w:cs="Arial" w:eastAsia="Arial" w:hAnsi="Arial"/>
                <w:sz w:val="32"/>
                <w:szCs w:val="32"/>
                <w:color w:val="auto"/>
                <w:w w:val="98"/>
              </w:rPr>
              <w:t>8.2</w:t>
            </w:r>
          </w:p>
        </w:tc>
        <w:tc>
          <w:tcPr>
            <w:tcW w:w="1880" w:type="dxa"/>
            <w:vAlign w:val="bottom"/>
          </w:tcPr>
          <w:p>
            <w:pPr>
              <w:jc w:val="center"/>
              <w:ind w:left="479"/>
              <w:spacing w:after="0"/>
              <w:rPr>
                <w:sz w:val="20"/>
                <w:szCs w:val="20"/>
                <w:color w:val="auto"/>
              </w:rPr>
            </w:pPr>
            <w:r>
              <w:rPr>
                <w:rFonts w:ascii="Arial" w:cs="Arial" w:eastAsia="Arial" w:hAnsi="Arial"/>
                <w:sz w:val="32"/>
                <w:szCs w:val="32"/>
                <w:color w:val="auto"/>
                <w:w w:val="98"/>
              </w:rPr>
              <w:t>8.6</w:t>
            </w:r>
          </w:p>
        </w:tc>
      </w:tr>
      <w:tr>
        <w:trPr>
          <w:trHeight w:val="583"/>
        </w:trPr>
        <w:tc>
          <w:tcPr>
            <w:tcW w:w="5060" w:type="dxa"/>
            <w:vAlign w:val="bottom"/>
          </w:tcPr>
          <w:p>
            <w:pPr>
              <w:ind w:left="140"/>
              <w:spacing w:after="0"/>
              <w:rPr>
                <w:sz w:val="20"/>
                <w:szCs w:val="20"/>
                <w:color w:val="auto"/>
              </w:rPr>
            </w:pPr>
            <w:r>
              <w:rPr>
                <w:rFonts w:ascii="Arial" w:cs="Arial" w:eastAsia="Arial" w:hAnsi="Arial"/>
                <w:sz w:val="32"/>
                <w:szCs w:val="32"/>
                <w:color w:val="auto"/>
              </w:rPr>
              <w:t>Preferred Stock</w:t>
            </w:r>
          </w:p>
        </w:tc>
        <w:tc>
          <w:tcPr>
            <w:tcW w:w="2500" w:type="dxa"/>
            <w:vAlign w:val="bottom"/>
          </w:tcPr>
          <w:p>
            <w:pPr>
              <w:jc w:val="center"/>
              <w:spacing w:after="0"/>
              <w:rPr>
                <w:sz w:val="20"/>
                <w:szCs w:val="20"/>
                <w:color w:val="auto"/>
              </w:rPr>
            </w:pPr>
            <w:r>
              <w:rPr>
                <w:rFonts w:ascii="Arial" w:cs="Arial" w:eastAsia="Arial" w:hAnsi="Arial"/>
                <w:sz w:val="32"/>
                <w:szCs w:val="32"/>
                <w:color w:val="auto"/>
                <w:w w:val="98"/>
              </w:rPr>
              <w:t>7.0</w:t>
            </w:r>
          </w:p>
        </w:tc>
        <w:tc>
          <w:tcPr>
            <w:tcW w:w="1880" w:type="dxa"/>
            <w:vAlign w:val="bottom"/>
          </w:tcPr>
          <w:p>
            <w:pPr>
              <w:jc w:val="center"/>
              <w:ind w:left="479"/>
              <w:spacing w:after="0"/>
              <w:rPr>
                <w:sz w:val="20"/>
                <w:szCs w:val="20"/>
                <w:color w:val="auto"/>
              </w:rPr>
            </w:pPr>
            <w:r>
              <w:rPr>
                <w:rFonts w:ascii="Arial" w:cs="Arial" w:eastAsia="Arial" w:hAnsi="Arial"/>
                <w:sz w:val="32"/>
                <w:szCs w:val="32"/>
                <w:color w:val="auto"/>
                <w:w w:val="98"/>
              </w:rPr>
              <w:t>7.0</w:t>
            </w:r>
          </w:p>
        </w:tc>
      </w:tr>
      <w:tr>
        <w:trPr>
          <w:trHeight w:val="631"/>
        </w:trPr>
        <w:tc>
          <w:tcPr>
            <w:tcW w:w="5060" w:type="dxa"/>
            <w:vAlign w:val="bottom"/>
          </w:tcPr>
          <w:p>
            <w:pPr>
              <w:ind w:left="140"/>
              <w:spacing w:after="0"/>
              <w:rPr>
                <w:sz w:val="20"/>
                <w:szCs w:val="20"/>
                <w:color w:val="auto"/>
              </w:rPr>
            </w:pPr>
            <w:r>
              <w:rPr>
                <w:rFonts w:ascii="Arial" w:cs="Arial" w:eastAsia="Arial" w:hAnsi="Arial"/>
                <w:sz w:val="32"/>
                <w:szCs w:val="32"/>
                <w:color w:val="auto"/>
              </w:rPr>
              <w:t>Underfunded Pensions</w:t>
            </w:r>
          </w:p>
        </w:tc>
        <w:tc>
          <w:tcPr>
            <w:tcW w:w="2500" w:type="dxa"/>
            <w:vAlign w:val="bottom"/>
          </w:tcPr>
          <w:p>
            <w:pPr>
              <w:jc w:val="center"/>
              <w:spacing w:after="0"/>
              <w:rPr>
                <w:sz w:val="20"/>
                <w:szCs w:val="20"/>
                <w:color w:val="auto"/>
              </w:rPr>
            </w:pPr>
            <w:r>
              <w:rPr>
                <w:rFonts w:ascii="Arial" w:cs="Arial" w:eastAsia="Arial" w:hAnsi="Arial"/>
                <w:sz w:val="32"/>
                <w:szCs w:val="32"/>
                <w:color w:val="auto"/>
              </w:rPr>
              <w:t>26.4</w:t>
            </w:r>
          </w:p>
        </w:tc>
        <w:tc>
          <w:tcPr>
            <w:tcW w:w="1880" w:type="dxa"/>
            <w:vAlign w:val="bottom"/>
          </w:tcPr>
          <w:p>
            <w:pPr>
              <w:jc w:val="center"/>
              <w:ind w:left="479"/>
              <w:spacing w:after="0"/>
              <w:rPr>
                <w:sz w:val="20"/>
                <w:szCs w:val="20"/>
                <w:color w:val="auto"/>
              </w:rPr>
            </w:pPr>
            <w:r>
              <w:rPr>
                <w:rFonts w:ascii="Arial" w:cs="Arial" w:eastAsia="Arial" w:hAnsi="Arial"/>
                <w:sz w:val="32"/>
                <w:szCs w:val="32"/>
                <w:color w:val="auto"/>
              </w:rPr>
              <w:t>29.4</w:t>
            </w:r>
          </w:p>
        </w:tc>
      </w:tr>
      <w:tr>
        <w:trPr>
          <w:trHeight w:val="619"/>
        </w:trPr>
        <w:tc>
          <w:tcPr>
            <w:tcW w:w="5060" w:type="dxa"/>
            <w:vAlign w:val="bottom"/>
          </w:tcPr>
          <w:p>
            <w:pPr>
              <w:ind w:left="140"/>
              <w:spacing w:after="0"/>
              <w:rPr>
                <w:sz w:val="20"/>
                <w:szCs w:val="20"/>
                <w:color w:val="auto"/>
              </w:rPr>
            </w:pPr>
            <w:r>
              <w:rPr>
                <w:rFonts w:ascii="Arial" w:cs="Arial" w:eastAsia="Arial" w:hAnsi="Arial"/>
                <w:sz w:val="32"/>
                <w:szCs w:val="32"/>
                <w:color w:val="auto"/>
              </w:rPr>
              <w:t>Underfunded OPEB</w:t>
            </w:r>
          </w:p>
        </w:tc>
        <w:tc>
          <w:tcPr>
            <w:tcW w:w="2500" w:type="dxa"/>
            <w:vAlign w:val="bottom"/>
          </w:tcPr>
          <w:p>
            <w:pPr>
              <w:jc w:val="center"/>
              <w:spacing w:after="0"/>
              <w:rPr>
                <w:sz w:val="20"/>
                <w:szCs w:val="20"/>
                <w:color w:val="auto"/>
              </w:rPr>
            </w:pPr>
            <w:r>
              <w:rPr>
                <w:rFonts w:ascii="Arial" w:cs="Arial" w:eastAsia="Arial" w:hAnsi="Arial"/>
                <w:sz w:val="32"/>
                <w:szCs w:val="32"/>
                <w:color w:val="auto"/>
                <w:w w:val="98"/>
              </w:rPr>
              <w:t>9.3</w:t>
            </w:r>
          </w:p>
        </w:tc>
        <w:tc>
          <w:tcPr>
            <w:tcW w:w="1880" w:type="dxa"/>
            <w:vAlign w:val="bottom"/>
          </w:tcPr>
          <w:p>
            <w:pPr>
              <w:jc w:val="center"/>
              <w:ind w:left="479"/>
              <w:spacing w:after="0"/>
              <w:rPr>
                <w:sz w:val="20"/>
                <w:szCs w:val="20"/>
                <w:color w:val="auto"/>
              </w:rPr>
            </w:pPr>
            <w:r>
              <w:rPr>
                <w:rFonts w:ascii="Arial" w:cs="Arial" w:eastAsia="Arial" w:hAnsi="Arial"/>
                <w:sz w:val="32"/>
                <w:szCs w:val="32"/>
                <w:color w:val="auto"/>
                <w:w w:val="98"/>
              </w:rPr>
              <w:t>9.4</w:t>
            </w:r>
          </w:p>
        </w:tc>
      </w:tr>
    </w:tbl>
    <w:p>
      <w:pPr>
        <w:spacing w:after="0" w:line="397" w:lineRule="exact"/>
        <w:rPr>
          <w:sz w:val="20"/>
          <w:szCs w:val="20"/>
          <w:color w:val="auto"/>
        </w:rPr>
      </w:pPr>
    </w:p>
    <w:p>
      <w:pPr>
        <w:ind w:left="260" w:hanging="259"/>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Canadian HC Trust Restricted Cash</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20</w:t>
      </w:r>
    </w:p>
    <w:p>
      <w:pPr>
        <w:sectPr>
          <w:pgSz w:w="11900" w:h="16838" w:orient="portrait"/>
          <w:cols w:equalWidth="0" w:num="1">
            <w:col w:w="10500"/>
          </w:cols>
          <w:pgMar w:left="520" w:top="613" w:right="879" w:bottom="1440" w:gutter="0" w:footer="0" w:header="0"/>
        </w:sectPr>
      </w:pPr>
    </w:p>
    <w:bookmarkStart w:id="25" w:name="page26"/>
    <w:bookmarkEnd w:id="25"/>
    <w:p>
      <w:pPr>
        <w:ind w:left="865"/>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Q4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5" w:right="480" w:hanging="425"/>
        <w:spacing w:after="0" w:line="260" w:lineRule="auto"/>
        <w:tabs>
          <w:tab w:leader="none" w:pos="425" w:val="left"/>
        </w:tabs>
        <w:numPr>
          <w:ilvl w:val="0"/>
          <w:numId w:val="3"/>
        </w:numPr>
        <w:rPr>
          <w:rFonts w:ascii="Arial" w:cs="Arial" w:eastAsia="Arial" w:hAnsi="Arial"/>
          <w:sz w:val="38"/>
          <w:szCs w:val="38"/>
          <w:color w:val="auto"/>
        </w:rPr>
      </w:pPr>
      <w:r>
        <w:rPr>
          <w:rFonts w:ascii="Arial" w:cs="Arial" w:eastAsia="Arial" w:hAnsi="Arial"/>
          <w:sz w:val="38"/>
          <w:szCs w:val="38"/>
          <w:color w:val="auto"/>
        </w:rPr>
        <w:t>Expect Q4 EBIT to remain positive, but at a significantly lower run-rate than each of first three quarters</w:t>
      </w:r>
    </w:p>
    <w:p>
      <w:pPr>
        <w:spacing w:after="0" w:line="49" w:lineRule="exact"/>
        <w:rPr>
          <w:rFonts w:ascii="Arial" w:cs="Arial" w:eastAsia="Arial" w:hAnsi="Arial"/>
          <w:sz w:val="38"/>
          <w:szCs w:val="38"/>
          <w:color w:val="auto"/>
        </w:rPr>
      </w:pPr>
    </w:p>
    <w:p>
      <w:pPr>
        <w:ind w:left="565"/>
        <w:spacing w:after="0"/>
        <w:rPr>
          <w:rFonts w:ascii="Arial" w:cs="Arial" w:eastAsia="Arial" w:hAnsi="Arial"/>
          <w:sz w:val="38"/>
          <w:szCs w:val="38"/>
          <w:color w:val="auto"/>
        </w:rPr>
      </w:pPr>
      <w:r>
        <w:rPr>
          <w:rFonts w:ascii="Arial" w:cs="Arial" w:eastAsia="Arial" w:hAnsi="Arial"/>
          <w:sz w:val="35"/>
          <w:szCs w:val="35"/>
          <w:color w:val="auto"/>
        </w:rPr>
        <w:t>– Different production mix</w:t>
      </w:r>
    </w:p>
    <w:p>
      <w:pPr>
        <w:spacing w:after="0" w:line="109" w:lineRule="exact"/>
        <w:rPr>
          <w:rFonts w:ascii="Arial" w:cs="Arial" w:eastAsia="Arial" w:hAnsi="Arial"/>
          <w:sz w:val="38"/>
          <w:szCs w:val="38"/>
          <w:color w:val="auto"/>
        </w:rPr>
      </w:pPr>
    </w:p>
    <w:p>
      <w:pPr>
        <w:ind w:left="565"/>
        <w:spacing w:after="0"/>
        <w:rPr>
          <w:rFonts w:ascii="Arial" w:cs="Arial" w:eastAsia="Arial" w:hAnsi="Arial"/>
          <w:sz w:val="38"/>
          <w:szCs w:val="38"/>
          <w:color w:val="auto"/>
        </w:rPr>
      </w:pPr>
      <w:r>
        <w:rPr>
          <w:rFonts w:ascii="Arial" w:cs="Arial" w:eastAsia="Arial" w:hAnsi="Arial"/>
          <w:sz w:val="35"/>
          <w:szCs w:val="35"/>
          <w:color w:val="auto"/>
        </w:rPr>
        <w:t>– New vehicle launch costs</w:t>
      </w:r>
    </w:p>
    <w:p>
      <w:pPr>
        <w:spacing w:after="0" w:line="109" w:lineRule="exact"/>
        <w:rPr>
          <w:rFonts w:ascii="Arial" w:cs="Arial" w:eastAsia="Arial" w:hAnsi="Arial"/>
          <w:sz w:val="38"/>
          <w:szCs w:val="38"/>
          <w:color w:val="auto"/>
        </w:rPr>
      </w:pPr>
    </w:p>
    <w:p>
      <w:pPr>
        <w:ind w:left="925" w:right="1560" w:hanging="357"/>
        <w:spacing w:after="0" w:line="256" w:lineRule="auto"/>
        <w:rPr>
          <w:rFonts w:ascii="Arial" w:cs="Arial" w:eastAsia="Arial" w:hAnsi="Arial"/>
          <w:sz w:val="38"/>
          <w:szCs w:val="38"/>
          <w:color w:val="auto"/>
        </w:rPr>
      </w:pPr>
      <w:r>
        <w:rPr>
          <w:rFonts w:ascii="Arial" w:cs="Arial" w:eastAsia="Arial" w:hAnsi="Arial"/>
          <w:sz w:val="35"/>
          <w:szCs w:val="35"/>
          <w:color w:val="auto"/>
        </w:rPr>
        <w:t>– Increased engineering expense in support of future products</w:t>
      </w:r>
    </w:p>
    <w:p>
      <w:pPr>
        <w:spacing w:after="0" w:line="180" w:lineRule="exact"/>
        <w:rPr>
          <w:rFonts w:ascii="Arial" w:cs="Arial" w:eastAsia="Arial" w:hAnsi="Arial"/>
          <w:sz w:val="38"/>
          <w:szCs w:val="38"/>
          <w:color w:val="auto"/>
        </w:rPr>
      </w:pPr>
    </w:p>
    <w:p>
      <w:pPr>
        <w:ind w:left="425" w:right="1120" w:hanging="425"/>
        <w:spacing w:after="0" w:line="257" w:lineRule="auto"/>
        <w:tabs>
          <w:tab w:leader="none" w:pos="425" w:val="left"/>
        </w:tabs>
        <w:numPr>
          <w:ilvl w:val="0"/>
          <w:numId w:val="3"/>
        </w:numPr>
        <w:rPr>
          <w:rFonts w:ascii="Arial" w:cs="Arial" w:eastAsia="Arial" w:hAnsi="Arial"/>
          <w:sz w:val="38"/>
          <w:szCs w:val="38"/>
          <w:color w:val="auto"/>
        </w:rPr>
      </w:pPr>
      <w:r>
        <w:rPr>
          <w:rFonts w:ascii="Arial" w:cs="Arial" w:eastAsia="Arial" w:hAnsi="Arial"/>
          <w:sz w:val="38"/>
          <w:szCs w:val="38"/>
          <w:color w:val="auto"/>
        </w:rPr>
        <w:t>$0.7B non-cash charge associated with purchase of Series A Preferred Stock held by United States Department of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21</w:t>
      </w:r>
    </w:p>
    <w:p>
      <w:pPr>
        <w:sectPr>
          <w:pgSz w:w="11900" w:h="16838" w:orient="portrait"/>
          <w:cols w:equalWidth="0" w:num="1">
            <w:col w:w="10285"/>
          </w:cols>
          <w:pgMar w:left="735" w:top="613" w:right="879" w:bottom="1440" w:gutter="0" w:footer="0" w:header="0"/>
        </w:sectPr>
      </w:pPr>
    </w:p>
    <w:bookmarkStart w:id="26" w:name="page27"/>
    <w:bookmarkEnd w:id="26"/>
    <w:p>
      <w:pPr>
        <w:ind w:left="865"/>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Q3 Key Messages</w:t>
      </w:r>
    </w:p>
    <w:p>
      <w:pPr>
        <w:spacing w:after="0" w:line="200" w:lineRule="exact"/>
        <w:rPr>
          <w:sz w:val="20"/>
          <w:szCs w:val="20"/>
          <w:color w:val="auto"/>
        </w:rPr>
      </w:pPr>
    </w:p>
    <w:p>
      <w:pPr>
        <w:spacing w:after="0" w:line="237" w:lineRule="exact"/>
        <w:rPr>
          <w:sz w:val="20"/>
          <w:szCs w:val="20"/>
          <w:color w:val="auto"/>
        </w:rPr>
      </w:pPr>
    </w:p>
    <w:p>
      <w:pPr>
        <w:ind w:left="425" w:right="600" w:hanging="425"/>
        <w:spacing w:after="0" w:line="266" w:lineRule="auto"/>
        <w:tabs>
          <w:tab w:leader="none" w:pos="425" w:val="left"/>
        </w:tabs>
        <w:numPr>
          <w:ilvl w:val="0"/>
          <w:numId w:val="4"/>
        </w:numPr>
        <w:rPr>
          <w:rFonts w:ascii="Arial" w:cs="Arial" w:eastAsia="Arial" w:hAnsi="Arial"/>
          <w:sz w:val="38"/>
          <w:szCs w:val="38"/>
          <w:color w:val="auto"/>
        </w:rPr>
      </w:pPr>
      <w:r>
        <w:rPr>
          <w:rFonts w:ascii="Arial" w:cs="Arial" w:eastAsia="Arial" w:hAnsi="Arial"/>
          <w:sz w:val="38"/>
          <w:szCs w:val="38"/>
          <w:color w:val="auto"/>
        </w:rPr>
        <w:t>Three straight quarters of profitability and positive cash flow</w:t>
      </w:r>
    </w:p>
    <w:p>
      <w:pPr>
        <w:spacing w:after="0" w:line="200" w:lineRule="exact"/>
        <w:rPr>
          <w:rFonts w:ascii="Arial" w:cs="Arial" w:eastAsia="Arial" w:hAnsi="Arial"/>
          <w:sz w:val="38"/>
          <w:szCs w:val="38"/>
          <w:color w:val="auto"/>
        </w:rPr>
      </w:pPr>
    </w:p>
    <w:p>
      <w:pPr>
        <w:spacing w:after="0" w:line="223" w:lineRule="exact"/>
        <w:rPr>
          <w:rFonts w:ascii="Arial" w:cs="Arial" w:eastAsia="Arial" w:hAnsi="Arial"/>
          <w:sz w:val="38"/>
          <w:szCs w:val="38"/>
          <w:color w:val="auto"/>
        </w:rPr>
      </w:pPr>
    </w:p>
    <w:p>
      <w:pPr>
        <w:ind w:left="425" w:hanging="425"/>
        <w:spacing w:after="0"/>
        <w:tabs>
          <w:tab w:leader="none" w:pos="425" w:val="left"/>
        </w:tabs>
        <w:numPr>
          <w:ilvl w:val="0"/>
          <w:numId w:val="4"/>
        </w:numPr>
        <w:rPr>
          <w:rFonts w:ascii="Arial" w:cs="Arial" w:eastAsia="Arial" w:hAnsi="Arial"/>
          <w:sz w:val="38"/>
          <w:szCs w:val="38"/>
          <w:color w:val="auto"/>
        </w:rPr>
      </w:pPr>
      <w:r>
        <w:rPr>
          <w:rFonts w:ascii="Arial" w:cs="Arial" w:eastAsia="Arial" w:hAnsi="Arial"/>
          <w:sz w:val="38"/>
          <w:szCs w:val="38"/>
          <w:color w:val="auto"/>
        </w:rPr>
        <w:t>Expect to post solidly profitable results for CY 2010</w:t>
      </w:r>
    </w:p>
    <w:p>
      <w:pPr>
        <w:spacing w:after="0" w:line="200" w:lineRule="exact"/>
        <w:rPr>
          <w:rFonts w:ascii="Arial" w:cs="Arial" w:eastAsia="Arial" w:hAnsi="Arial"/>
          <w:sz w:val="38"/>
          <w:szCs w:val="38"/>
          <w:color w:val="auto"/>
        </w:rPr>
      </w:pPr>
    </w:p>
    <w:p>
      <w:pPr>
        <w:spacing w:after="0" w:line="291" w:lineRule="exact"/>
        <w:rPr>
          <w:rFonts w:ascii="Arial" w:cs="Arial" w:eastAsia="Arial" w:hAnsi="Arial"/>
          <w:sz w:val="38"/>
          <w:szCs w:val="38"/>
          <w:color w:val="auto"/>
        </w:rPr>
      </w:pPr>
    </w:p>
    <w:p>
      <w:pPr>
        <w:ind w:left="425" w:right="1640" w:hanging="425"/>
        <w:spacing w:after="0" w:line="266" w:lineRule="auto"/>
        <w:tabs>
          <w:tab w:leader="none" w:pos="425" w:val="left"/>
        </w:tabs>
        <w:numPr>
          <w:ilvl w:val="0"/>
          <w:numId w:val="4"/>
        </w:numPr>
        <w:rPr>
          <w:rFonts w:ascii="Arial" w:cs="Arial" w:eastAsia="Arial" w:hAnsi="Arial"/>
          <w:sz w:val="38"/>
          <w:szCs w:val="38"/>
          <w:color w:val="auto"/>
        </w:rPr>
      </w:pPr>
      <w:r>
        <w:rPr>
          <w:rFonts w:ascii="Arial" w:cs="Arial" w:eastAsia="Arial" w:hAnsi="Arial"/>
          <w:sz w:val="38"/>
          <w:szCs w:val="38"/>
          <w:color w:val="auto"/>
        </w:rPr>
        <w:t>Company continues to deliver on major business objectives</w:t>
      </w:r>
    </w:p>
    <w:p>
      <w:pPr>
        <w:spacing w:after="0" w:line="27" w:lineRule="exact"/>
        <w:rPr>
          <w:rFonts w:ascii="Arial" w:cs="Arial" w:eastAsia="Arial" w:hAnsi="Arial"/>
          <w:sz w:val="38"/>
          <w:szCs w:val="38"/>
          <w:color w:val="auto"/>
        </w:rPr>
      </w:pPr>
    </w:p>
    <w:p>
      <w:pPr>
        <w:ind w:left="565"/>
        <w:spacing w:after="0"/>
        <w:rPr>
          <w:rFonts w:ascii="Arial" w:cs="Arial" w:eastAsia="Arial" w:hAnsi="Arial"/>
          <w:sz w:val="38"/>
          <w:szCs w:val="38"/>
          <w:color w:val="auto"/>
        </w:rPr>
      </w:pPr>
      <w:r>
        <w:rPr>
          <w:rFonts w:ascii="Arial" w:cs="Arial" w:eastAsia="Arial" w:hAnsi="Arial"/>
          <w:sz w:val="35"/>
          <w:szCs w:val="35"/>
          <w:color w:val="auto"/>
        </w:rPr>
        <w:t>– Product launches</w:t>
      </w:r>
    </w:p>
    <w:p>
      <w:pPr>
        <w:spacing w:after="0" w:line="109" w:lineRule="exact"/>
        <w:rPr>
          <w:rFonts w:ascii="Arial" w:cs="Arial" w:eastAsia="Arial" w:hAnsi="Arial"/>
          <w:sz w:val="38"/>
          <w:szCs w:val="38"/>
          <w:color w:val="auto"/>
        </w:rPr>
      </w:pPr>
    </w:p>
    <w:p>
      <w:pPr>
        <w:ind w:left="565"/>
        <w:spacing w:after="0"/>
        <w:rPr>
          <w:rFonts w:ascii="Arial" w:cs="Arial" w:eastAsia="Arial" w:hAnsi="Arial"/>
          <w:sz w:val="38"/>
          <w:szCs w:val="38"/>
          <w:color w:val="auto"/>
        </w:rPr>
      </w:pPr>
      <w:r>
        <w:rPr>
          <w:rFonts w:ascii="Arial" w:cs="Arial" w:eastAsia="Arial" w:hAnsi="Arial"/>
          <w:sz w:val="35"/>
          <w:szCs w:val="35"/>
          <w:color w:val="auto"/>
        </w:rPr>
        <w:t>– Cost discipline</w:t>
      </w:r>
    </w:p>
    <w:p>
      <w:pPr>
        <w:spacing w:after="0" w:line="109" w:lineRule="exact"/>
        <w:rPr>
          <w:rFonts w:ascii="Arial" w:cs="Arial" w:eastAsia="Arial" w:hAnsi="Arial"/>
          <w:sz w:val="38"/>
          <w:szCs w:val="38"/>
          <w:color w:val="auto"/>
        </w:rPr>
      </w:pPr>
    </w:p>
    <w:p>
      <w:pPr>
        <w:ind w:left="565"/>
        <w:spacing w:after="0"/>
        <w:rPr>
          <w:rFonts w:ascii="Arial" w:cs="Arial" w:eastAsia="Arial" w:hAnsi="Arial"/>
          <w:sz w:val="38"/>
          <w:szCs w:val="38"/>
          <w:color w:val="auto"/>
        </w:rPr>
      </w:pPr>
      <w:r>
        <w:rPr>
          <w:rFonts w:ascii="Arial" w:cs="Arial" w:eastAsia="Arial" w:hAnsi="Arial"/>
          <w:sz w:val="35"/>
          <w:szCs w:val="35"/>
          <w:color w:val="auto"/>
        </w:rPr>
        <w:t>– European restructuring</w:t>
      </w:r>
    </w:p>
    <w:p>
      <w:pPr>
        <w:spacing w:after="0" w:line="109" w:lineRule="exact"/>
        <w:rPr>
          <w:rFonts w:ascii="Arial" w:cs="Arial" w:eastAsia="Arial" w:hAnsi="Arial"/>
          <w:sz w:val="38"/>
          <w:szCs w:val="38"/>
          <w:color w:val="auto"/>
        </w:rPr>
      </w:pPr>
    </w:p>
    <w:p>
      <w:pPr>
        <w:ind w:left="565"/>
        <w:spacing w:after="0"/>
        <w:rPr>
          <w:rFonts w:ascii="Arial" w:cs="Arial" w:eastAsia="Arial" w:hAnsi="Arial"/>
          <w:sz w:val="38"/>
          <w:szCs w:val="38"/>
          <w:color w:val="auto"/>
        </w:rPr>
      </w:pPr>
      <w:r>
        <w:rPr>
          <w:rFonts w:ascii="Arial" w:cs="Arial" w:eastAsia="Arial" w:hAnsi="Arial"/>
          <w:sz w:val="35"/>
          <w:szCs w:val="35"/>
          <w:color w:val="auto"/>
        </w:rPr>
        <w:t>– Strengthening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22</w:t>
      </w:r>
    </w:p>
    <w:p>
      <w:pPr>
        <w:sectPr>
          <w:pgSz w:w="11900" w:h="16838" w:orient="portrait"/>
          <w:cols w:equalWidth="0" w:num="1">
            <w:col w:w="10285"/>
          </w:cols>
          <w:pgMar w:left="735" w:top="613" w:right="8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6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3135" cy="526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44"/>
          <w:szCs w:val="44"/>
          <w:b w:val="1"/>
          <w:bCs w:val="1"/>
          <w:color w:val="auto"/>
        </w:rPr>
        <w:t>General Motors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44"/>
          <w:szCs w:val="44"/>
          <w:b w:val="1"/>
          <w:bCs w:val="1"/>
          <w:color w:val="auto"/>
        </w:rPr>
        <w:t>Select Supplemental Financial Information</w:t>
      </w:r>
    </w:p>
    <w:p>
      <w:pPr>
        <w:sectPr>
          <w:pgSz w:w="11900" w:h="16838" w:orient="portrait"/>
          <w:cols w:equalWidth="0" w:num="1">
            <w:col w:w="9019"/>
          </w:cols>
          <w:pgMar w:left="1440" w:top="1440" w:right="1440" w:bottom="1440" w:gutter="0" w:footer="0" w:header="0"/>
        </w:sectPr>
      </w:pPr>
    </w:p>
    <w:bookmarkStart w:id="28" w:name="page29"/>
    <w:bookmarkEnd w:id="28"/>
    <w:p>
      <w:pPr>
        <w:ind w:left="9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Operating Income Walk to EBIT- Adj</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4940" w:type="dxa"/>
            <w:vAlign w:val="bottom"/>
          </w:tcPr>
          <w:p>
            <w:pPr>
              <w:spacing w:after="0"/>
              <w:rPr>
                <w:sz w:val="24"/>
                <w:szCs w:val="24"/>
                <w:color w:val="auto"/>
              </w:rPr>
            </w:pPr>
          </w:p>
        </w:tc>
        <w:tc>
          <w:tcPr>
            <w:tcW w:w="1860" w:type="dxa"/>
            <w:vAlign w:val="bottom"/>
          </w:tcPr>
          <w:p>
            <w:pPr>
              <w:jc w:val="right"/>
              <w:ind w:right="705"/>
              <w:spacing w:after="0"/>
              <w:rPr>
                <w:sz w:val="20"/>
                <w:szCs w:val="20"/>
                <w:color w:val="auto"/>
              </w:rPr>
            </w:pPr>
            <w:r>
              <w:rPr>
                <w:rFonts w:ascii="Arial" w:cs="Arial" w:eastAsia="Arial" w:hAnsi="Arial"/>
                <w:sz w:val="25"/>
                <w:szCs w:val="25"/>
                <w:b w:val="1"/>
                <w:bCs w:val="1"/>
                <w:color w:val="auto"/>
              </w:rPr>
              <w:t>Q1</w:t>
            </w:r>
          </w:p>
        </w:tc>
        <w:tc>
          <w:tcPr>
            <w:tcW w:w="1960" w:type="dxa"/>
            <w:vAlign w:val="bottom"/>
          </w:tcPr>
          <w:p>
            <w:pPr>
              <w:jc w:val="right"/>
              <w:ind w:right="625"/>
              <w:spacing w:after="0"/>
              <w:rPr>
                <w:sz w:val="20"/>
                <w:szCs w:val="20"/>
                <w:color w:val="auto"/>
              </w:rPr>
            </w:pPr>
            <w:r>
              <w:rPr>
                <w:rFonts w:ascii="Arial" w:cs="Arial" w:eastAsia="Arial" w:hAnsi="Arial"/>
                <w:sz w:val="25"/>
                <w:szCs w:val="25"/>
                <w:b w:val="1"/>
                <w:bCs w:val="1"/>
                <w:color w:val="auto"/>
              </w:rPr>
              <w:t>Q2</w:t>
            </w:r>
          </w:p>
        </w:tc>
        <w:tc>
          <w:tcPr>
            <w:tcW w:w="1280" w:type="dxa"/>
            <w:vAlign w:val="bottom"/>
          </w:tcPr>
          <w:p>
            <w:pPr>
              <w:jc w:val="center"/>
              <w:ind w:left="445"/>
              <w:spacing w:after="0"/>
              <w:rPr>
                <w:sz w:val="20"/>
                <w:szCs w:val="20"/>
                <w:color w:val="auto"/>
              </w:rPr>
            </w:pPr>
            <w:r>
              <w:rPr>
                <w:rFonts w:ascii="Arial" w:cs="Arial" w:eastAsia="Arial" w:hAnsi="Arial"/>
                <w:sz w:val="25"/>
                <w:szCs w:val="25"/>
                <w:b w:val="1"/>
                <w:bCs w:val="1"/>
                <w:color w:val="auto"/>
              </w:rPr>
              <w:t>Q3</w:t>
            </w:r>
          </w:p>
        </w:tc>
      </w:tr>
      <w:tr>
        <w:trPr>
          <w:trHeight w:val="427"/>
        </w:trPr>
        <w:tc>
          <w:tcPr>
            <w:tcW w:w="4940" w:type="dxa"/>
            <w:vAlign w:val="bottom"/>
          </w:tcPr>
          <w:p>
            <w:pPr>
              <w:spacing w:after="0"/>
              <w:rPr>
                <w:sz w:val="20"/>
                <w:szCs w:val="20"/>
                <w:color w:val="auto"/>
              </w:rPr>
            </w:pPr>
            <w:r>
              <w:rPr>
                <w:rFonts w:ascii="Arial" w:cs="Arial" w:eastAsia="Arial" w:hAnsi="Arial"/>
                <w:sz w:val="29"/>
                <w:szCs w:val="29"/>
                <w:b w:val="1"/>
                <w:bCs w:val="1"/>
                <w:color w:val="auto"/>
              </w:rPr>
              <w:t>($B)</w:t>
            </w:r>
          </w:p>
        </w:tc>
        <w:tc>
          <w:tcPr>
            <w:tcW w:w="1860" w:type="dxa"/>
            <w:vAlign w:val="bottom"/>
          </w:tcPr>
          <w:p>
            <w:pPr>
              <w:jc w:val="right"/>
              <w:ind w:right="525"/>
              <w:spacing w:after="0"/>
              <w:rPr>
                <w:sz w:val="20"/>
                <w:szCs w:val="20"/>
                <w:color w:val="auto"/>
              </w:rPr>
            </w:pPr>
            <w:r>
              <w:rPr>
                <w:rFonts w:ascii="Arial" w:cs="Arial" w:eastAsia="Arial" w:hAnsi="Arial"/>
                <w:sz w:val="32"/>
                <w:szCs w:val="32"/>
                <w:b w:val="1"/>
                <w:bCs w:val="1"/>
                <w:color w:val="auto"/>
              </w:rPr>
              <w:t>2010</w:t>
            </w:r>
          </w:p>
        </w:tc>
        <w:tc>
          <w:tcPr>
            <w:tcW w:w="1960" w:type="dxa"/>
            <w:vAlign w:val="bottom"/>
          </w:tcPr>
          <w:p>
            <w:pPr>
              <w:jc w:val="right"/>
              <w:ind w:right="445"/>
              <w:spacing w:after="0"/>
              <w:rPr>
                <w:sz w:val="20"/>
                <w:szCs w:val="20"/>
                <w:color w:val="auto"/>
              </w:rPr>
            </w:pPr>
            <w:r>
              <w:rPr>
                <w:rFonts w:ascii="Arial" w:cs="Arial" w:eastAsia="Arial" w:hAnsi="Arial"/>
                <w:sz w:val="32"/>
                <w:szCs w:val="32"/>
                <w:b w:val="1"/>
                <w:bCs w:val="1"/>
                <w:color w:val="auto"/>
              </w:rPr>
              <w:t>2010</w:t>
            </w:r>
          </w:p>
        </w:tc>
        <w:tc>
          <w:tcPr>
            <w:tcW w:w="1280" w:type="dxa"/>
            <w:vAlign w:val="bottom"/>
          </w:tcPr>
          <w:p>
            <w:pPr>
              <w:jc w:val="center"/>
              <w:ind w:left="445"/>
              <w:spacing w:after="0"/>
              <w:rPr>
                <w:sz w:val="20"/>
                <w:szCs w:val="20"/>
                <w:color w:val="auto"/>
              </w:rPr>
            </w:pPr>
            <w:r>
              <w:rPr>
                <w:rFonts w:ascii="Arial" w:cs="Arial" w:eastAsia="Arial" w:hAnsi="Arial"/>
                <w:sz w:val="32"/>
                <w:szCs w:val="32"/>
                <w:b w:val="1"/>
                <w:bCs w:val="1"/>
                <w:color w:val="auto"/>
                <w:w w:val="98"/>
              </w:rPr>
              <w:t>2010</w:t>
            </w:r>
          </w:p>
        </w:tc>
      </w:tr>
      <w:tr>
        <w:trPr>
          <w:trHeight w:val="585"/>
        </w:trPr>
        <w:tc>
          <w:tcPr>
            <w:tcW w:w="4940" w:type="dxa"/>
            <w:vAlign w:val="bottom"/>
          </w:tcPr>
          <w:p>
            <w:pPr>
              <w:spacing w:after="0"/>
              <w:rPr>
                <w:sz w:val="20"/>
                <w:szCs w:val="20"/>
                <w:color w:val="auto"/>
              </w:rPr>
            </w:pPr>
            <w:r>
              <w:rPr>
                <w:rFonts w:ascii="Arial" w:cs="Arial" w:eastAsia="Arial" w:hAnsi="Arial"/>
                <w:sz w:val="29"/>
                <w:szCs w:val="29"/>
                <w:b w:val="1"/>
                <w:bCs w:val="1"/>
                <w:color w:val="auto"/>
              </w:rPr>
              <w:t>Operating Income</w:t>
            </w:r>
          </w:p>
        </w:tc>
        <w:tc>
          <w:tcPr>
            <w:tcW w:w="1860" w:type="dxa"/>
            <w:vAlign w:val="bottom"/>
          </w:tcPr>
          <w:p>
            <w:pPr>
              <w:jc w:val="right"/>
              <w:ind w:right="665"/>
              <w:spacing w:after="0"/>
              <w:rPr>
                <w:sz w:val="20"/>
                <w:szCs w:val="20"/>
                <w:color w:val="auto"/>
              </w:rPr>
            </w:pPr>
            <w:r>
              <w:rPr>
                <w:rFonts w:ascii="Arial" w:cs="Arial" w:eastAsia="Arial" w:hAnsi="Arial"/>
                <w:sz w:val="29"/>
                <w:szCs w:val="29"/>
                <w:b w:val="1"/>
                <w:bCs w:val="1"/>
                <w:color w:val="auto"/>
              </w:rPr>
              <w:t>1.2</w:t>
            </w:r>
          </w:p>
        </w:tc>
        <w:tc>
          <w:tcPr>
            <w:tcW w:w="1960" w:type="dxa"/>
            <w:vAlign w:val="bottom"/>
          </w:tcPr>
          <w:p>
            <w:pPr>
              <w:jc w:val="right"/>
              <w:ind w:right="585"/>
              <w:spacing w:after="0"/>
              <w:rPr>
                <w:sz w:val="20"/>
                <w:szCs w:val="20"/>
                <w:color w:val="auto"/>
              </w:rPr>
            </w:pPr>
            <w:r>
              <w:rPr>
                <w:rFonts w:ascii="Arial" w:cs="Arial" w:eastAsia="Arial" w:hAnsi="Arial"/>
                <w:sz w:val="29"/>
                <w:szCs w:val="29"/>
                <w:b w:val="1"/>
                <w:bCs w:val="1"/>
                <w:color w:val="auto"/>
              </w:rPr>
              <w:t>1.8</w:t>
            </w:r>
          </w:p>
        </w:tc>
        <w:tc>
          <w:tcPr>
            <w:tcW w:w="1280" w:type="dxa"/>
            <w:vAlign w:val="bottom"/>
          </w:tcPr>
          <w:p>
            <w:pPr>
              <w:jc w:val="right"/>
              <w:ind w:right="5"/>
              <w:spacing w:after="0"/>
              <w:rPr>
                <w:sz w:val="20"/>
                <w:szCs w:val="20"/>
                <w:color w:val="auto"/>
              </w:rPr>
            </w:pPr>
            <w:r>
              <w:rPr>
                <w:rFonts w:ascii="Arial" w:cs="Arial" w:eastAsia="Arial" w:hAnsi="Arial"/>
                <w:sz w:val="29"/>
                <w:szCs w:val="29"/>
                <w:b w:val="1"/>
                <w:bCs w:val="1"/>
                <w:color w:val="auto"/>
              </w:rPr>
              <w:t>1.9</w:t>
            </w:r>
          </w:p>
        </w:tc>
      </w:tr>
      <w:tr>
        <w:trPr>
          <w:trHeight w:val="690"/>
        </w:trPr>
        <w:tc>
          <w:tcPr>
            <w:tcW w:w="4940" w:type="dxa"/>
            <w:vAlign w:val="bottom"/>
          </w:tcPr>
          <w:p>
            <w:pPr>
              <w:ind w:left="140"/>
              <w:spacing w:after="0"/>
              <w:rPr>
                <w:sz w:val="20"/>
                <w:szCs w:val="20"/>
                <w:color w:val="auto"/>
              </w:rPr>
            </w:pPr>
            <w:r>
              <w:rPr>
                <w:rFonts w:ascii="Arial" w:cs="Arial" w:eastAsia="Arial" w:hAnsi="Arial"/>
                <w:sz w:val="25"/>
                <w:szCs w:val="25"/>
                <w:color w:val="auto"/>
              </w:rPr>
              <w:t>Equity Income</w:t>
            </w:r>
          </w:p>
        </w:tc>
        <w:tc>
          <w:tcPr>
            <w:tcW w:w="1860" w:type="dxa"/>
            <w:vAlign w:val="bottom"/>
          </w:tcPr>
          <w:p>
            <w:pPr>
              <w:jc w:val="right"/>
              <w:ind w:right="705"/>
              <w:spacing w:after="0"/>
              <w:rPr>
                <w:sz w:val="20"/>
                <w:szCs w:val="20"/>
                <w:color w:val="auto"/>
              </w:rPr>
            </w:pPr>
            <w:r>
              <w:rPr>
                <w:rFonts w:ascii="Arial" w:cs="Arial" w:eastAsia="Arial" w:hAnsi="Arial"/>
                <w:sz w:val="25"/>
                <w:szCs w:val="25"/>
                <w:color w:val="auto"/>
              </w:rPr>
              <w:t>0.4</w:t>
            </w:r>
          </w:p>
        </w:tc>
        <w:tc>
          <w:tcPr>
            <w:tcW w:w="1960" w:type="dxa"/>
            <w:vAlign w:val="bottom"/>
          </w:tcPr>
          <w:p>
            <w:pPr>
              <w:jc w:val="right"/>
              <w:ind w:right="625"/>
              <w:spacing w:after="0"/>
              <w:rPr>
                <w:sz w:val="20"/>
                <w:szCs w:val="20"/>
                <w:color w:val="auto"/>
              </w:rPr>
            </w:pPr>
            <w:r>
              <w:rPr>
                <w:rFonts w:ascii="Arial" w:cs="Arial" w:eastAsia="Arial" w:hAnsi="Arial"/>
                <w:sz w:val="25"/>
                <w:szCs w:val="25"/>
                <w:color w:val="auto"/>
              </w:rPr>
              <w:t>0.4</w:t>
            </w:r>
          </w:p>
        </w:tc>
        <w:tc>
          <w:tcPr>
            <w:tcW w:w="1280" w:type="dxa"/>
            <w:vAlign w:val="bottom"/>
          </w:tcPr>
          <w:p>
            <w:pPr>
              <w:jc w:val="center"/>
              <w:ind w:left="425"/>
              <w:spacing w:after="0"/>
              <w:rPr>
                <w:sz w:val="20"/>
                <w:szCs w:val="20"/>
                <w:color w:val="auto"/>
              </w:rPr>
            </w:pPr>
            <w:r>
              <w:rPr>
                <w:rFonts w:ascii="Arial" w:cs="Arial" w:eastAsia="Arial" w:hAnsi="Arial"/>
                <w:sz w:val="25"/>
                <w:szCs w:val="25"/>
                <w:color w:val="auto"/>
              </w:rPr>
              <w:t>0.4</w:t>
            </w:r>
          </w:p>
        </w:tc>
      </w:tr>
      <w:tr>
        <w:trPr>
          <w:trHeight w:val="678"/>
        </w:trPr>
        <w:tc>
          <w:tcPr>
            <w:tcW w:w="4940" w:type="dxa"/>
            <w:vAlign w:val="bottom"/>
          </w:tcPr>
          <w:p>
            <w:pPr>
              <w:ind w:left="140"/>
              <w:spacing w:after="0"/>
              <w:rPr>
                <w:sz w:val="20"/>
                <w:szCs w:val="20"/>
                <w:color w:val="auto"/>
              </w:rPr>
            </w:pPr>
            <w:r>
              <w:rPr>
                <w:rFonts w:ascii="Arial" w:cs="Arial" w:eastAsia="Arial" w:hAnsi="Arial"/>
                <w:sz w:val="25"/>
                <w:szCs w:val="25"/>
                <w:color w:val="auto"/>
              </w:rPr>
              <w:t>Non-Controlling Interests</w:t>
            </w:r>
          </w:p>
        </w:tc>
        <w:tc>
          <w:tcPr>
            <w:tcW w:w="1860" w:type="dxa"/>
            <w:vAlign w:val="bottom"/>
          </w:tcPr>
          <w:p>
            <w:pPr>
              <w:jc w:val="right"/>
              <w:ind w:right="625"/>
              <w:spacing w:after="0"/>
              <w:rPr>
                <w:sz w:val="20"/>
                <w:szCs w:val="20"/>
                <w:color w:val="auto"/>
              </w:rPr>
            </w:pPr>
            <w:r>
              <w:rPr>
                <w:rFonts w:ascii="Arial" w:cs="Arial" w:eastAsia="Arial" w:hAnsi="Arial"/>
                <w:sz w:val="25"/>
                <w:szCs w:val="25"/>
                <w:color w:val="auto"/>
              </w:rPr>
              <w:t>(0.1)</w:t>
            </w:r>
          </w:p>
        </w:tc>
        <w:tc>
          <w:tcPr>
            <w:tcW w:w="1960" w:type="dxa"/>
            <w:vAlign w:val="bottom"/>
          </w:tcPr>
          <w:p>
            <w:pPr>
              <w:jc w:val="right"/>
              <w:ind w:right="545"/>
              <w:spacing w:after="0"/>
              <w:rPr>
                <w:sz w:val="20"/>
                <w:szCs w:val="20"/>
                <w:color w:val="auto"/>
              </w:rPr>
            </w:pPr>
            <w:r>
              <w:rPr>
                <w:rFonts w:ascii="Arial" w:cs="Arial" w:eastAsia="Arial" w:hAnsi="Arial"/>
                <w:sz w:val="25"/>
                <w:szCs w:val="25"/>
                <w:color w:val="auto"/>
              </w:rPr>
              <w:t>(0.1)</w:t>
            </w:r>
          </w:p>
        </w:tc>
        <w:tc>
          <w:tcPr>
            <w:tcW w:w="1280" w:type="dxa"/>
            <w:vAlign w:val="bottom"/>
          </w:tcPr>
          <w:p>
            <w:pPr>
              <w:jc w:val="center"/>
              <w:ind w:left="425"/>
              <w:spacing w:after="0"/>
              <w:rPr>
                <w:sz w:val="20"/>
                <w:szCs w:val="20"/>
                <w:color w:val="auto"/>
              </w:rPr>
            </w:pPr>
            <w:r>
              <w:rPr>
                <w:rFonts w:ascii="Arial" w:cs="Arial" w:eastAsia="Arial" w:hAnsi="Arial"/>
                <w:sz w:val="25"/>
                <w:szCs w:val="25"/>
                <w:color w:val="auto"/>
              </w:rPr>
              <w:t>(0.1)</w:t>
            </w:r>
          </w:p>
        </w:tc>
      </w:tr>
      <w:tr>
        <w:trPr>
          <w:trHeight w:val="702"/>
        </w:trPr>
        <w:tc>
          <w:tcPr>
            <w:tcW w:w="4940" w:type="dxa"/>
            <w:vAlign w:val="bottom"/>
          </w:tcPr>
          <w:p>
            <w:pPr>
              <w:ind w:left="140"/>
              <w:spacing w:after="0"/>
              <w:rPr>
                <w:sz w:val="20"/>
                <w:szCs w:val="20"/>
                <w:color w:val="auto"/>
              </w:rPr>
            </w:pPr>
            <w:r>
              <w:rPr>
                <w:rFonts w:ascii="Arial" w:cs="Arial" w:eastAsia="Arial" w:hAnsi="Arial"/>
                <w:sz w:val="25"/>
                <w:szCs w:val="25"/>
                <w:color w:val="auto"/>
              </w:rPr>
              <w:t>Non-Operating Income/(Expense)</w:t>
            </w:r>
          </w:p>
        </w:tc>
        <w:tc>
          <w:tcPr>
            <w:tcW w:w="1860" w:type="dxa"/>
            <w:vAlign w:val="bottom"/>
          </w:tcPr>
          <w:p>
            <w:pPr>
              <w:jc w:val="right"/>
              <w:ind w:right="705"/>
              <w:spacing w:after="0"/>
              <w:rPr>
                <w:sz w:val="20"/>
                <w:szCs w:val="20"/>
                <w:color w:val="auto"/>
              </w:rPr>
            </w:pPr>
            <w:r>
              <w:rPr>
                <w:rFonts w:ascii="Arial" w:cs="Arial" w:eastAsia="Arial" w:hAnsi="Arial"/>
                <w:sz w:val="25"/>
                <w:szCs w:val="25"/>
                <w:color w:val="auto"/>
              </w:rPr>
              <w:t>0.3</w:t>
            </w:r>
          </w:p>
        </w:tc>
        <w:tc>
          <w:tcPr>
            <w:tcW w:w="1960" w:type="dxa"/>
            <w:vAlign w:val="bottom"/>
          </w:tcPr>
          <w:p>
            <w:pPr>
              <w:jc w:val="right"/>
              <w:ind w:right="545"/>
              <w:spacing w:after="0"/>
              <w:rPr>
                <w:sz w:val="20"/>
                <w:szCs w:val="20"/>
                <w:color w:val="auto"/>
              </w:rPr>
            </w:pPr>
            <w:r>
              <w:rPr>
                <w:rFonts w:ascii="Arial" w:cs="Arial" w:eastAsia="Arial" w:hAnsi="Arial"/>
                <w:sz w:val="25"/>
                <w:szCs w:val="25"/>
                <w:color w:val="auto"/>
              </w:rPr>
              <w:t>(0.1)</w:t>
            </w:r>
          </w:p>
        </w:tc>
        <w:tc>
          <w:tcPr>
            <w:tcW w:w="1280" w:type="dxa"/>
            <w:vAlign w:val="bottom"/>
          </w:tcPr>
          <w:p>
            <w:pPr>
              <w:jc w:val="center"/>
              <w:ind w:left="425"/>
              <w:spacing w:after="0"/>
              <w:rPr>
                <w:sz w:val="20"/>
                <w:szCs w:val="20"/>
                <w:color w:val="auto"/>
              </w:rPr>
            </w:pPr>
            <w:r>
              <w:rPr>
                <w:rFonts w:ascii="Arial" w:cs="Arial" w:eastAsia="Arial" w:hAnsi="Arial"/>
                <w:sz w:val="25"/>
                <w:szCs w:val="25"/>
                <w:color w:val="auto"/>
              </w:rPr>
              <w:t>0.1</w:t>
            </w:r>
          </w:p>
        </w:tc>
      </w:tr>
      <w:tr>
        <w:trPr>
          <w:trHeight w:val="738"/>
        </w:trPr>
        <w:tc>
          <w:tcPr>
            <w:tcW w:w="4940" w:type="dxa"/>
            <w:vAlign w:val="bottom"/>
          </w:tcPr>
          <w:p>
            <w:pPr>
              <w:spacing w:after="0"/>
              <w:rPr>
                <w:sz w:val="20"/>
                <w:szCs w:val="20"/>
                <w:color w:val="auto"/>
              </w:rPr>
            </w:pPr>
            <w:r>
              <w:rPr>
                <w:rFonts w:ascii="Arial" w:cs="Arial" w:eastAsia="Arial" w:hAnsi="Arial"/>
                <w:sz w:val="29"/>
                <w:szCs w:val="29"/>
                <w:b w:val="1"/>
                <w:bCs w:val="1"/>
                <w:color w:val="auto"/>
              </w:rPr>
              <w:t>Earnings Before Interest &amp; Taxes</w:t>
            </w:r>
          </w:p>
        </w:tc>
        <w:tc>
          <w:tcPr>
            <w:tcW w:w="1860" w:type="dxa"/>
            <w:vAlign w:val="bottom"/>
          </w:tcPr>
          <w:p>
            <w:pPr>
              <w:jc w:val="right"/>
              <w:ind w:right="665"/>
              <w:spacing w:after="0"/>
              <w:rPr>
                <w:sz w:val="20"/>
                <w:szCs w:val="20"/>
                <w:color w:val="auto"/>
              </w:rPr>
            </w:pPr>
            <w:r>
              <w:rPr>
                <w:rFonts w:ascii="Arial" w:cs="Arial" w:eastAsia="Arial" w:hAnsi="Arial"/>
                <w:sz w:val="29"/>
                <w:szCs w:val="29"/>
                <w:b w:val="1"/>
                <w:bCs w:val="1"/>
                <w:color w:val="auto"/>
              </w:rPr>
              <w:t>1.8</w:t>
            </w:r>
          </w:p>
        </w:tc>
        <w:tc>
          <w:tcPr>
            <w:tcW w:w="1960" w:type="dxa"/>
            <w:vAlign w:val="bottom"/>
          </w:tcPr>
          <w:p>
            <w:pPr>
              <w:jc w:val="right"/>
              <w:ind w:right="585"/>
              <w:spacing w:after="0"/>
              <w:rPr>
                <w:sz w:val="20"/>
                <w:szCs w:val="20"/>
                <w:color w:val="auto"/>
              </w:rPr>
            </w:pPr>
            <w:r>
              <w:rPr>
                <w:rFonts w:ascii="Arial" w:cs="Arial" w:eastAsia="Arial" w:hAnsi="Arial"/>
                <w:sz w:val="29"/>
                <w:szCs w:val="29"/>
                <w:b w:val="1"/>
                <w:bCs w:val="1"/>
                <w:color w:val="auto"/>
              </w:rPr>
              <w:t>2.0</w:t>
            </w:r>
          </w:p>
        </w:tc>
        <w:tc>
          <w:tcPr>
            <w:tcW w:w="1280" w:type="dxa"/>
            <w:vAlign w:val="bottom"/>
          </w:tcPr>
          <w:p>
            <w:pPr>
              <w:jc w:val="right"/>
              <w:ind w:right="5"/>
              <w:spacing w:after="0"/>
              <w:rPr>
                <w:sz w:val="20"/>
                <w:szCs w:val="20"/>
                <w:color w:val="auto"/>
              </w:rPr>
            </w:pPr>
            <w:r>
              <w:rPr>
                <w:rFonts w:ascii="Arial" w:cs="Arial" w:eastAsia="Arial" w:hAnsi="Arial"/>
                <w:sz w:val="29"/>
                <w:szCs w:val="29"/>
                <w:b w:val="1"/>
                <w:bCs w:val="1"/>
                <w:color w:val="auto"/>
              </w:rPr>
              <w:t>2.3</w:t>
            </w:r>
          </w:p>
        </w:tc>
      </w:tr>
      <w:tr>
        <w:trPr>
          <w:trHeight w:val="702"/>
        </w:trPr>
        <w:tc>
          <w:tcPr>
            <w:tcW w:w="4940" w:type="dxa"/>
            <w:vAlign w:val="bottom"/>
          </w:tcPr>
          <w:p>
            <w:pPr>
              <w:ind w:left="220"/>
              <w:spacing w:after="0"/>
              <w:rPr>
                <w:sz w:val="20"/>
                <w:szCs w:val="20"/>
                <w:color w:val="auto"/>
              </w:rPr>
            </w:pPr>
            <w:r>
              <w:rPr>
                <w:rFonts w:ascii="Arial" w:cs="Arial" w:eastAsia="Arial" w:hAnsi="Arial"/>
                <w:sz w:val="25"/>
                <w:szCs w:val="25"/>
                <w:color w:val="auto"/>
              </w:rPr>
              <w:t>Less Adjustments</w:t>
            </w:r>
          </w:p>
        </w:tc>
        <w:tc>
          <w:tcPr>
            <w:tcW w:w="1860" w:type="dxa"/>
            <w:vAlign w:val="bottom"/>
          </w:tcPr>
          <w:p>
            <w:pPr>
              <w:jc w:val="right"/>
              <w:ind w:right="705"/>
              <w:spacing w:after="0"/>
              <w:rPr>
                <w:sz w:val="20"/>
                <w:szCs w:val="20"/>
                <w:color w:val="auto"/>
              </w:rPr>
            </w:pPr>
            <w:r>
              <w:rPr>
                <w:rFonts w:ascii="Arial" w:cs="Arial" w:eastAsia="Arial" w:hAnsi="Arial"/>
                <w:sz w:val="25"/>
                <w:szCs w:val="25"/>
                <w:color w:val="auto"/>
              </w:rPr>
              <w:t>0.1</w:t>
            </w:r>
          </w:p>
        </w:tc>
        <w:tc>
          <w:tcPr>
            <w:tcW w:w="1960" w:type="dxa"/>
            <w:vAlign w:val="bottom"/>
          </w:tcPr>
          <w:p>
            <w:pPr>
              <w:jc w:val="right"/>
              <w:ind w:right="625"/>
              <w:spacing w:after="0"/>
              <w:rPr>
                <w:sz w:val="20"/>
                <w:szCs w:val="20"/>
                <w:color w:val="auto"/>
              </w:rPr>
            </w:pPr>
            <w:r>
              <w:rPr>
                <w:rFonts w:ascii="Arial" w:cs="Arial" w:eastAsia="Arial" w:hAnsi="Arial"/>
                <w:sz w:val="25"/>
                <w:szCs w:val="25"/>
                <w:color w:val="auto"/>
              </w:rPr>
              <w:t>0.0</w:t>
            </w:r>
          </w:p>
        </w:tc>
        <w:tc>
          <w:tcPr>
            <w:tcW w:w="1280" w:type="dxa"/>
            <w:vAlign w:val="bottom"/>
          </w:tcPr>
          <w:p>
            <w:pPr>
              <w:jc w:val="center"/>
              <w:ind w:left="425"/>
              <w:spacing w:after="0"/>
              <w:rPr>
                <w:sz w:val="20"/>
                <w:szCs w:val="20"/>
                <w:color w:val="auto"/>
              </w:rPr>
            </w:pPr>
            <w:r>
              <w:rPr>
                <w:rFonts w:ascii="Arial" w:cs="Arial" w:eastAsia="Arial" w:hAnsi="Arial"/>
                <w:sz w:val="25"/>
                <w:szCs w:val="25"/>
                <w:color w:val="auto"/>
              </w:rPr>
              <w:t>0.0</w:t>
            </w:r>
          </w:p>
        </w:tc>
      </w:tr>
      <w:tr>
        <w:trPr>
          <w:trHeight w:val="714"/>
        </w:trPr>
        <w:tc>
          <w:tcPr>
            <w:tcW w:w="4940" w:type="dxa"/>
            <w:vAlign w:val="bottom"/>
          </w:tcPr>
          <w:p>
            <w:pPr>
              <w:spacing w:after="0"/>
              <w:rPr>
                <w:sz w:val="20"/>
                <w:szCs w:val="20"/>
                <w:color w:val="auto"/>
              </w:rPr>
            </w:pPr>
            <w:r>
              <w:rPr>
                <w:rFonts w:ascii="Arial" w:cs="Arial" w:eastAsia="Arial" w:hAnsi="Arial"/>
                <w:sz w:val="29"/>
                <w:szCs w:val="29"/>
                <w:b w:val="1"/>
                <w:bCs w:val="1"/>
                <w:color w:val="auto"/>
              </w:rPr>
              <w:t>EBIT- Adj.</w:t>
            </w:r>
          </w:p>
        </w:tc>
        <w:tc>
          <w:tcPr>
            <w:tcW w:w="1860" w:type="dxa"/>
            <w:vAlign w:val="bottom"/>
          </w:tcPr>
          <w:p>
            <w:pPr>
              <w:jc w:val="right"/>
              <w:ind w:right="665"/>
              <w:spacing w:after="0"/>
              <w:rPr>
                <w:sz w:val="20"/>
                <w:szCs w:val="20"/>
                <w:color w:val="auto"/>
              </w:rPr>
            </w:pPr>
            <w:r>
              <w:rPr>
                <w:rFonts w:ascii="Arial" w:cs="Arial" w:eastAsia="Arial" w:hAnsi="Arial"/>
                <w:sz w:val="29"/>
                <w:szCs w:val="29"/>
                <w:b w:val="1"/>
                <w:bCs w:val="1"/>
                <w:color w:val="auto"/>
              </w:rPr>
              <w:t>1.7</w:t>
            </w:r>
          </w:p>
        </w:tc>
        <w:tc>
          <w:tcPr>
            <w:tcW w:w="1960" w:type="dxa"/>
            <w:vAlign w:val="bottom"/>
          </w:tcPr>
          <w:p>
            <w:pPr>
              <w:jc w:val="right"/>
              <w:ind w:right="585"/>
              <w:spacing w:after="0"/>
              <w:rPr>
                <w:sz w:val="20"/>
                <w:szCs w:val="20"/>
                <w:color w:val="auto"/>
              </w:rPr>
            </w:pPr>
            <w:r>
              <w:rPr>
                <w:rFonts w:ascii="Arial" w:cs="Arial" w:eastAsia="Arial" w:hAnsi="Arial"/>
                <w:sz w:val="29"/>
                <w:szCs w:val="29"/>
                <w:b w:val="1"/>
                <w:bCs w:val="1"/>
                <w:color w:val="auto"/>
              </w:rPr>
              <w:t>2.0</w:t>
            </w:r>
          </w:p>
        </w:tc>
        <w:tc>
          <w:tcPr>
            <w:tcW w:w="1280" w:type="dxa"/>
            <w:vAlign w:val="bottom"/>
          </w:tcPr>
          <w:p>
            <w:pPr>
              <w:jc w:val="right"/>
              <w:ind w:right="5"/>
              <w:spacing w:after="0"/>
              <w:rPr>
                <w:sz w:val="20"/>
                <w:szCs w:val="20"/>
                <w:color w:val="auto"/>
              </w:rPr>
            </w:pPr>
            <w:r>
              <w:rPr>
                <w:rFonts w:ascii="Arial" w:cs="Arial" w:eastAsia="Arial" w:hAnsi="Arial"/>
                <w:sz w:val="29"/>
                <w:szCs w:val="29"/>
                <w:b w:val="1"/>
                <w:bCs w:val="1"/>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S1</w:t>
      </w:r>
    </w:p>
    <w:p>
      <w:pPr>
        <w:sectPr>
          <w:pgSz w:w="11900" w:h="16838" w:orient="portrait"/>
          <w:cols w:equalWidth="0" w:num="1">
            <w:col w:w="10360"/>
          </w:cols>
          <w:pgMar w:left="640" w:top="649" w:right="899" w:bottom="1440" w:gutter="0" w:footer="0" w:header="0"/>
        </w:sectPr>
      </w:pPr>
    </w:p>
    <w:bookmarkStart w:id="29" w:name="page30"/>
    <w:bookmarkEnd w:id="29"/>
    <w:p>
      <w:pPr>
        <w:ind w:left="860"/>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Detail of Adjustments</w:t>
      </w:r>
    </w:p>
    <w:p>
      <w:pPr>
        <w:sectPr>
          <w:pgSz w:w="11900" w:h="16838" w:orient="portrait"/>
          <w:cols w:equalWidth="0" w:num="1">
            <w:col w:w="10260"/>
          </w:cols>
          <w:pgMar w:left="740" w:top="61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w:t>
      </w:r>
    </w:p>
    <w:p>
      <w:pPr>
        <w:spacing w:after="0" w:line="12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Earnings Before Interest</w:t>
      </w:r>
    </w:p>
    <w:p>
      <w:pPr>
        <w:spacing w:after="0" w:line="5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&amp; Taxes (EBIT)</w:t>
      </w:r>
    </w:p>
    <w:p>
      <w:pPr>
        <w:spacing w:after="0" w:line="3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Less Adjustments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9"/>
          <w:szCs w:val="29"/>
          <w:color w:val="auto"/>
        </w:rPr>
        <w:t>- Gain on Saab Sale</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Total Adjustments</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EBIT – Adj.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1300" w:type="dxa"/>
            <w:vAlign w:val="bottom"/>
          </w:tcPr>
          <w:p>
            <w:pPr>
              <w:jc w:val="center"/>
              <w:ind w:right="451"/>
              <w:spacing w:after="0"/>
              <w:rPr>
                <w:sz w:val="20"/>
                <w:szCs w:val="20"/>
                <w:color w:val="auto"/>
              </w:rPr>
            </w:pPr>
            <w:r>
              <w:rPr>
                <w:rFonts w:ascii="Arial" w:cs="Arial" w:eastAsia="Arial" w:hAnsi="Arial"/>
                <w:sz w:val="25"/>
                <w:szCs w:val="25"/>
                <w:b w:val="1"/>
                <w:bCs w:val="1"/>
                <w:color w:val="auto"/>
              </w:rPr>
              <w:t>Q1</w:t>
            </w:r>
          </w:p>
        </w:tc>
        <w:tc>
          <w:tcPr>
            <w:tcW w:w="1800" w:type="dxa"/>
            <w:vAlign w:val="bottom"/>
          </w:tcPr>
          <w:p>
            <w:pPr>
              <w:jc w:val="center"/>
              <w:spacing w:after="0"/>
              <w:rPr>
                <w:sz w:val="20"/>
                <w:szCs w:val="20"/>
                <w:color w:val="auto"/>
              </w:rPr>
            </w:pPr>
            <w:r>
              <w:rPr>
                <w:rFonts w:ascii="Arial" w:cs="Arial" w:eastAsia="Arial" w:hAnsi="Arial"/>
                <w:sz w:val="25"/>
                <w:szCs w:val="25"/>
                <w:b w:val="1"/>
                <w:bCs w:val="1"/>
                <w:color w:val="auto"/>
                <w:w w:val="95"/>
              </w:rPr>
              <w:t>Q2</w:t>
            </w:r>
          </w:p>
        </w:tc>
        <w:tc>
          <w:tcPr>
            <w:tcW w:w="1180" w:type="dxa"/>
            <w:vAlign w:val="bottom"/>
          </w:tcPr>
          <w:p>
            <w:pPr>
              <w:jc w:val="center"/>
              <w:ind w:left="331"/>
              <w:spacing w:after="0"/>
              <w:rPr>
                <w:sz w:val="20"/>
                <w:szCs w:val="20"/>
                <w:color w:val="auto"/>
              </w:rPr>
            </w:pPr>
            <w:r>
              <w:rPr>
                <w:rFonts w:ascii="Arial" w:cs="Arial" w:eastAsia="Arial" w:hAnsi="Arial"/>
                <w:sz w:val="25"/>
                <w:szCs w:val="25"/>
                <w:b w:val="1"/>
                <w:bCs w:val="1"/>
                <w:color w:val="auto"/>
              </w:rPr>
              <w:t>Q3</w:t>
            </w:r>
          </w:p>
        </w:tc>
      </w:tr>
      <w:tr>
        <w:trPr>
          <w:trHeight w:val="427"/>
        </w:trPr>
        <w:tc>
          <w:tcPr>
            <w:tcW w:w="1300" w:type="dxa"/>
            <w:vAlign w:val="bottom"/>
          </w:tcPr>
          <w:p>
            <w:pPr>
              <w:jc w:val="center"/>
              <w:ind w:right="431"/>
              <w:spacing w:after="0"/>
              <w:rPr>
                <w:sz w:val="20"/>
                <w:szCs w:val="20"/>
                <w:color w:val="auto"/>
              </w:rPr>
            </w:pPr>
            <w:r>
              <w:rPr>
                <w:rFonts w:ascii="Arial" w:cs="Arial" w:eastAsia="Arial" w:hAnsi="Arial"/>
                <w:sz w:val="32"/>
                <w:szCs w:val="32"/>
                <w:b w:val="1"/>
                <w:bCs w:val="1"/>
                <w:color w:val="auto"/>
              </w:rPr>
              <w:t>2010</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rPr>
              <w:t>2010</w:t>
            </w:r>
          </w:p>
        </w:tc>
        <w:tc>
          <w:tcPr>
            <w:tcW w:w="1180" w:type="dxa"/>
            <w:vAlign w:val="bottom"/>
          </w:tcPr>
          <w:p>
            <w:pPr>
              <w:jc w:val="center"/>
              <w:ind w:left="331"/>
              <w:spacing w:after="0"/>
              <w:rPr>
                <w:sz w:val="20"/>
                <w:szCs w:val="20"/>
                <w:color w:val="auto"/>
              </w:rPr>
            </w:pPr>
            <w:r>
              <w:rPr>
                <w:rFonts w:ascii="Arial" w:cs="Arial" w:eastAsia="Arial" w:hAnsi="Arial"/>
                <w:sz w:val="32"/>
                <w:szCs w:val="32"/>
                <w:b w:val="1"/>
                <w:bCs w:val="1"/>
                <w:color w:val="auto"/>
                <w:w w:val="98"/>
              </w:rPr>
              <w:t>2010</w:t>
            </w:r>
          </w:p>
        </w:tc>
      </w:tr>
      <w:tr>
        <w:trPr>
          <w:trHeight w:val="690"/>
        </w:trPr>
        <w:tc>
          <w:tcPr>
            <w:tcW w:w="1300" w:type="dxa"/>
            <w:vAlign w:val="bottom"/>
          </w:tcPr>
          <w:p>
            <w:pPr>
              <w:jc w:val="center"/>
              <w:ind w:right="431"/>
              <w:spacing w:after="0"/>
              <w:rPr>
                <w:sz w:val="20"/>
                <w:szCs w:val="20"/>
                <w:color w:val="auto"/>
              </w:rPr>
            </w:pPr>
            <w:r>
              <w:rPr>
                <w:rFonts w:ascii="Arial" w:cs="Arial" w:eastAsia="Arial" w:hAnsi="Arial"/>
                <w:sz w:val="32"/>
                <w:szCs w:val="32"/>
                <w:b w:val="1"/>
                <w:bCs w:val="1"/>
                <w:color w:val="auto"/>
                <w:w w:val="98"/>
              </w:rPr>
              <w:t>1.8</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w w:val="98"/>
              </w:rPr>
              <w:t>2.0</w:t>
            </w:r>
          </w:p>
        </w:tc>
        <w:tc>
          <w:tcPr>
            <w:tcW w:w="1180" w:type="dxa"/>
            <w:vAlign w:val="bottom"/>
          </w:tcPr>
          <w:p>
            <w:pPr>
              <w:jc w:val="center"/>
              <w:ind w:left="311"/>
              <w:spacing w:after="0"/>
              <w:rPr>
                <w:sz w:val="20"/>
                <w:szCs w:val="20"/>
                <w:color w:val="auto"/>
              </w:rPr>
            </w:pPr>
            <w:r>
              <w:rPr>
                <w:rFonts w:ascii="Arial" w:cs="Arial" w:eastAsia="Arial" w:hAnsi="Arial"/>
                <w:sz w:val="32"/>
                <w:szCs w:val="32"/>
                <w:b w:val="1"/>
                <w:bCs w:val="1"/>
                <w:color w:val="auto"/>
                <w:w w:val="98"/>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345"/>
        </w:trPr>
        <w:tc>
          <w:tcPr>
            <w:tcW w:w="1160" w:type="dxa"/>
            <w:vAlign w:val="bottom"/>
          </w:tcPr>
          <w:p>
            <w:pPr>
              <w:ind w:left="20"/>
              <w:spacing w:after="0"/>
              <w:rPr>
                <w:sz w:val="20"/>
                <w:szCs w:val="20"/>
                <w:color w:val="auto"/>
              </w:rPr>
            </w:pPr>
            <w:r>
              <w:rPr>
                <w:rFonts w:ascii="Arial" w:cs="Arial" w:eastAsia="Arial" w:hAnsi="Arial"/>
                <w:sz w:val="29"/>
                <w:szCs w:val="29"/>
                <w:color w:val="auto"/>
              </w:rPr>
              <w:t>0.1</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29"/>
        </w:trPr>
        <w:tc>
          <w:tcPr>
            <w:tcW w:w="1160" w:type="dxa"/>
            <w:vAlign w:val="bottom"/>
          </w:tcPr>
          <w:p>
            <w:pPr>
              <w:spacing w:after="0"/>
              <w:rPr>
                <w:sz w:val="20"/>
                <w:szCs w:val="20"/>
                <w:color w:val="auto"/>
              </w:rPr>
            </w:pPr>
            <w:r>
              <w:rPr>
                <w:rFonts w:ascii="Arial" w:cs="Arial" w:eastAsia="Arial" w:hAnsi="Arial"/>
                <w:sz w:val="32"/>
                <w:szCs w:val="32"/>
                <w:b w:val="1"/>
                <w:bCs w:val="1"/>
                <w:color w:val="auto"/>
              </w:rPr>
              <w:t>0.1</w:t>
            </w:r>
          </w:p>
        </w:tc>
        <w:tc>
          <w:tcPr>
            <w:tcW w:w="1800" w:type="dxa"/>
            <w:vAlign w:val="bottom"/>
          </w:tcPr>
          <w:p>
            <w:pPr>
              <w:jc w:val="right"/>
              <w:ind w:right="459"/>
              <w:spacing w:after="0"/>
              <w:rPr>
                <w:sz w:val="20"/>
                <w:szCs w:val="20"/>
                <w:color w:val="auto"/>
              </w:rPr>
            </w:pPr>
            <w:r>
              <w:rPr>
                <w:rFonts w:ascii="Arial" w:cs="Arial" w:eastAsia="Arial" w:hAnsi="Arial"/>
                <w:sz w:val="32"/>
                <w:szCs w:val="32"/>
                <w:b w:val="1"/>
                <w:bCs w:val="1"/>
                <w:color w:val="auto"/>
              </w:rPr>
              <w:t>0.0</w:t>
            </w:r>
          </w:p>
        </w:tc>
        <w:tc>
          <w:tcPr>
            <w:tcW w:w="1040" w:type="dxa"/>
            <w:vAlign w:val="bottom"/>
          </w:tcPr>
          <w:p>
            <w:pPr>
              <w:jc w:val="right"/>
              <w:spacing w:after="0"/>
              <w:rPr>
                <w:sz w:val="20"/>
                <w:szCs w:val="20"/>
                <w:color w:val="auto"/>
              </w:rPr>
            </w:pPr>
            <w:r>
              <w:rPr>
                <w:rFonts w:ascii="Arial" w:cs="Arial" w:eastAsia="Arial" w:hAnsi="Arial"/>
                <w:sz w:val="32"/>
                <w:szCs w:val="32"/>
                <w:b w:val="1"/>
                <w:bCs w:val="1"/>
                <w:color w:val="auto"/>
              </w:rPr>
              <w:t>0.0</w:t>
            </w:r>
          </w:p>
        </w:tc>
      </w:tr>
      <w:tr>
        <w:trPr>
          <w:trHeight w:val="762"/>
        </w:trPr>
        <w:tc>
          <w:tcPr>
            <w:tcW w:w="1160" w:type="dxa"/>
            <w:vAlign w:val="bottom"/>
          </w:tcPr>
          <w:p>
            <w:pPr>
              <w:spacing w:after="0"/>
              <w:rPr>
                <w:sz w:val="20"/>
                <w:szCs w:val="20"/>
                <w:color w:val="auto"/>
              </w:rPr>
            </w:pPr>
            <w:r>
              <w:rPr>
                <w:rFonts w:ascii="Arial" w:cs="Arial" w:eastAsia="Arial" w:hAnsi="Arial"/>
                <w:sz w:val="32"/>
                <w:szCs w:val="32"/>
                <w:b w:val="1"/>
                <w:bCs w:val="1"/>
                <w:color w:val="auto"/>
              </w:rPr>
              <w:t>1.7</w:t>
            </w:r>
          </w:p>
        </w:tc>
        <w:tc>
          <w:tcPr>
            <w:tcW w:w="1800" w:type="dxa"/>
            <w:vAlign w:val="bottom"/>
          </w:tcPr>
          <w:p>
            <w:pPr>
              <w:jc w:val="right"/>
              <w:ind w:right="459"/>
              <w:spacing w:after="0"/>
              <w:rPr>
                <w:sz w:val="20"/>
                <w:szCs w:val="20"/>
                <w:color w:val="auto"/>
              </w:rPr>
            </w:pPr>
            <w:r>
              <w:rPr>
                <w:rFonts w:ascii="Arial" w:cs="Arial" w:eastAsia="Arial" w:hAnsi="Arial"/>
                <w:sz w:val="32"/>
                <w:szCs w:val="32"/>
                <w:b w:val="1"/>
                <w:bCs w:val="1"/>
                <w:color w:val="auto"/>
              </w:rPr>
              <w:t>2.0</w:t>
            </w:r>
          </w:p>
        </w:tc>
        <w:tc>
          <w:tcPr>
            <w:tcW w:w="1040" w:type="dxa"/>
            <w:vAlign w:val="bottom"/>
          </w:tcPr>
          <w:p>
            <w:pPr>
              <w:jc w:val="right"/>
              <w:spacing w:after="0"/>
              <w:rPr>
                <w:sz w:val="20"/>
                <w:szCs w:val="20"/>
                <w:color w:val="auto"/>
              </w:rPr>
            </w:pPr>
            <w:r>
              <w:rPr>
                <w:rFonts w:ascii="Arial" w:cs="Arial" w:eastAsia="Arial" w:hAnsi="Arial"/>
                <w:sz w:val="32"/>
                <w:szCs w:val="32"/>
                <w:b w:val="1"/>
                <w:bCs w:val="1"/>
                <w:color w:val="auto"/>
              </w:rPr>
              <w:t>2.3</w:t>
            </w:r>
          </w:p>
        </w:tc>
      </w:tr>
    </w:tbl>
    <w:p>
      <w:pPr>
        <w:spacing w:after="0" w:line="200" w:lineRule="exact"/>
        <w:rPr>
          <w:sz w:val="20"/>
          <w:szCs w:val="20"/>
          <w:color w:val="auto"/>
        </w:rPr>
      </w:pPr>
    </w:p>
    <w:p>
      <w:pPr>
        <w:sectPr>
          <w:pgSz w:w="11900" w:h="16838" w:orient="portrait"/>
          <w:cols w:equalWidth="0" w:num="2">
            <w:col w:w="4560" w:space="720"/>
            <w:col w:w="4980"/>
          </w:cols>
          <w:pgMar w:left="740" w:top="613"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940"/>
        <w:spacing w:after="0"/>
        <w:rPr>
          <w:sz w:val="20"/>
          <w:szCs w:val="20"/>
          <w:color w:val="auto"/>
        </w:rPr>
      </w:pPr>
      <w:r>
        <w:rPr>
          <w:rFonts w:ascii="Arial" w:cs="Arial" w:eastAsia="Arial" w:hAnsi="Arial"/>
          <w:sz w:val="25"/>
          <w:szCs w:val="25"/>
          <w:b w:val="1"/>
          <w:bCs w:val="1"/>
          <w:color w:val="auto"/>
        </w:rPr>
        <w:t>S2</w:t>
      </w:r>
    </w:p>
    <w:p>
      <w:pPr>
        <w:sectPr>
          <w:pgSz w:w="11900" w:h="16838" w:orient="portrait"/>
          <w:cols w:equalWidth="0" w:num="1">
            <w:col w:w="10260"/>
          </w:cols>
          <w:pgMar w:left="740" w:top="613" w:right="899" w:bottom="1440" w:gutter="0" w:footer="0" w:header="0"/>
          <w:type w:val="continuous"/>
        </w:sectPr>
      </w:pPr>
    </w:p>
    <w:bookmarkStart w:id="30" w:name="page31"/>
    <w:bookmarkEnd w:id="30"/>
    <w:p>
      <w:pPr>
        <w:ind w:left="8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229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3135" cy="5229860"/>
                    </a:xfrm>
                    <a:prstGeom prst="rect">
                      <a:avLst/>
                    </a:prstGeom>
                    <a:noFill/>
                  </pic:spPr>
                </pic:pic>
              </a:graphicData>
            </a:graphic>
          </wp:anchor>
        </w:drawing>
        <w:t>Restructuring Excluded From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80" w:type="dxa"/>
            <w:vAlign w:val="bottom"/>
          </w:tcPr>
          <w:p>
            <w:pPr>
              <w:spacing w:after="0"/>
              <w:rPr>
                <w:sz w:val="24"/>
                <w:szCs w:val="24"/>
                <w:color w:val="auto"/>
              </w:rPr>
            </w:pPr>
          </w:p>
        </w:tc>
        <w:tc>
          <w:tcPr>
            <w:tcW w:w="2100" w:type="dxa"/>
            <w:vAlign w:val="bottom"/>
          </w:tcPr>
          <w:p>
            <w:pPr>
              <w:jc w:val="center"/>
              <w:ind w:left="48"/>
              <w:spacing w:after="0"/>
              <w:rPr>
                <w:sz w:val="20"/>
                <w:szCs w:val="20"/>
                <w:color w:val="auto"/>
              </w:rPr>
            </w:pPr>
            <w:r>
              <w:rPr>
                <w:rFonts w:ascii="Arial" w:cs="Arial" w:eastAsia="Arial" w:hAnsi="Arial"/>
                <w:sz w:val="25"/>
                <w:szCs w:val="25"/>
                <w:b w:val="1"/>
                <w:bCs w:val="1"/>
                <w:color w:val="auto"/>
              </w:rPr>
              <w:t>Q1</w:t>
            </w:r>
          </w:p>
        </w:tc>
        <w:tc>
          <w:tcPr>
            <w:tcW w:w="1800" w:type="dxa"/>
            <w:vAlign w:val="bottom"/>
          </w:tcPr>
          <w:p>
            <w:pPr>
              <w:jc w:val="center"/>
              <w:spacing w:after="0"/>
              <w:rPr>
                <w:sz w:val="20"/>
                <w:szCs w:val="20"/>
                <w:color w:val="auto"/>
              </w:rPr>
            </w:pPr>
            <w:r>
              <w:rPr>
                <w:rFonts w:ascii="Arial" w:cs="Arial" w:eastAsia="Arial" w:hAnsi="Arial"/>
                <w:sz w:val="25"/>
                <w:szCs w:val="25"/>
                <w:b w:val="1"/>
                <w:bCs w:val="1"/>
                <w:color w:val="auto"/>
                <w:w w:val="95"/>
              </w:rPr>
              <w:t>Q2</w:t>
            </w:r>
          </w:p>
        </w:tc>
        <w:tc>
          <w:tcPr>
            <w:tcW w:w="1180" w:type="dxa"/>
            <w:vAlign w:val="bottom"/>
          </w:tcPr>
          <w:p>
            <w:pPr>
              <w:jc w:val="center"/>
              <w:ind w:left="328"/>
              <w:spacing w:after="0"/>
              <w:rPr>
                <w:sz w:val="20"/>
                <w:szCs w:val="20"/>
                <w:color w:val="auto"/>
              </w:rPr>
            </w:pPr>
            <w:r>
              <w:rPr>
                <w:rFonts w:ascii="Arial" w:cs="Arial" w:eastAsia="Arial" w:hAnsi="Arial"/>
                <w:sz w:val="25"/>
                <w:szCs w:val="25"/>
                <w:b w:val="1"/>
                <w:bCs w:val="1"/>
                <w:color w:val="auto"/>
              </w:rPr>
              <w:t>Q3</w:t>
            </w:r>
          </w:p>
        </w:tc>
      </w:tr>
      <w:tr>
        <w:trPr>
          <w:trHeight w:val="427"/>
        </w:trPr>
        <w:tc>
          <w:tcPr>
            <w:tcW w:w="4480" w:type="dxa"/>
            <w:vAlign w:val="bottom"/>
          </w:tcPr>
          <w:p>
            <w:pPr>
              <w:spacing w:after="0"/>
              <w:rPr>
                <w:sz w:val="20"/>
                <w:szCs w:val="20"/>
                <w:color w:val="auto"/>
              </w:rPr>
            </w:pPr>
            <w:r>
              <w:rPr>
                <w:rFonts w:ascii="Arial" w:cs="Arial" w:eastAsia="Arial" w:hAnsi="Arial"/>
                <w:sz w:val="32"/>
                <w:szCs w:val="32"/>
                <w:b w:val="1"/>
                <w:bCs w:val="1"/>
                <w:color w:val="auto"/>
              </w:rPr>
              <w:t>($B)</w:t>
            </w:r>
          </w:p>
        </w:tc>
        <w:tc>
          <w:tcPr>
            <w:tcW w:w="2100" w:type="dxa"/>
            <w:vAlign w:val="bottom"/>
          </w:tcPr>
          <w:p>
            <w:pPr>
              <w:jc w:val="center"/>
              <w:ind w:left="68"/>
              <w:spacing w:after="0"/>
              <w:rPr>
                <w:sz w:val="20"/>
                <w:szCs w:val="20"/>
                <w:color w:val="auto"/>
              </w:rPr>
            </w:pPr>
            <w:r>
              <w:rPr>
                <w:rFonts w:ascii="Arial" w:cs="Arial" w:eastAsia="Arial" w:hAnsi="Arial"/>
                <w:sz w:val="32"/>
                <w:szCs w:val="32"/>
                <w:b w:val="1"/>
                <w:bCs w:val="1"/>
                <w:color w:val="auto"/>
              </w:rPr>
              <w:t>2010</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rPr>
              <w:t>2010</w:t>
            </w:r>
          </w:p>
        </w:tc>
        <w:tc>
          <w:tcPr>
            <w:tcW w:w="1180" w:type="dxa"/>
            <w:vAlign w:val="bottom"/>
          </w:tcPr>
          <w:p>
            <w:pPr>
              <w:jc w:val="center"/>
              <w:ind w:left="328"/>
              <w:spacing w:after="0"/>
              <w:rPr>
                <w:sz w:val="20"/>
                <w:szCs w:val="20"/>
                <w:color w:val="auto"/>
              </w:rPr>
            </w:pPr>
            <w:r>
              <w:rPr>
                <w:rFonts w:ascii="Arial" w:cs="Arial" w:eastAsia="Arial" w:hAnsi="Arial"/>
                <w:sz w:val="32"/>
                <w:szCs w:val="32"/>
                <w:b w:val="1"/>
                <w:bCs w:val="1"/>
                <w:color w:val="auto"/>
                <w:w w:val="98"/>
              </w:rPr>
              <w:t>2010</w:t>
            </w:r>
          </w:p>
        </w:tc>
      </w:tr>
      <w:tr>
        <w:trPr>
          <w:trHeight w:val="490"/>
        </w:trPr>
        <w:tc>
          <w:tcPr>
            <w:tcW w:w="4480" w:type="dxa"/>
            <w:vAlign w:val="bottom"/>
          </w:tcPr>
          <w:p>
            <w:pPr>
              <w:spacing w:after="0"/>
              <w:rPr>
                <w:sz w:val="20"/>
                <w:szCs w:val="20"/>
                <w:color w:val="auto"/>
              </w:rPr>
            </w:pPr>
            <w:r>
              <w:rPr>
                <w:rFonts w:ascii="Arial" w:cs="Arial" w:eastAsia="Arial" w:hAnsi="Arial"/>
                <w:sz w:val="29"/>
                <w:szCs w:val="29"/>
                <w:color w:val="auto"/>
              </w:rPr>
              <w:t>GMNA – Dealer Related</w:t>
            </w:r>
          </w:p>
        </w:tc>
        <w:tc>
          <w:tcPr>
            <w:tcW w:w="2100" w:type="dxa"/>
            <w:vAlign w:val="bottom"/>
          </w:tcPr>
          <w:p>
            <w:pPr>
              <w:jc w:val="center"/>
              <w:ind w:left="68"/>
              <w:spacing w:after="0"/>
              <w:rPr>
                <w:sz w:val="20"/>
                <w:szCs w:val="20"/>
                <w:color w:val="auto"/>
              </w:rPr>
            </w:pPr>
            <w:r>
              <w:rPr>
                <w:rFonts w:ascii="Arial" w:cs="Arial" w:eastAsia="Arial" w:hAnsi="Arial"/>
                <w:sz w:val="29"/>
                <w:szCs w:val="29"/>
                <w:color w:val="auto"/>
                <w:w w:val="99"/>
              </w:rPr>
              <w:t>0.0</w:t>
            </w:r>
          </w:p>
        </w:tc>
        <w:tc>
          <w:tcPr>
            <w:tcW w:w="1800" w:type="dxa"/>
            <w:vAlign w:val="bottom"/>
          </w:tcPr>
          <w:p>
            <w:pPr>
              <w:jc w:val="center"/>
              <w:spacing w:after="0"/>
              <w:rPr>
                <w:sz w:val="20"/>
                <w:szCs w:val="20"/>
                <w:color w:val="auto"/>
              </w:rPr>
            </w:pPr>
            <w:r>
              <w:rPr>
                <w:rFonts w:ascii="Arial" w:cs="Arial" w:eastAsia="Arial" w:hAnsi="Arial"/>
                <w:sz w:val="29"/>
                <w:szCs w:val="29"/>
                <w:color w:val="auto"/>
                <w:w w:val="99"/>
              </w:rPr>
              <w:t>0.0</w:t>
            </w:r>
          </w:p>
        </w:tc>
        <w:tc>
          <w:tcPr>
            <w:tcW w:w="1180" w:type="dxa"/>
            <w:vAlign w:val="bottom"/>
          </w:tcPr>
          <w:p>
            <w:pPr>
              <w:jc w:val="center"/>
              <w:ind w:left="308"/>
              <w:spacing w:after="0"/>
              <w:rPr>
                <w:sz w:val="20"/>
                <w:szCs w:val="20"/>
                <w:color w:val="auto"/>
              </w:rPr>
            </w:pPr>
            <w:r>
              <w:rPr>
                <w:rFonts w:ascii="Arial" w:cs="Arial" w:eastAsia="Arial" w:hAnsi="Arial"/>
                <w:sz w:val="29"/>
                <w:szCs w:val="29"/>
                <w:color w:val="auto"/>
                <w:w w:val="99"/>
              </w:rPr>
              <w:t>0.0</w:t>
            </w:r>
          </w:p>
        </w:tc>
      </w:tr>
      <w:tr>
        <w:trPr>
          <w:trHeight w:val="488"/>
        </w:trPr>
        <w:tc>
          <w:tcPr>
            <w:tcW w:w="4480" w:type="dxa"/>
            <w:vAlign w:val="bottom"/>
          </w:tcPr>
          <w:p>
            <w:pPr>
              <w:spacing w:after="0"/>
              <w:rPr>
                <w:sz w:val="20"/>
                <w:szCs w:val="20"/>
                <w:color w:val="auto"/>
              </w:rPr>
            </w:pPr>
            <w:r>
              <w:rPr>
                <w:rFonts w:ascii="Arial" w:cs="Arial" w:eastAsia="Arial" w:hAnsi="Arial"/>
                <w:sz w:val="29"/>
                <w:szCs w:val="29"/>
                <w:color w:val="auto"/>
              </w:rPr>
              <w:t>GMNA – Non-Dealer Related</w:t>
            </w:r>
          </w:p>
        </w:tc>
        <w:tc>
          <w:tcPr>
            <w:tcW w:w="2100" w:type="dxa"/>
            <w:vAlign w:val="bottom"/>
          </w:tcPr>
          <w:p>
            <w:pPr>
              <w:jc w:val="center"/>
              <w:ind w:left="68"/>
              <w:spacing w:after="0"/>
              <w:rPr>
                <w:sz w:val="20"/>
                <w:szCs w:val="20"/>
                <w:color w:val="auto"/>
              </w:rPr>
            </w:pPr>
            <w:r>
              <w:rPr>
                <w:rFonts w:ascii="Arial" w:cs="Arial" w:eastAsia="Arial" w:hAnsi="Arial"/>
                <w:sz w:val="29"/>
                <w:szCs w:val="29"/>
                <w:color w:val="auto"/>
                <w:w w:val="99"/>
              </w:rPr>
              <w:t>0.1</w:t>
            </w:r>
          </w:p>
        </w:tc>
        <w:tc>
          <w:tcPr>
            <w:tcW w:w="1800" w:type="dxa"/>
            <w:vAlign w:val="bottom"/>
          </w:tcPr>
          <w:p>
            <w:pPr>
              <w:jc w:val="center"/>
              <w:spacing w:after="0"/>
              <w:rPr>
                <w:sz w:val="20"/>
                <w:szCs w:val="20"/>
                <w:color w:val="auto"/>
              </w:rPr>
            </w:pPr>
            <w:r>
              <w:rPr>
                <w:rFonts w:ascii="Arial" w:cs="Arial" w:eastAsia="Arial" w:hAnsi="Arial"/>
                <w:sz w:val="29"/>
                <w:szCs w:val="29"/>
                <w:color w:val="auto"/>
                <w:w w:val="99"/>
              </w:rPr>
              <w:t>0.0</w:t>
            </w:r>
          </w:p>
        </w:tc>
        <w:tc>
          <w:tcPr>
            <w:tcW w:w="1180" w:type="dxa"/>
            <w:vAlign w:val="bottom"/>
          </w:tcPr>
          <w:p>
            <w:pPr>
              <w:jc w:val="center"/>
              <w:ind w:left="308"/>
              <w:spacing w:after="0"/>
              <w:rPr>
                <w:sz w:val="20"/>
                <w:szCs w:val="20"/>
                <w:color w:val="auto"/>
              </w:rPr>
            </w:pPr>
            <w:r>
              <w:rPr>
                <w:rFonts w:ascii="Arial" w:cs="Arial" w:eastAsia="Arial" w:hAnsi="Arial"/>
                <w:sz w:val="29"/>
                <w:szCs w:val="29"/>
                <w:color w:val="auto"/>
                <w:w w:val="99"/>
              </w:rPr>
              <w:t>0.0</w:t>
            </w:r>
          </w:p>
        </w:tc>
      </w:tr>
      <w:tr>
        <w:trPr>
          <w:trHeight w:val="510"/>
        </w:trPr>
        <w:tc>
          <w:tcPr>
            <w:tcW w:w="4480" w:type="dxa"/>
            <w:vAlign w:val="bottom"/>
          </w:tcPr>
          <w:p>
            <w:pPr>
              <w:ind w:left="260"/>
              <w:spacing w:after="0"/>
              <w:rPr>
                <w:sz w:val="20"/>
                <w:szCs w:val="20"/>
                <w:color w:val="auto"/>
              </w:rPr>
            </w:pPr>
            <w:r>
              <w:rPr>
                <w:rFonts w:ascii="Arial" w:cs="Arial" w:eastAsia="Arial" w:hAnsi="Arial"/>
                <w:sz w:val="32"/>
                <w:szCs w:val="32"/>
                <w:b w:val="1"/>
                <w:bCs w:val="1"/>
                <w:color w:val="auto"/>
              </w:rPr>
              <w:t>Total GMNA</w:t>
            </w:r>
          </w:p>
        </w:tc>
        <w:tc>
          <w:tcPr>
            <w:tcW w:w="2100" w:type="dxa"/>
            <w:vAlign w:val="bottom"/>
          </w:tcPr>
          <w:p>
            <w:pPr>
              <w:jc w:val="center"/>
              <w:ind w:left="68"/>
              <w:spacing w:after="0"/>
              <w:rPr>
                <w:sz w:val="20"/>
                <w:szCs w:val="20"/>
                <w:color w:val="auto"/>
              </w:rPr>
            </w:pPr>
            <w:r>
              <w:rPr>
                <w:rFonts w:ascii="Arial" w:cs="Arial" w:eastAsia="Arial" w:hAnsi="Arial"/>
                <w:sz w:val="32"/>
                <w:szCs w:val="32"/>
                <w:b w:val="1"/>
                <w:bCs w:val="1"/>
                <w:color w:val="auto"/>
                <w:w w:val="98"/>
              </w:rPr>
              <w:t>0.1</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w w:val="98"/>
              </w:rPr>
              <w:t>0.0</w:t>
            </w:r>
          </w:p>
        </w:tc>
        <w:tc>
          <w:tcPr>
            <w:tcW w:w="1180" w:type="dxa"/>
            <w:vAlign w:val="bottom"/>
          </w:tcPr>
          <w:p>
            <w:pPr>
              <w:jc w:val="center"/>
              <w:ind w:left="308"/>
              <w:spacing w:after="0"/>
              <w:rPr>
                <w:sz w:val="20"/>
                <w:szCs w:val="20"/>
                <w:color w:val="auto"/>
              </w:rPr>
            </w:pPr>
            <w:r>
              <w:rPr>
                <w:rFonts w:ascii="Arial" w:cs="Arial" w:eastAsia="Arial" w:hAnsi="Arial"/>
                <w:sz w:val="32"/>
                <w:szCs w:val="32"/>
                <w:b w:val="1"/>
                <w:bCs w:val="1"/>
                <w:color w:val="auto"/>
                <w:w w:val="98"/>
              </w:rPr>
              <w:t>0.0</w:t>
            </w:r>
          </w:p>
        </w:tc>
      </w:tr>
      <w:tr>
        <w:trPr>
          <w:trHeight w:val="940"/>
        </w:trPr>
        <w:tc>
          <w:tcPr>
            <w:tcW w:w="4480" w:type="dxa"/>
            <w:vAlign w:val="bottom"/>
          </w:tcPr>
          <w:p>
            <w:pPr>
              <w:ind w:left="260"/>
              <w:spacing w:after="0"/>
              <w:rPr>
                <w:sz w:val="20"/>
                <w:szCs w:val="20"/>
                <w:color w:val="auto"/>
              </w:rPr>
            </w:pPr>
            <w:r>
              <w:rPr>
                <w:rFonts w:ascii="Arial" w:cs="Arial" w:eastAsia="Arial" w:hAnsi="Arial"/>
                <w:sz w:val="32"/>
                <w:szCs w:val="32"/>
                <w:b w:val="1"/>
                <w:bCs w:val="1"/>
                <w:color w:val="auto"/>
              </w:rPr>
              <w:t>Total GME</w:t>
            </w:r>
          </w:p>
        </w:tc>
        <w:tc>
          <w:tcPr>
            <w:tcW w:w="2100" w:type="dxa"/>
            <w:vAlign w:val="bottom"/>
          </w:tcPr>
          <w:p>
            <w:pPr>
              <w:jc w:val="center"/>
              <w:ind w:left="48"/>
              <w:spacing w:after="0"/>
              <w:rPr>
                <w:sz w:val="20"/>
                <w:szCs w:val="20"/>
                <w:color w:val="auto"/>
              </w:rPr>
            </w:pPr>
            <w:r>
              <w:rPr>
                <w:rFonts w:ascii="Arial" w:cs="Arial" w:eastAsia="Arial" w:hAnsi="Arial"/>
                <w:sz w:val="32"/>
                <w:szCs w:val="32"/>
                <w:b w:val="1"/>
                <w:bCs w:val="1"/>
                <w:color w:val="auto"/>
              </w:rPr>
              <w:t>(0.3)</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rPr>
              <w:t>(0.2)</w:t>
            </w:r>
          </w:p>
        </w:tc>
        <w:tc>
          <w:tcPr>
            <w:tcW w:w="1180" w:type="dxa"/>
            <w:vAlign w:val="bottom"/>
          </w:tcPr>
          <w:p>
            <w:pPr>
              <w:jc w:val="center"/>
              <w:ind w:left="328"/>
              <w:spacing w:after="0"/>
              <w:rPr>
                <w:sz w:val="20"/>
                <w:szCs w:val="20"/>
                <w:color w:val="auto"/>
              </w:rPr>
            </w:pPr>
            <w:r>
              <w:rPr>
                <w:rFonts w:ascii="Arial" w:cs="Arial" w:eastAsia="Arial" w:hAnsi="Arial"/>
                <w:sz w:val="32"/>
                <w:szCs w:val="32"/>
                <w:b w:val="1"/>
                <w:bCs w:val="1"/>
                <w:color w:val="auto"/>
              </w:rPr>
              <w:t>(0.1)</w:t>
            </w:r>
          </w:p>
        </w:tc>
      </w:tr>
      <w:tr>
        <w:trPr>
          <w:trHeight w:val="1000"/>
        </w:trPr>
        <w:tc>
          <w:tcPr>
            <w:tcW w:w="4480" w:type="dxa"/>
            <w:vAlign w:val="bottom"/>
          </w:tcPr>
          <w:p>
            <w:pPr>
              <w:ind w:left="260"/>
              <w:spacing w:after="0"/>
              <w:rPr>
                <w:sz w:val="20"/>
                <w:szCs w:val="20"/>
                <w:color w:val="auto"/>
              </w:rPr>
            </w:pPr>
            <w:r>
              <w:rPr>
                <w:rFonts w:ascii="Arial" w:cs="Arial" w:eastAsia="Arial" w:hAnsi="Arial"/>
                <w:sz w:val="32"/>
                <w:szCs w:val="32"/>
                <w:b w:val="1"/>
                <w:bCs w:val="1"/>
                <w:color w:val="auto"/>
              </w:rPr>
              <w:t>Total GMIO</w:t>
            </w:r>
          </w:p>
        </w:tc>
        <w:tc>
          <w:tcPr>
            <w:tcW w:w="2100" w:type="dxa"/>
            <w:vAlign w:val="bottom"/>
          </w:tcPr>
          <w:p>
            <w:pPr>
              <w:jc w:val="center"/>
              <w:ind w:left="68"/>
              <w:spacing w:after="0"/>
              <w:rPr>
                <w:sz w:val="20"/>
                <w:szCs w:val="20"/>
                <w:color w:val="auto"/>
              </w:rPr>
            </w:pPr>
            <w:r>
              <w:rPr>
                <w:rFonts w:ascii="Arial" w:cs="Arial" w:eastAsia="Arial" w:hAnsi="Arial"/>
                <w:sz w:val="32"/>
                <w:szCs w:val="32"/>
                <w:b w:val="1"/>
                <w:bCs w:val="1"/>
                <w:color w:val="auto"/>
                <w:w w:val="98"/>
              </w:rPr>
              <w:t>0.0</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w w:val="98"/>
              </w:rPr>
              <w:t>0.0</w:t>
            </w:r>
          </w:p>
        </w:tc>
        <w:tc>
          <w:tcPr>
            <w:tcW w:w="1180" w:type="dxa"/>
            <w:vAlign w:val="bottom"/>
          </w:tcPr>
          <w:p>
            <w:pPr>
              <w:jc w:val="center"/>
              <w:ind w:left="308"/>
              <w:spacing w:after="0"/>
              <w:rPr>
                <w:sz w:val="20"/>
                <w:szCs w:val="20"/>
                <w:color w:val="auto"/>
              </w:rPr>
            </w:pPr>
            <w:r>
              <w:rPr>
                <w:rFonts w:ascii="Arial" w:cs="Arial" w:eastAsia="Arial" w:hAnsi="Arial"/>
                <w:sz w:val="32"/>
                <w:szCs w:val="32"/>
                <w:b w:val="1"/>
                <w:bCs w:val="1"/>
                <w:color w:val="auto"/>
                <w:w w:val="98"/>
              </w:rPr>
              <w:t>0.0</w:t>
            </w:r>
          </w:p>
        </w:tc>
      </w:tr>
      <w:tr>
        <w:trPr>
          <w:trHeight w:val="952"/>
        </w:trPr>
        <w:tc>
          <w:tcPr>
            <w:tcW w:w="4480" w:type="dxa"/>
            <w:vAlign w:val="bottom"/>
          </w:tcPr>
          <w:p>
            <w:pPr>
              <w:spacing w:after="0"/>
              <w:rPr>
                <w:sz w:val="20"/>
                <w:szCs w:val="20"/>
                <w:color w:val="auto"/>
              </w:rPr>
            </w:pPr>
            <w:r>
              <w:rPr>
                <w:rFonts w:ascii="Arial" w:cs="Arial" w:eastAsia="Arial" w:hAnsi="Arial"/>
                <w:sz w:val="32"/>
                <w:szCs w:val="32"/>
                <w:b w:val="1"/>
                <w:bCs w:val="1"/>
                <w:color w:val="auto"/>
              </w:rPr>
              <w:t>Total</w:t>
            </w:r>
          </w:p>
        </w:tc>
        <w:tc>
          <w:tcPr>
            <w:tcW w:w="2100" w:type="dxa"/>
            <w:vAlign w:val="bottom"/>
          </w:tcPr>
          <w:p>
            <w:pPr>
              <w:jc w:val="center"/>
              <w:ind w:left="48"/>
              <w:spacing w:after="0"/>
              <w:rPr>
                <w:sz w:val="20"/>
                <w:szCs w:val="20"/>
                <w:color w:val="auto"/>
              </w:rPr>
            </w:pPr>
            <w:r>
              <w:rPr>
                <w:rFonts w:ascii="Arial" w:cs="Arial" w:eastAsia="Arial" w:hAnsi="Arial"/>
                <w:sz w:val="32"/>
                <w:szCs w:val="32"/>
                <w:b w:val="1"/>
                <w:bCs w:val="1"/>
                <w:color w:val="auto"/>
              </w:rPr>
              <w:t>(0.2)</w:t>
            </w:r>
          </w:p>
        </w:tc>
        <w:tc>
          <w:tcPr>
            <w:tcW w:w="1800" w:type="dxa"/>
            <w:vAlign w:val="bottom"/>
          </w:tcPr>
          <w:p>
            <w:pPr>
              <w:jc w:val="center"/>
              <w:spacing w:after="0"/>
              <w:rPr>
                <w:sz w:val="20"/>
                <w:szCs w:val="20"/>
                <w:color w:val="auto"/>
              </w:rPr>
            </w:pPr>
            <w:r>
              <w:rPr>
                <w:rFonts w:ascii="Arial" w:cs="Arial" w:eastAsia="Arial" w:hAnsi="Arial"/>
                <w:sz w:val="32"/>
                <w:szCs w:val="32"/>
                <w:b w:val="1"/>
                <w:bCs w:val="1"/>
                <w:color w:val="auto"/>
              </w:rPr>
              <w:t>(0.2)</w:t>
            </w:r>
          </w:p>
        </w:tc>
        <w:tc>
          <w:tcPr>
            <w:tcW w:w="1180" w:type="dxa"/>
            <w:vAlign w:val="bottom"/>
          </w:tcPr>
          <w:p>
            <w:pPr>
              <w:jc w:val="center"/>
              <w:ind w:left="328"/>
              <w:spacing w:after="0"/>
              <w:rPr>
                <w:sz w:val="20"/>
                <w:szCs w:val="20"/>
                <w:color w:val="auto"/>
              </w:rPr>
            </w:pPr>
            <w:r>
              <w:rPr>
                <w:rFonts w:ascii="Arial" w:cs="Arial" w:eastAsia="Arial" w:hAnsi="Arial"/>
                <w:sz w:val="32"/>
                <w:szCs w:val="32"/>
                <w:b w:val="1"/>
                <w:bCs w:val="1"/>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S3</w:t>
      </w:r>
    </w:p>
    <w:sectPr>
      <w:pgSz w:w="11900" w:h="16838" w:orient="portrait"/>
      <w:cols w:equalWidth="0" w:num="1">
        <w:col w:w="10260"/>
      </w:cols>
      <w:pgMar w:left="740" w:top="61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endash "/>
      <w:numFmt w:val="bullet"/>
      <w:start w:val="1"/>
    </w:lvl>
  </w:abstractNum>
  <w:abstractNum w:abstractNumId="3">
    <w:nsid w:val="625558EC"/>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2019-12-11T06:40:37Z</dcterms:created>
  <dcterms:modified xsi:type="dcterms:W3CDTF">2019-12-11T06:40:37Z</dcterms:modified>
</cp:coreProperties>
</file>