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 Form 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700"/>
        <w:spacing w:after="0"/>
        <w:tabs>
          <w:tab w:leader="none" w:pos="2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UNITED STATES 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Washington, D.C. 20549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INITIAL STATEMENT OF BENEFICIAL OWNERSHIP OF SECURITIES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lef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Filed pursuant to Section 16(a) of the Securities Exchange Act of 1934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left="2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27940</wp:posOffset>
            </wp:positionV>
            <wp:extent cx="6984365" cy="1529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152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-135255</wp:posOffset>
            </wp:positionV>
            <wp:extent cx="1335405" cy="538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380" w:space="460"/>
            <w:col w:w="2140"/>
          </w:cols>
          <w:pgMar w:left="460" w:top="207" w:right="45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19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74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18"/>
                  <w:szCs w:val="18"/>
                  <w:u w:val="single" w:color="auto"/>
                  <w:color w:val="0000EE"/>
                </w:rPr>
                <w:t>Blissett Julian G.</w:t>
              </w:r>
            </w:hyperlink>
          </w:p>
        </w:tc>
        <w:tc>
          <w:tcPr>
            <w:tcW w:w="1980" w:type="dxa"/>
            <w:vAlign w:val="bottom"/>
          </w:tcPr>
          <w:p>
            <w:pPr>
              <w:ind w:left="5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GM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80" w:space="200"/>
            <w:col w:w="6000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M/C: 482-C24-A68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DETROIT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MI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48265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440" w:firstLine="7"/>
        <w:spacing w:after="0" w:line="268" w:lineRule="auto"/>
        <w:tabs>
          <w:tab w:leader="none" w:pos="119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ind w:left="193"/>
        <w:spacing w:after="0"/>
        <w:tabs>
          <w:tab w:leader="none" w:pos="492" w:val="left"/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40" w:hanging="3"/>
        <w:spacing w:after="0" w:line="284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Amendment, Date of Original Filed (Month/Day/Year)</w:t>
      </w:r>
    </w:p>
    <w:p>
      <w:pPr>
        <w:spacing w:after="0" w:line="209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3" w:right="100" w:hanging="3"/>
        <w:spacing w:after="0" w:line="271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Individual or Joint/Group Filing (Check Applicable Line)</w:t>
      </w:r>
    </w:p>
    <w:p>
      <w:pPr>
        <w:ind w:left="443" w:hanging="276"/>
        <w:spacing w:after="0"/>
        <w:tabs>
          <w:tab w:leader="none" w:pos="44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00FF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One Reporting Person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5"/>
          <w:szCs w:val="15"/>
          <w:color w:val="0000FF"/>
        </w:rPr>
      </w:pPr>
    </w:p>
    <w:p>
      <w:pPr>
        <w:ind w:left="443" w:right="300"/>
        <w:spacing w:after="0" w:line="284" w:lineRule="auto"/>
        <w:rPr>
          <w:rFonts w:ascii="Times New Roman" w:cs="Times New Roman" w:eastAsia="Times New Roman" w:hAnsi="Times New Roman"/>
          <w:sz w:val="15"/>
          <w:szCs w:val="15"/>
          <w:color w:val="0000FF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67" w:space="720"/>
            <w:col w:w="2813" w:space="477"/>
            <w:col w:w="2703"/>
          </w:cols>
          <w:pgMar w:left="460" w:top="207" w:right="45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72390</wp:posOffset>
            </wp:positionV>
            <wp:extent cx="6984365" cy="6889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4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ind w:left="5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5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12,830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60" w:type="dxa"/>
            <w:vAlign w:val="bottom"/>
            <w:gridSpan w:val="4"/>
          </w:tcPr>
          <w:p>
            <w:pPr>
              <w:jc w:val="right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80" w:type="dxa"/>
            <w:vAlign w:val="bottom"/>
            <w:gridSpan w:val="5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Employee Stock Option (Right to Buy)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02/15/2020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07/28/2025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30,976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31.32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Employee Stock Option (Right to Buy)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02/14/2020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06/07/2027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15,533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34.34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Employee Stock Option (Right to Buy)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99"/>
              </w:rPr>
              <w:t>02/11/2028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14,013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8"/>
              </w:rPr>
              <w:t>41.4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Employee Stock Option (Right to Buy)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02/13/2029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14,875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3"/>
              </w:rPr>
              <w:t>39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Employee Stock Option (Right to Buy)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02/13/2029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15,940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37.76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Employee Stock Option (Right to Buy)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(6)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02/12/2030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37,823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35.49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Employee Stock Option (Right to Buy)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(7)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(7)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02/12/2030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31,754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19.26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-2416175</wp:posOffset>
            </wp:positionV>
            <wp:extent cx="6984365" cy="230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65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Stock Options were granted on July 28, 2015, under the Company's 2014 Long-Term Incentive Plan and are fully vested.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Stock Options were granted on June 7, 2017, under the Company's 2017 Long-Term Incentive Plan (the "2017 LTIP") and are fully vested.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Stock Options were granted on February 13, 2018, under the Company's 2017 LTIP. Two-thirds have vested, and one-third will vest on February 13, 2021.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Stock Options were granted on February 13, 2019, under the Company's 2017 LTIP. One-third has vested; one-third will vest on February 13, 2021; and one-third will vest on February 13,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Stock Options were granted on April 1, 2019, under the Company's 2017 LTIP. One-third has vested; one-third will vest on February 13, 2021; and one-third will vest on February 13,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Stock Options were granted on February 12, 2020, under the Company's 2017 LTIP. One-third will vest on February 12, 2021; one-third will vest on February 12, 2022; and one-third will vest on February 12,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16"/>
        <w:spacing w:after="0"/>
        <w:tabs>
          <w:tab w:leader="none" w:pos="1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These Stock Options were granted on April 1, 2020, under the Company's 2017 LTIP. One-third will vest on February 12, 2021; one-third will vest on February 12, 2022; and one-third will vest on February 12, 2023.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/s/ Tia Y. Turk,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-1270</wp:posOffset>
            </wp:positionV>
            <wp:extent cx="1341755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Mr. Blissett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-14605</wp:posOffset>
            </wp:positionV>
            <wp:extent cx="435610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24815" cy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180"/>
          </w:cols>
          <w:pgMar w:left="460" w:top="207" w:right="45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40" w:firstLine="4"/>
        <w:spacing w:after="0" w:line="319" w:lineRule="auto"/>
        <w:tabs>
          <w:tab w:leader="none" w:pos="139" w:val="left"/>
        </w:tabs>
        <w:numPr>
          <w:ilvl w:val="0"/>
          <w:numId w:val="5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30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3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0" Type="http://schemas.openxmlformats.org/officeDocument/2006/relationships/hyperlink" Target="http://www.sec.gov/cgi-bin/browse-edgar?action=getcompany&amp;amp;CIK=0001810440" TargetMode="External"/><Relationship Id="rId11" Type="http://schemas.openxmlformats.org/officeDocument/2006/relationships/hyperlink" Target="http://www.sec.gov/cgi-bin/browse-edgar?action=getcompany&amp;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2020-04-29T16:05:28Z</dcterms:created>
  <dcterms:modified xsi:type="dcterms:W3CDTF">2020-04-29T16:05:28Z</dcterms:modified>
</cp:coreProperties>
</file>