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CHAIRMAN’S LETTER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here to win.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Our Shareholders,</w:t>
      </w:r>
    </w:p>
    <w:p>
      <w:pPr>
        <w:spacing w:after="0" w:line="243" w:lineRule="exact"/>
        <w:rPr>
          <w:sz w:val="20"/>
          <w:szCs w:val="20"/>
          <w:color w:val="auto"/>
        </w:rPr>
      </w:pPr>
    </w:p>
    <w:p>
      <w:pPr>
        <w:ind w:right="4780"/>
        <w:spacing w:after="0" w:line="241" w:lineRule="auto"/>
        <w:rPr>
          <w:sz w:val="20"/>
          <w:szCs w:val="20"/>
          <w:color w:val="auto"/>
        </w:rPr>
      </w:pPr>
      <w:r>
        <w:rPr>
          <w:rFonts w:ascii="Arial" w:cs="Arial" w:eastAsia="Arial" w:hAnsi="Arial"/>
          <w:sz w:val="18"/>
          <w:szCs w:val="18"/>
          <w:i w:val="1"/>
          <w:iCs w:val="1"/>
          <w:color w:val="auto"/>
        </w:rPr>
        <w:t>2016 was a very strong year for General Motors, one that included the launch of dozens of award-winning products around the world, record sales and earnings, substantial return of capital to shareholders and remarkable progress in our drive to define and lead the future of personal mobility. As always, we continued to put the customer at the center of everything we do as we recast the company to win in a rapidly changing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-779145</wp:posOffset>
            </wp:positionV>
            <wp:extent cx="2272665" cy="1577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2665" cy="1577975"/>
                    </a:xfrm>
                    <a:prstGeom prst="rect">
                      <a:avLst/>
                    </a:prstGeom>
                    <a:noFill/>
                  </pic:spPr>
                </pic:pic>
              </a:graphicData>
            </a:graphic>
          </wp:anchor>
        </w:drawing>
      </w:r>
    </w:p>
    <w:p>
      <w:pPr>
        <w:spacing w:after="0" w:line="209" w:lineRule="exact"/>
        <w:rPr>
          <w:sz w:val="20"/>
          <w:szCs w:val="20"/>
          <w:color w:val="auto"/>
        </w:rPr>
      </w:pPr>
    </w:p>
    <w:p>
      <w:pPr>
        <w:ind w:right="4560"/>
        <w:spacing w:after="0"/>
        <w:rPr>
          <w:sz w:val="20"/>
          <w:szCs w:val="20"/>
          <w:color w:val="auto"/>
        </w:rPr>
      </w:pPr>
      <w:r>
        <w:rPr>
          <w:rFonts w:ascii="Arial" w:cs="Arial" w:eastAsia="Arial" w:hAnsi="Arial"/>
          <w:sz w:val="18"/>
          <w:szCs w:val="18"/>
          <w:color w:val="auto"/>
        </w:rPr>
        <w:t>As the graphics on this page show, our company’s financial performance in 2016 set new records on a number of key metrics and extended our track record of consistently improving results.</w:t>
      </w:r>
    </w:p>
    <w:p>
      <w:pPr>
        <w:spacing w:after="0" w:line="230" w:lineRule="exact"/>
        <w:rPr>
          <w:sz w:val="20"/>
          <w:szCs w:val="20"/>
          <w:color w:val="auto"/>
        </w:rPr>
      </w:pPr>
    </w:p>
    <w:p>
      <w:pPr>
        <w:ind w:right="4740"/>
        <w:spacing w:after="0"/>
        <w:rPr>
          <w:sz w:val="20"/>
          <w:szCs w:val="20"/>
          <w:color w:val="auto"/>
        </w:rPr>
      </w:pPr>
      <w:r>
        <w:rPr>
          <w:rFonts w:ascii="Arial" w:cs="Arial" w:eastAsia="Arial" w:hAnsi="Arial"/>
          <w:sz w:val="18"/>
          <w:szCs w:val="18"/>
          <w:color w:val="auto"/>
        </w:rPr>
        <w:t>A telling indicator of this improvement is our earnings-per-share performance. Since 2013, EPS-diluted-adjusted has grown 92 percent from $3.18 to a record $6.12 in 2016. We fully expect to grow EPS further in 2017.</w:t>
      </w:r>
    </w:p>
    <w:p>
      <w:pPr>
        <w:spacing w:after="0" w:line="230" w:lineRule="exact"/>
        <w:rPr>
          <w:sz w:val="20"/>
          <w:szCs w:val="20"/>
          <w:color w:val="auto"/>
        </w:rPr>
      </w:pPr>
    </w:p>
    <w:p>
      <w:pPr>
        <w:ind w:right="4560"/>
        <w:spacing w:after="0" w:line="261" w:lineRule="auto"/>
        <w:rPr>
          <w:sz w:val="20"/>
          <w:szCs w:val="20"/>
          <w:color w:val="auto"/>
        </w:rPr>
      </w:pPr>
      <w:r>
        <w:rPr>
          <w:rFonts w:ascii="Arial" w:cs="Arial" w:eastAsia="Arial" w:hAnsi="Arial"/>
          <w:sz w:val="17"/>
          <w:szCs w:val="17"/>
          <w:color w:val="auto"/>
        </w:rPr>
        <w:t>Other records for 2016 include net revenue, EBIT-adjusted, EBIT-adjusted margin and adjusted automotive free cash flow. As we have for several years, we achieved our financial commitments in 2016 and remain on track to achieve our longer-term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r>
              <w:rPr>
                <w:rFonts w:ascii="Arial" w:cs="Arial" w:eastAsia="Arial" w:hAnsi="Arial"/>
                <w:sz w:val="18"/>
                <w:szCs w:val="18"/>
                <w:b w:val="1"/>
                <w:bCs w:val="1"/>
                <w:color w:val="auto"/>
              </w:rPr>
              <w:t>2016 FINANCIAL RESULTS</w:t>
            </w:r>
          </w:p>
        </w:tc>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689"/>
        </w:trPr>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92.5%</w:t>
            </w:r>
          </w:p>
        </w:tc>
        <w:tc>
          <w:tcPr>
            <w:tcW w:w="3520" w:type="dxa"/>
            <w:vAlign w:val="bottom"/>
          </w:tcPr>
          <w:p>
            <w:pPr>
              <w:ind w:left="1040"/>
              <w:spacing w:after="0"/>
              <w:rPr>
                <w:sz w:val="20"/>
                <w:szCs w:val="20"/>
                <w:color w:val="auto"/>
              </w:rPr>
            </w:pPr>
            <w:r>
              <w:rPr>
                <w:rFonts w:ascii="Arial" w:cs="Arial" w:eastAsia="Arial" w:hAnsi="Arial"/>
                <w:sz w:val="18"/>
                <w:szCs w:val="18"/>
                <w:b w:val="1"/>
                <w:bCs w:val="1"/>
                <w:color w:val="auto"/>
              </w:rPr>
              <w:t>46.1%</w:t>
            </w:r>
          </w:p>
        </w:tc>
        <w:tc>
          <w:tcPr>
            <w:tcW w:w="2660" w:type="dxa"/>
            <w:vAlign w:val="bottom"/>
          </w:tcPr>
          <w:p>
            <w:pPr>
              <w:ind w:left="1040"/>
              <w:spacing w:after="0"/>
              <w:rPr>
                <w:sz w:val="20"/>
                <w:szCs w:val="20"/>
                <w:color w:val="auto"/>
              </w:rPr>
            </w:pPr>
            <w:r>
              <w:rPr>
                <w:rFonts w:ascii="Arial" w:cs="Arial" w:eastAsia="Arial" w:hAnsi="Arial"/>
                <w:sz w:val="18"/>
                <w:szCs w:val="18"/>
                <w:b w:val="1"/>
                <w:bCs w:val="1"/>
                <w:color w:val="auto"/>
              </w:rPr>
              <w:t>36.5%</w:t>
            </w:r>
          </w:p>
        </w:tc>
      </w:tr>
      <w:tr>
        <w:trPr>
          <w:trHeight w:val="288"/>
        </w:trPr>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EPS-diluted-adjusted</w:t>
            </w:r>
          </w:p>
        </w:tc>
        <w:tc>
          <w:tcPr>
            <w:tcW w:w="3520" w:type="dxa"/>
            <w:vAlign w:val="bottom"/>
          </w:tcPr>
          <w:p>
            <w:pPr>
              <w:ind w:left="1040"/>
              <w:spacing w:after="0"/>
              <w:rPr>
                <w:sz w:val="20"/>
                <w:szCs w:val="20"/>
                <w:color w:val="auto"/>
              </w:rPr>
            </w:pPr>
            <w:r>
              <w:rPr>
                <w:rFonts w:ascii="Arial" w:cs="Arial" w:eastAsia="Arial" w:hAnsi="Arial"/>
                <w:sz w:val="18"/>
                <w:szCs w:val="18"/>
                <w:b w:val="1"/>
                <w:bCs w:val="1"/>
                <w:color w:val="auto"/>
              </w:rPr>
              <w:t>EBIT-adjusted</w:t>
            </w:r>
          </w:p>
        </w:tc>
        <w:tc>
          <w:tcPr>
            <w:tcW w:w="2660" w:type="dxa"/>
            <w:vAlign w:val="bottom"/>
          </w:tcPr>
          <w:p>
            <w:pPr>
              <w:ind w:left="1040"/>
              <w:spacing w:after="0"/>
              <w:rPr>
                <w:sz w:val="20"/>
                <w:szCs w:val="20"/>
                <w:color w:val="auto"/>
              </w:rPr>
            </w:pPr>
            <w:r>
              <w:rPr>
                <w:rFonts w:ascii="Arial" w:cs="Arial" w:eastAsia="Arial" w:hAnsi="Arial"/>
                <w:sz w:val="18"/>
                <w:szCs w:val="18"/>
                <w:b w:val="1"/>
                <w:bCs w:val="1"/>
                <w:color w:val="auto"/>
                <w:w w:val="98"/>
              </w:rPr>
              <w:t>Basis-point growth</w:t>
            </w:r>
          </w:p>
        </w:tc>
      </w:tr>
      <w:tr>
        <w:trPr>
          <w:trHeight w:val="203"/>
        </w:trPr>
        <w:tc>
          <w:tcPr>
            <w:tcW w:w="5040" w:type="dxa"/>
            <w:vAlign w:val="bottom"/>
          </w:tcPr>
          <w:p>
            <w:pPr>
              <w:ind w:left="2200"/>
              <w:spacing w:after="0" w:line="202" w:lineRule="exact"/>
              <w:rPr>
                <w:sz w:val="20"/>
                <w:szCs w:val="20"/>
                <w:color w:val="auto"/>
              </w:rPr>
            </w:pPr>
            <w:r>
              <w:rPr>
                <w:rFonts w:ascii="Arial" w:cs="Arial" w:eastAsia="Arial" w:hAnsi="Arial"/>
                <w:sz w:val="18"/>
                <w:szCs w:val="18"/>
                <w:b w:val="1"/>
                <w:bCs w:val="1"/>
                <w:color w:val="auto"/>
              </w:rPr>
              <w:t>growth vs. 2013*</w:t>
            </w:r>
          </w:p>
        </w:tc>
        <w:tc>
          <w:tcPr>
            <w:tcW w:w="3520" w:type="dxa"/>
            <w:vAlign w:val="bottom"/>
          </w:tcPr>
          <w:p>
            <w:pPr>
              <w:ind w:left="1040"/>
              <w:spacing w:after="0" w:line="202" w:lineRule="exact"/>
              <w:rPr>
                <w:sz w:val="20"/>
                <w:szCs w:val="20"/>
                <w:color w:val="auto"/>
              </w:rPr>
            </w:pPr>
            <w:r>
              <w:rPr>
                <w:rFonts w:ascii="Arial" w:cs="Arial" w:eastAsia="Arial" w:hAnsi="Arial"/>
                <w:sz w:val="18"/>
                <w:szCs w:val="18"/>
                <w:b w:val="1"/>
                <w:bCs w:val="1"/>
                <w:color w:val="auto"/>
              </w:rPr>
              <w:t>growth vs. 2013*</w:t>
            </w:r>
          </w:p>
        </w:tc>
        <w:tc>
          <w:tcPr>
            <w:tcW w:w="2660" w:type="dxa"/>
            <w:vAlign w:val="bottom"/>
          </w:tcPr>
          <w:p>
            <w:pPr>
              <w:ind w:left="1040"/>
              <w:spacing w:after="0" w:line="202" w:lineRule="exact"/>
              <w:rPr>
                <w:sz w:val="20"/>
                <w:szCs w:val="20"/>
                <w:color w:val="auto"/>
              </w:rPr>
            </w:pPr>
            <w:r>
              <w:rPr>
                <w:rFonts w:ascii="Arial" w:cs="Arial" w:eastAsia="Arial" w:hAnsi="Arial"/>
                <w:sz w:val="18"/>
                <w:szCs w:val="18"/>
                <w:b w:val="1"/>
                <w:bCs w:val="1"/>
                <w:color w:val="auto"/>
              </w:rPr>
              <w:t>in EBIT-adjusted</w:t>
            </w:r>
          </w:p>
        </w:tc>
      </w:tr>
      <w:tr>
        <w:trPr>
          <w:trHeight w:val="239"/>
        </w:trPr>
        <w:tc>
          <w:tcPr>
            <w:tcW w:w="5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60" w:type="dxa"/>
            <w:vAlign w:val="bottom"/>
          </w:tcPr>
          <w:p>
            <w:pPr>
              <w:ind w:left="1040"/>
              <w:spacing w:after="0"/>
              <w:rPr>
                <w:sz w:val="20"/>
                <w:szCs w:val="20"/>
                <w:color w:val="auto"/>
              </w:rPr>
            </w:pPr>
            <w:r>
              <w:rPr>
                <w:rFonts w:ascii="Arial" w:cs="Arial" w:eastAsia="Arial" w:hAnsi="Arial"/>
                <w:sz w:val="18"/>
                <w:szCs w:val="18"/>
                <w:b w:val="1"/>
                <w:bCs w:val="1"/>
                <w:color w:val="auto"/>
              </w:rPr>
              <w:t>margins vs.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71525" cy="1200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120078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-753745</wp:posOffset>
            </wp:positionV>
            <wp:extent cx="771525" cy="1200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120078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-753745</wp:posOffset>
            </wp:positionV>
            <wp:extent cx="763270" cy="1200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327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760" w:firstLine="8"/>
        <w:spacing w:after="0" w:line="246"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financial measure. See Page 16 for more information. ** Represents core operating performance, excludes recalls.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5"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5586095</wp:posOffset>
            </wp:positionV>
            <wp:extent cx="1741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$18 billion returned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shareholders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2016 CHAIRMAN’S LETTER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Creating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-4541520</wp:posOffset>
            </wp:positionV>
            <wp:extent cx="7289165" cy="4271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pacing w:after="0" w:line="11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continue to execute a very transparent and disciplined capital allocation framework that deploys capital where it is expected to deliver higher returns for our owners over the long term. After appropriately reinvesting in the business and maintaining our investment-grade balance sheet, we have committed to return all available free cash flow to shareholders.</w:t>
      </w:r>
    </w:p>
    <w:p>
      <w:pPr>
        <w:spacing w:after="0" w:line="20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2016, we returned $4.8 billion to shareholders through dividends and share repurchases. From 2012 through 2016, we returned $18 billion to shareholders, which represents more than 90 percent of free cash flow.</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January of this year, the GM board approved an additional $5 billion in common stock repurchases under our share-repurchase program, bringing the total authorization under the program to $14 billion. In 2015 and 2016, the company repurchased a total of $6 billion in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total shareholder return in 2016 was 7.5 percent, highest among major global automakers.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GM is also an industry leader in return on invested capital. At the end of 2016, our ROIC-adjusted was 28.9 percent. Importantly, we have shown the willingness and discipline to take actions when we believe we can prioritize our resources to achieve higher returns.</w:t>
      </w:r>
    </w:p>
    <w:p>
      <w:pPr>
        <w:spacing w:after="0" w:line="2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demonstrated this discipline most significantly in March 2017, when we announced the sale of our Opel/Vauxhall and GM Financial European operations to the PSA Group, a transaction that will unlock significant value for our shareholders and allow us to focus more intently on higher-return opportunities. We expect the transaction to</w:t>
      </w:r>
    </w:p>
    <w:p>
      <w:pPr>
        <w:sectPr>
          <w:pgSz w:w="11900" w:h="16838" w:orient="portrait"/>
          <w:cols w:equalWidth="0" w:num="2">
            <w:col w:w="2820" w:space="160"/>
            <w:col w:w="8380"/>
          </w:cols>
          <w:pgMar w:left="240" w:top="1440" w:right="299" w:bottom="1440" w:gutter="0" w:footer="0" w:header="0"/>
        </w:sectPr>
      </w:pPr>
    </w:p>
    <w:bookmarkStart w:id="3" w:name="page4"/>
    <w:bookmarkEnd w:id="3"/>
    <w:p>
      <w:pPr>
        <w:ind w:right="1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close in 2017 and immediately improve GM’s EBIT-adjusted, EBIT-adjusted margin and adjusted automotive free cash flow and de-risk our balance sheet. It will also allow GM to participate in the future success of PSA through warrants to purchase PSA shares. GM and PSA will collaborate on future technology development and deployment, and existing supply agreements for our Holden and Buick brands.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Winning Vehicles</w:t>
      </w:r>
    </w:p>
    <w:p>
      <w:pPr>
        <w:spacing w:after="0" w:line="12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GM’s financial results are driven by great cars, trucks and crossovers. Every vehicle we produce starts with a foundational commitment to safety, quality and performance, and an unrelenting drive to lead in each segment in which we compete. Nothing makes this point better than the 2017 Chevrolet Bolt EV.</w:t>
      </w:r>
    </w:p>
    <w:p>
      <w:pPr>
        <w:spacing w:after="0" w:line="202"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Bolt EV is the world’s first electric vehicle to combine long range with affordable pricing. Bolt EV gets an EPA-estimated 238 miles per charge at a price below $30,000 after government incentives.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Deliveries began in the U.S. late last year, as did a number of third-party awards. Among its many honors, Bolt EV has been named the 2017 North American Car of the Year, the 2017 </w:t>
      </w:r>
      <w:r>
        <w:rPr>
          <w:rFonts w:ascii="Arial" w:cs="Arial" w:eastAsia="Arial" w:hAnsi="Arial"/>
          <w:sz w:val="18"/>
          <w:szCs w:val="18"/>
          <w:i w:val="1"/>
          <w:iCs w:val="1"/>
          <w:color w:val="auto"/>
        </w:rPr>
        <w:t xml:space="preserve">Motor Trend </w:t>
      </w:r>
      <w:r>
        <w:rPr>
          <w:rFonts w:ascii="Arial" w:cs="Arial" w:eastAsia="Arial" w:hAnsi="Arial"/>
          <w:sz w:val="18"/>
          <w:szCs w:val="18"/>
          <w:color w:val="auto"/>
        </w:rPr>
        <w:t>Car of the Year,</w:t>
      </w:r>
      <w:r>
        <w:rPr>
          <w:rFonts w:ascii="Arial" w:cs="Arial" w:eastAsia="Arial" w:hAnsi="Arial"/>
          <w:sz w:val="18"/>
          <w:szCs w:val="18"/>
          <w:i w:val="1"/>
          <w:iCs w:val="1"/>
          <w:color w:val="auto"/>
        </w:rPr>
        <w:t xml:space="preserve"> Green Car Journal’s </w:t>
      </w:r>
      <w:r>
        <w:rPr>
          <w:rFonts w:ascii="Arial" w:cs="Arial" w:eastAsia="Arial" w:hAnsi="Arial"/>
          <w:sz w:val="18"/>
          <w:szCs w:val="18"/>
          <w:color w:val="auto"/>
        </w:rPr>
        <w:t>2017 Green Car of the Year and one of</w:t>
      </w:r>
      <w:r>
        <w:rPr>
          <w:rFonts w:ascii="Arial" w:cs="Arial" w:eastAsia="Arial" w:hAnsi="Arial"/>
          <w:sz w:val="18"/>
          <w:szCs w:val="18"/>
          <w:i w:val="1"/>
          <w:iCs w:val="1"/>
          <w:color w:val="auto"/>
        </w:rPr>
        <w:t xml:space="preserve"> Car and Driver’s </w:t>
      </w:r>
      <w:r>
        <w:rPr>
          <w:rFonts w:ascii="Arial" w:cs="Arial" w:eastAsia="Arial" w:hAnsi="Arial"/>
          <w:sz w:val="18"/>
          <w:szCs w:val="18"/>
          <w:color w:val="auto"/>
        </w:rPr>
        <w:t>10 Best Cars for 2017.</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Bolt EV is a tremendous opportunity for us – an outstanding zero-emissions car that is fun to drive, breaks new ground and puts our commitment to new technology in customers’ hands. And it’s just one of many great new models we launched around the world last year, including the Cadillac XT5 luxury crossover, Chevrolet Cruze sedan and hatchback, GMC Acadia crossover, Buick LaCrosse premium sedan, Opel Mokka X crossover and Baojun 310 and Chevrolet Onix hatchbacks, to name a few.</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Our global product offensive continues in 2017 with the right products in the right markets at the right time, including a number of launches aimed at the heart of the red-hot North American crossover segment. Among our major launches for 2017 are four all-new crossovers – Chevrolet Traverse and Equinox, GMC Terrain and Buick Enclave – as well as exciting new sedans such as the Cadillac CT6 Plug-In Hybrid and the Opel Insignia sedan.</w:t>
      </w:r>
    </w:p>
    <w:p>
      <w:pPr>
        <w:spacing w:after="0" w:line="19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Between 2017 and 2020, we expect approximately 38 percent of our volume to come from recently launched vehicles, which is up from 26 percent the past six years. Importantly, we expect more than 50 percent of these launches to be our more-profitable trucks, crossovers and SUVs.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Brands</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Our focus on great cars, trucks and crossovers also allowed us to strengthen our brands in 2016.</w:t>
      </w:r>
    </w:p>
    <w:p>
      <w:pPr>
        <w:spacing w:after="0" w:line="197" w:lineRule="exact"/>
        <w:rPr>
          <w:sz w:val="20"/>
          <w:szCs w:val="20"/>
          <w:color w:val="auto"/>
        </w:rPr>
      </w:pPr>
    </w:p>
    <w:p>
      <w:pPr>
        <w:jc w:val="both"/>
        <w:ind w:right="380"/>
        <w:spacing w:after="0" w:line="239" w:lineRule="auto"/>
        <w:rPr>
          <w:sz w:val="20"/>
          <w:szCs w:val="20"/>
          <w:color w:val="auto"/>
        </w:rPr>
      </w:pPr>
      <w:r>
        <w:rPr>
          <w:rFonts w:ascii="Arial" w:cs="Arial" w:eastAsia="Arial" w:hAnsi="Arial"/>
          <w:sz w:val="18"/>
          <w:szCs w:val="18"/>
          <w:color w:val="auto"/>
        </w:rPr>
        <w:t xml:space="preserve">In the U.S., GM brands had more segment winners than any other automaker in the J.D. Power Vehicle Dependability, Initial Quality and Automotive Performance Execution and Layout (APEAL) studies; </w:t>
      </w:r>
      <w:r>
        <w:rPr>
          <w:rFonts w:ascii="Arial" w:cs="Arial" w:eastAsia="Arial" w:hAnsi="Arial"/>
          <w:sz w:val="18"/>
          <w:szCs w:val="18"/>
          <w:i w:val="1"/>
          <w:iCs w:val="1"/>
          <w:color w:val="auto"/>
        </w:rPr>
        <w:t>Consumer Reports</w:t>
      </w:r>
      <w:r>
        <w:rPr>
          <w:rFonts w:ascii="Arial" w:cs="Arial" w:eastAsia="Arial" w:hAnsi="Arial"/>
          <w:sz w:val="18"/>
          <w:szCs w:val="18"/>
          <w:color w:val="auto"/>
        </w:rPr>
        <w:t xml:space="preserve"> recommended 12 GM models in its Annual Reliability Survey; and IHS Markit recognized GM as the automaker with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GM BRANDS EARNED MORE SEGMENT AWARDS THAN ANY OTHER AUTOMAKER IN KEY J.D. POWER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88670" cy="103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U.S. VEHICLE</w:t>
      </w:r>
    </w:p>
    <w:p>
      <w:pPr>
        <w:spacing w:after="0" w:line="1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DEPENDABILITY</w:t>
      </w:r>
    </w:p>
    <w:p>
      <w:pPr>
        <w:ind w:left="1680"/>
        <w:spacing w:after="0" w:line="234" w:lineRule="auto"/>
        <w:rPr>
          <w:sz w:val="20"/>
          <w:szCs w:val="20"/>
          <w:color w:val="auto"/>
        </w:rPr>
      </w:pPr>
      <w:r>
        <w:rPr>
          <w:rFonts w:ascii="Arial" w:cs="Arial" w:eastAsia="Arial" w:hAnsi="Arial"/>
          <w:sz w:val="18"/>
          <w:szCs w:val="18"/>
          <w:b w:val="1"/>
          <w:bCs w:val="1"/>
          <w:color w:val="auto"/>
        </w:rPr>
        <w:t>8</w:t>
      </w:r>
    </w:p>
    <w:p>
      <w:pPr>
        <w:ind w:left="1680"/>
        <w:spacing w:after="0" w:line="232" w:lineRule="auto"/>
        <w:rPr>
          <w:sz w:val="20"/>
          <w:szCs w:val="20"/>
          <w:color w:val="auto"/>
        </w:rPr>
      </w:pPr>
      <w:r>
        <w:rPr>
          <w:rFonts w:ascii="Arial" w:cs="Arial" w:eastAsia="Arial" w:hAnsi="Arial"/>
          <w:sz w:val="18"/>
          <w:szCs w:val="18"/>
          <w:b w:val="1"/>
          <w:bCs w:val="1"/>
          <w:color w:val="auto"/>
        </w:rPr>
        <w:t>Award-recognized</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models</w:t>
      </w:r>
      <w:r>
        <w:rPr>
          <w:rFonts w:ascii="Arial" w:cs="Arial" w:eastAsia="Arial" w:hAnsi="Arial"/>
          <w:sz w:val="15"/>
          <w:szCs w:val="15"/>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162560</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334010</wp:posOffset>
            </wp:positionV>
            <wp:extent cx="788670" cy="103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U.S. VEHICLE</w:t>
      </w:r>
    </w:p>
    <w:p>
      <w:pPr>
        <w:spacing w:after="0" w:line="1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INITIAL QUALITY</w:t>
      </w:r>
    </w:p>
    <w:p>
      <w:pPr>
        <w:ind w:left="1680"/>
        <w:spacing w:after="0" w:line="234" w:lineRule="auto"/>
        <w:rPr>
          <w:sz w:val="20"/>
          <w:szCs w:val="20"/>
          <w:color w:val="auto"/>
        </w:rPr>
      </w:pPr>
      <w:r>
        <w:rPr>
          <w:rFonts w:ascii="Arial" w:cs="Arial" w:eastAsia="Arial" w:hAnsi="Arial"/>
          <w:sz w:val="18"/>
          <w:szCs w:val="18"/>
          <w:b w:val="1"/>
          <w:bCs w:val="1"/>
          <w:color w:val="auto"/>
        </w:rPr>
        <w:t>7</w:t>
      </w:r>
    </w:p>
    <w:p>
      <w:pPr>
        <w:ind w:left="1680"/>
        <w:spacing w:after="0" w:line="232" w:lineRule="auto"/>
        <w:rPr>
          <w:sz w:val="20"/>
          <w:szCs w:val="20"/>
          <w:color w:val="auto"/>
        </w:rPr>
      </w:pPr>
      <w:r>
        <w:rPr>
          <w:rFonts w:ascii="Arial" w:cs="Arial" w:eastAsia="Arial" w:hAnsi="Arial"/>
          <w:sz w:val="18"/>
          <w:szCs w:val="18"/>
          <w:b w:val="1"/>
          <w:bCs w:val="1"/>
          <w:color w:val="auto"/>
        </w:rPr>
        <w:t>Award-recognized</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models</w:t>
      </w:r>
      <w:r>
        <w:rPr>
          <w:rFonts w:ascii="Arial" w:cs="Arial" w:eastAsia="Arial" w:hAnsi="Arial"/>
          <w:sz w:val="15"/>
          <w:szCs w:val="15"/>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162560</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U.S. 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-116205</wp:posOffset>
            </wp:positionV>
            <wp:extent cx="788670" cy="103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103759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b w:val="1"/>
          <w:bCs w:val="1"/>
          <w:color w:val="auto"/>
        </w:rPr>
        <w:t>PERFORMANCE,</w:t>
      </w:r>
    </w:p>
    <w:p>
      <w:pPr>
        <w:ind w:left="1680"/>
        <w:spacing w:after="0" w:line="234" w:lineRule="auto"/>
        <w:rPr>
          <w:sz w:val="20"/>
          <w:szCs w:val="20"/>
          <w:color w:val="auto"/>
        </w:rPr>
      </w:pPr>
      <w:r>
        <w:rPr>
          <w:rFonts w:ascii="Arial" w:cs="Arial" w:eastAsia="Arial" w:hAnsi="Arial"/>
          <w:sz w:val="18"/>
          <w:szCs w:val="18"/>
          <w:b w:val="1"/>
          <w:bCs w:val="1"/>
          <w:color w:val="auto"/>
        </w:rPr>
        <w:t>EXECUTION AND</w:t>
      </w:r>
    </w:p>
    <w:p>
      <w:pPr>
        <w:ind w:left="1680"/>
        <w:spacing w:after="0" w:line="235" w:lineRule="auto"/>
        <w:rPr>
          <w:sz w:val="20"/>
          <w:szCs w:val="20"/>
          <w:color w:val="auto"/>
        </w:rPr>
      </w:pPr>
      <w:r>
        <w:rPr>
          <w:rFonts w:ascii="Arial" w:cs="Arial" w:eastAsia="Arial" w:hAnsi="Arial"/>
          <w:sz w:val="18"/>
          <w:szCs w:val="18"/>
          <w:b w:val="1"/>
          <w:bCs w:val="1"/>
          <w:color w:val="auto"/>
        </w:rPr>
        <w:t>LAYOUT</w:t>
      </w:r>
    </w:p>
    <w:p>
      <w:pPr>
        <w:ind w:left="1680"/>
        <w:spacing w:after="0" w:line="235" w:lineRule="auto"/>
        <w:rPr>
          <w:sz w:val="20"/>
          <w:szCs w:val="20"/>
          <w:color w:val="auto"/>
        </w:rPr>
      </w:pPr>
      <w:r>
        <w:rPr>
          <w:rFonts w:ascii="Arial" w:cs="Arial" w:eastAsia="Arial" w:hAnsi="Arial"/>
          <w:sz w:val="18"/>
          <w:szCs w:val="18"/>
          <w:b w:val="1"/>
          <w:bCs w:val="1"/>
          <w:color w:val="auto"/>
        </w:rPr>
        <w:t>6</w:t>
      </w:r>
    </w:p>
    <w:p>
      <w:pPr>
        <w:ind w:left="1680"/>
        <w:spacing w:after="0" w:line="232" w:lineRule="auto"/>
        <w:rPr>
          <w:sz w:val="20"/>
          <w:szCs w:val="20"/>
          <w:color w:val="auto"/>
        </w:rPr>
      </w:pPr>
      <w:r>
        <w:rPr>
          <w:rFonts w:ascii="Arial" w:cs="Arial" w:eastAsia="Arial" w:hAnsi="Arial"/>
          <w:sz w:val="18"/>
          <w:szCs w:val="18"/>
          <w:b w:val="1"/>
          <w:bCs w:val="1"/>
          <w:color w:val="auto"/>
        </w:rPr>
        <w:t>Award-recognized</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models</w:t>
      </w:r>
      <w:r>
        <w:rPr>
          <w:rFonts w:ascii="Arial" w:cs="Arial" w:eastAsia="Arial" w:hAnsi="Arial"/>
          <w:sz w:val="15"/>
          <w:szCs w:val="15"/>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2238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380" w:right="280" w:hanging="372"/>
        <w:spacing w:after="0" w:line="248" w:lineRule="auto"/>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Buick Encore, Buick LaCrosse, Buick Verano, Chevrolet Camaro, Chevrolet Equinox, Chevrolet Malibu, Chevrolet Silverado HD and GMC Yukon</w:t>
      </w:r>
    </w:p>
    <w:p>
      <w:pPr>
        <w:spacing w:after="0" w:line="2" w:lineRule="exact"/>
        <w:rPr>
          <w:rFonts w:ascii="Arial" w:cs="Arial" w:eastAsia="Arial" w:hAnsi="Arial"/>
          <w:sz w:val="17"/>
          <w:szCs w:val="17"/>
          <w:b w:val="1"/>
          <w:bCs w:val="1"/>
          <w:color w:val="auto"/>
        </w:rPr>
      </w:pPr>
    </w:p>
    <w:p>
      <w:pPr>
        <w:ind w:left="380" w:right="460" w:hanging="372"/>
        <w:spacing w:after="0" w:line="248" w:lineRule="auto"/>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Buick Cascada, Chevrolet Equinox, Chevrolet Silverado HD, Chevrolet Silverado LD, Chevrolet Spark, Chevrolet Tahoe and GMC Terrain</w:t>
      </w:r>
    </w:p>
    <w:p>
      <w:pPr>
        <w:spacing w:after="0" w:line="2" w:lineRule="exact"/>
        <w:rPr>
          <w:rFonts w:ascii="Arial" w:cs="Arial" w:eastAsia="Arial" w:hAnsi="Arial"/>
          <w:sz w:val="17"/>
          <w:szCs w:val="17"/>
          <w:b w:val="1"/>
          <w:bCs w:val="1"/>
          <w:color w:val="auto"/>
        </w:rPr>
      </w:pPr>
    </w:p>
    <w:p>
      <w:pPr>
        <w:ind w:left="380" w:right="280" w:hanging="372"/>
        <w:spacing w:after="0" w:line="261" w:lineRule="auto"/>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Chevrolet Sonic, Chevrolet Camaro, Chevrolet Colorado, Chevrolet Tahoe, Buick Cascada and GMC Sierra HD</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420" w:space="340"/>
            <w:col w:w="3660"/>
          </w:cols>
          <w:pgMar w:left="240" w:top="341"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sales</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i w:val="1"/>
          <w:iCs w:val="1"/>
          <w:color w:val="auto"/>
        </w:rPr>
        <w:t>leader in North America, including the U.S., and South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41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8"/>
          <w:szCs w:val="18"/>
          <w:color w:val="auto"/>
        </w:rPr>
        <w:t>highest overall U.S. customer loyalty for the second consecutive year. In China, four GM brands – Baojun, Buick, Chevrolet and Wuling – accounted for nine segment winners in the China Automobile Customer Satisfaction Index and seven segment winners in the J.D. Power Vehicle Dependability, Initial Quality and APEAL studies. And in Europe, Opel ADAM placed first among small cars in the J.D. Power Vehicle Dependability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-744855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Among individual brands, Cadillac had its best global sales performance since 1986 and is now enjoying its highest average transaction prices ever. In China, Cadillac was named Luxury Car Brand of the Year by Auto.Sina.com.</w:t>
      </w:r>
    </w:p>
    <w:p>
      <w:pPr>
        <w:spacing w:after="0" w:line="230"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In 2016, Chevrolet had its best U.S. retail sales performance in 10 years. In fact, Chevrolet has grown its U.S. retail market share faster than any other full-line brand for the last two consecutive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Buick marked its fourth straight year of record global sales – more than 1.4 million vehicles, the most in its 113-year history. Buick was also one of only two brands in the industry last year to earn a National Highway Traffic Safety Administration five-star Overall Vehicle Safety Score for every model in its lineup.</w:t>
      </w:r>
    </w:p>
    <w:p>
      <w:pPr>
        <w:spacing w:after="0" w:line="2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GMC last year had its best U.S. retail sales performance in 12 years and now has the highest average transaction prices of all non-luxury brands.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Highlights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2016, GM remained the industry sales leader in North America, including the U.S., and South America.</w:t>
      </w:r>
    </w:p>
    <w:p>
      <w:pPr>
        <w:spacing w:after="0"/>
        <w:rPr>
          <w:sz w:val="20"/>
          <w:szCs w:val="20"/>
          <w:color w:val="auto"/>
        </w:rPr>
      </w:pPr>
      <w:r>
        <w:rPr>
          <w:rFonts w:ascii="Arial" w:cs="Arial" w:eastAsia="Arial" w:hAnsi="Arial"/>
          <w:sz w:val="18"/>
          <w:szCs w:val="18"/>
          <w:color w:val="auto"/>
        </w:rPr>
        <w:t>Around the world, we recorded our fourth consecutive year of record global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160655</wp:posOffset>
            </wp:positionV>
            <wp:extent cx="6089015" cy="2735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9015" cy="2735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720"/>
            <w:col w:w="8420"/>
          </w:cols>
          <w:pgMar w:left="240" w:top="28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2016 CHAIRMAN’S LETTER</w:t>
      </w:r>
    </w:p>
    <w:p>
      <w:pPr>
        <w:sectPr>
          <w:pgSz w:w="11900" w:h="16838" w:orient="portrait"/>
          <w:cols w:equalWidth="0" w:num="1">
            <w:col w:w="11400"/>
          </w:cols>
          <w:pgMar w:left="240" w:top="287" w:right="259" w:bottom="1440" w:gutter="0" w:footer="0" w:header="0"/>
          <w:type w:val="continuous"/>
        </w:sectPr>
      </w:pPr>
    </w:p>
    <w:bookmarkStart w:id="5" w:name="page6"/>
    <w:bookmarkEnd w:id="5"/>
    <w:p>
      <w:pPr>
        <w:ind w:right="44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we achieved record earnings last year and exceeded our 10-percent-margin goal for the second consecutive year. GM overall enjoyed its highest U.S. retail sales volume since 2007 and grew its year-over-year retail market share faster than any other full-line automaker.</w:t>
      </w:r>
    </w:p>
    <w:p>
      <w:pPr>
        <w:spacing w:after="0" w:line="229" w:lineRule="exact"/>
        <w:rPr>
          <w:sz w:val="20"/>
          <w:szCs w:val="20"/>
          <w:color w:val="auto"/>
        </w:rPr>
      </w:pPr>
    </w:p>
    <w:p>
      <w:pPr>
        <w:ind w:right="4440"/>
        <w:spacing w:after="0" w:line="238" w:lineRule="auto"/>
        <w:rPr>
          <w:sz w:val="20"/>
          <w:szCs w:val="20"/>
          <w:color w:val="auto"/>
        </w:rPr>
      </w:pPr>
      <w:r>
        <w:rPr>
          <w:rFonts w:ascii="Arial" w:cs="Arial" w:eastAsia="Arial" w:hAnsi="Arial"/>
          <w:sz w:val="18"/>
          <w:szCs w:val="18"/>
          <w:color w:val="auto"/>
        </w:rPr>
        <w:t>In the U.S., we support a strong and competitive economy and automotive industry. The U.S. is our home market, and we are committed to a manufacturing base that is competitive globally and grows jobs, while safeguarding the environment and promoting vehicle safety. We believe that long-term investment in sustainable manufacturing is good for our investors, dealers, suppliers,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95250</wp:posOffset>
            </wp:positionV>
            <wp:extent cx="2272665" cy="2975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72665" cy="2975610"/>
                    </a:xfrm>
                    <a:prstGeom prst="rect">
                      <a:avLst/>
                    </a:prstGeom>
                    <a:noFill/>
                  </pic:spPr>
                </pic:pic>
              </a:graphicData>
            </a:graphic>
          </wp:anchor>
        </w:drawing>
      </w:r>
    </w:p>
    <w:p>
      <w:pPr>
        <w:spacing w:after="0" w:line="210" w:lineRule="exact"/>
        <w:rPr>
          <w:sz w:val="20"/>
          <w:szCs w:val="20"/>
          <w:color w:val="auto"/>
        </w:rPr>
      </w:pPr>
    </w:p>
    <w:p>
      <w:pPr>
        <w:ind w:right="4340"/>
        <w:spacing w:after="0" w:line="237" w:lineRule="auto"/>
        <w:rPr>
          <w:sz w:val="20"/>
          <w:szCs w:val="20"/>
          <w:color w:val="auto"/>
        </w:rPr>
      </w:pPr>
      <w:r>
        <w:rPr>
          <w:rFonts w:ascii="Arial" w:cs="Arial" w:eastAsia="Arial" w:hAnsi="Arial"/>
          <w:sz w:val="18"/>
          <w:szCs w:val="18"/>
          <w:color w:val="auto"/>
        </w:rPr>
        <w:t>In January of this year, we announced plans to invest $1 billion in our U.S. manufacturing operations, which along with other actions, will create or retain up to 7,000 U.S. jobs in the next few years. In March, we announced plans to add an additional 900 jobs in Michigan over the next 12 months. These latest moves support our ongoing strategy to streamline and simplify our operations, gain efficiencies and grow our business. They are part of our continued strong commitment to our U.S. operations, where we have invested more than $21 billion since 2009.</w:t>
      </w:r>
    </w:p>
    <w:p>
      <w:pPr>
        <w:spacing w:after="0" w:line="230" w:lineRule="exact"/>
        <w:rPr>
          <w:sz w:val="20"/>
          <w:szCs w:val="20"/>
          <w:color w:val="auto"/>
        </w:rPr>
      </w:pPr>
    </w:p>
    <w:p>
      <w:pPr>
        <w:ind w:right="4360"/>
        <w:spacing w:after="0" w:line="238" w:lineRule="auto"/>
        <w:rPr>
          <w:sz w:val="20"/>
          <w:szCs w:val="20"/>
          <w:color w:val="auto"/>
        </w:rPr>
      </w:pPr>
      <w:r>
        <w:rPr>
          <w:rFonts w:ascii="Arial" w:cs="Arial" w:eastAsia="Arial" w:hAnsi="Arial"/>
          <w:sz w:val="18"/>
          <w:szCs w:val="18"/>
          <w:color w:val="auto"/>
        </w:rPr>
        <w:t>In China, GM and its joint-venture partners launched 13 new or refreshed models in 2016 and sold a record 3.87 million vehicles. In 2017, we plan to launch 18 more models, with a particular emphasis on higher-margin SUVs, crossovers and luxury vehicles. Between 2016 and 2020, GM will introduce more than 10 New Energy Vehicles (NEVs) to the China market.</w:t>
      </w:r>
    </w:p>
    <w:p>
      <w:pPr>
        <w:spacing w:after="0" w:line="230" w:lineRule="exact"/>
        <w:rPr>
          <w:sz w:val="20"/>
          <w:szCs w:val="20"/>
          <w:color w:val="auto"/>
        </w:rPr>
      </w:pPr>
    </w:p>
    <w:p>
      <w:pPr>
        <w:jc w:val="both"/>
        <w:ind w:right="4440"/>
        <w:spacing w:after="0"/>
        <w:rPr>
          <w:sz w:val="20"/>
          <w:szCs w:val="20"/>
          <w:color w:val="auto"/>
        </w:rPr>
      </w:pPr>
      <w:r>
        <w:rPr>
          <w:rFonts w:ascii="Arial" w:cs="Arial" w:eastAsia="Arial" w:hAnsi="Arial"/>
          <w:sz w:val="18"/>
          <w:szCs w:val="18"/>
          <w:color w:val="auto"/>
        </w:rPr>
        <w:t>In South America in 2016, Chevrolet continued as the market-share leader in Brazil and throughout the region. In Brazil, we continued to position the company for strong growth when macroeconomic conditions improve.</w:t>
      </w:r>
    </w:p>
    <w:p>
      <w:pPr>
        <w:spacing w:after="0" w:line="230" w:lineRule="exact"/>
        <w:rPr>
          <w:sz w:val="20"/>
          <w:szCs w:val="20"/>
          <w:color w:val="auto"/>
        </w:rPr>
      </w:pPr>
    </w:p>
    <w:p>
      <w:pPr>
        <w:ind w:right="4400"/>
        <w:spacing w:after="0" w:line="246" w:lineRule="auto"/>
        <w:rPr>
          <w:sz w:val="20"/>
          <w:szCs w:val="20"/>
          <w:color w:val="auto"/>
        </w:rPr>
      </w:pPr>
      <w:r>
        <w:rPr>
          <w:rFonts w:ascii="Arial" w:cs="Arial" w:eastAsia="Arial" w:hAnsi="Arial"/>
          <w:sz w:val="18"/>
          <w:szCs w:val="18"/>
          <w:color w:val="auto"/>
        </w:rPr>
        <w:t>In Europe, Opel/Vauxhall, notwithstanding the negative impact of Brexit, increased sales by 4 percent in 2016 and reduced losses by about $600 million.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Adjacent Business Growth</w:t>
      </w:r>
    </w:p>
    <w:p>
      <w:pPr>
        <w:spacing w:after="0" w:line="139" w:lineRule="exact"/>
        <w:rPr>
          <w:sz w:val="20"/>
          <w:szCs w:val="20"/>
          <w:color w:val="auto"/>
        </w:rPr>
      </w:pPr>
    </w:p>
    <w:p>
      <w:pPr>
        <w:ind w:right="4660"/>
        <w:spacing w:after="0" w:line="246" w:lineRule="auto"/>
        <w:rPr>
          <w:sz w:val="20"/>
          <w:szCs w:val="20"/>
          <w:color w:val="auto"/>
        </w:rPr>
      </w:pPr>
      <w:r>
        <w:rPr>
          <w:rFonts w:ascii="Arial" w:cs="Arial" w:eastAsia="Arial" w:hAnsi="Arial"/>
          <w:sz w:val="18"/>
          <w:szCs w:val="18"/>
          <w:color w:val="auto"/>
        </w:rPr>
        <w:t>In addition to our core business, we see excellent growth and profit opportunities in a number of adjacent areas.</w:t>
      </w:r>
    </w:p>
    <w:p>
      <w:pPr>
        <w:spacing w:after="0" w:line="224" w:lineRule="exact"/>
        <w:rPr>
          <w:sz w:val="20"/>
          <w:szCs w:val="20"/>
          <w:color w:val="auto"/>
        </w:rPr>
      </w:pPr>
    </w:p>
    <w:p>
      <w:pPr>
        <w:ind w:right="4420"/>
        <w:spacing w:after="0" w:line="239" w:lineRule="auto"/>
        <w:rPr>
          <w:sz w:val="20"/>
          <w:szCs w:val="20"/>
          <w:color w:val="auto"/>
        </w:rPr>
      </w:pPr>
      <w:r>
        <w:rPr>
          <w:rFonts w:ascii="Arial" w:cs="Arial" w:eastAsia="Arial" w:hAnsi="Arial"/>
          <w:sz w:val="18"/>
          <w:szCs w:val="18"/>
          <w:color w:val="auto"/>
        </w:rPr>
        <w:t>GM Financial continues to grow as our full-captive finance company, providing coverage for more than 85 percent of our global sales footprint at the close of 2016. The business is growing both in terms of profitability and long-term benefits, especially customer satisfaction and retention.</w:t>
      </w:r>
    </w:p>
    <w:p>
      <w:pPr>
        <w:spacing w:after="0" w:line="229" w:lineRule="exact"/>
        <w:rPr>
          <w:sz w:val="20"/>
          <w:szCs w:val="20"/>
          <w:color w:val="auto"/>
        </w:rPr>
      </w:pPr>
    </w:p>
    <w:p>
      <w:pPr>
        <w:ind w:right="4460"/>
        <w:spacing w:after="0" w:line="239" w:lineRule="auto"/>
        <w:rPr>
          <w:sz w:val="20"/>
          <w:szCs w:val="20"/>
          <w:color w:val="auto"/>
        </w:rPr>
      </w:pPr>
      <w:r>
        <w:rPr>
          <w:rFonts w:ascii="Arial" w:cs="Arial" w:eastAsia="Arial" w:hAnsi="Arial"/>
          <w:sz w:val="18"/>
          <w:szCs w:val="18"/>
          <w:color w:val="auto"/>
        </w:rPr>
        <w:t>Another excellent opportunity is our aftermarket business for service parts and accessories. Robust growth in recent years in the number of GM vehicles on the road – especially in North America and China – has created outstanding opportunities to grow revenue and profitability in this high-margin business.</w:t>
      </w:r>
    </w:p>
    <w:p>
      <w:pPr>
        <w:spacing w:after="0" w:line="229" w:lineRule="exact"/>
        <w:rPr>
          <w:sz w:val="20"/>
          <w:szCs w:val="20"/>
          <w:color w:val="auto"/>
        </w:rPr>
      </w:pPr>
    </w:p>
    <w:p>
      <w:pPr>
        <w:ind w:right="4400"/>
        <w:spacing w:after="0"/>
        <w:rPr>
          <w:sz w:val="20"/>
          <w:szCs w:val="20"/>
          <w:color w:val="auto"/>
        </w:rPr>
      </w:pPr>
      <w:r>
        <w:rPr>
          <w:rFonts w:ascii="Arial" w:cs="Arial" w:eastAsia="Arial" w:hAnsi="Arial"/>
          <w:sz w:val="18"/>
          <w:szCs w:val="18"/>
          <w:color w:val="auto"/>
        </w:rPr>
        <w:t>A third area with great potential is our OnStar vehicle connectivity service. We have now surpassed 12 million OnStar-connected vehicles around the world, including nearly 40 models with 4G LTE, Apple CarPlay and Android Auto – the largest fleet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7" w:right="239" w:bottom="1440" w:gutter="0" w:footer="0" w:header="0"/>
        </w:sectPr>
      </w:pPr>
    </w:p>
    <w:bookmarkStart w:id="6" w:name="page7"/>
    <w:bookmarkEnd w:id="6"/>
    <w:p>
      <w:pPr>
        <w:ind w:left="4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industry by far. In 2016, use of OnStar’s 4G data connection grew by about</w:t>
      </w:r>
    </w:p>
    <w:p>
      <w:pPr>
        <w:ind w:left="4452"/>
        <w:spacing w:after="0" w:line="237" w:lineRule="auto"/>
        <w:rPr>
          <w:sz w:val="20"/>
          <w:szCs w:val="20"/>
          <w:color w:val="auto"/>
        </w:rPr>
      </w:pPr>
      <w:r>
        <w:rPr>
          <w:rFonts w:ascii="Arial" w:cs="Arial" w:eastAsia="Arial" w:hAnsi="Arial"/>
          <w:sz w:val="18"/>
          <w:szCs w:val="18"/>
          <w:color w:val="auto"/>
        </w:rPr>
        <w:t>200 percent to more than 4.2 million gigabytes – the equivalent of more than 17 million hours of streaming video. Globally, our customers now interact with myChevrolet, myCadillac, myBuick, myGMC and our other branded mobile apps on average more than 18 million times a month. We expect OnStar growth to continue at a rapid pace for years to come and are working both to monetize the data and use it to improve the customer experience.</w:t>
      </w:r>
    </w:p>
    <w:p>
      <w:pPr>
        <w:spacing w:after="0" w:line="232" w:lineRule="exact"/>
        <w:rPr>
          <w:sz w:val="20"/>
          <w:szCs w:val="20"/>
          <w:color w:val="auto"/>
        </w:rPr>
      </w:pPr>
    </w:p>
    <w:p>
      <w:pPr>
        <w:ind w:left="4452" w:right="100"/>
        <w:spacing w:after="0" w:line="246" w:lineRule="auto"/>
        <w:rPr>
          <w:sz w:val="20"/>
          <w:szCs w:val="20"/>
          <w:color w:val="auto"/>
        </w:rPr>
      </w:pPr>
      <w:r>
        <w:rPr>
          <w:rFonts w:ascii="Arial" w:cs="Arial" w:eastAsia="Arial" w:hAnsi="Arial"/>
          <w:sz w:val="18"/>
          <w:szCs w:val="18"/>
          <w:color w:val="auto"/>
        </w:rPr>
        <w:t>All told, we expect adjacent businesses to contribute an incremental $2 billion to GM’s EBIT in 2019 versus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2272665" cy="3910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72665" cy="3910330"/>
                    </a:xfrm>
                    <a:prstGeom prst="rect">
                      <a:avLst/>
                    </a:prstGeom>
                    <a:noFill/>
                  </pic:spPr>
                </pic:pic>
              </a:graphicData>
            </a:graphic>
          </wp:anchor>
        </w:drawing>
      </w:r>
    </w:p>
    <w:p>
      <w:pPr>
        <w:spacing w:after="0" w:line="317" w:lineRule="exact"/>
        <w:rPr>
          <w:sz w:val="20"/>
          <w:szCs w:val="20"/>
          <w:color w:val="auto"/>
        </w:rPr>
      </w:pPr>
    </w:p>
    <w:p>
      <w:pPr>
        <w:ind w:left="4452"/>
        <w:spacing w:after="0"/>
        <w:rPr>
          <w:sz w:val="20"/>
          <w:szCs w:val="20"/>
          <w:color w:val="auto"/>
        </w:rPr>
      </w:pPr>
      <w:r>
        <w:rPr>
          <w:rFonts w:ascii="Arial" w:cs="Arial" w:eastAsia="Arial" w:hAnsi="Arial"/>
          <w:sz w:val="18"/>
          <w:szCs w:val="18"/>
          <w:b w:val="1"/>
          <w:bCs w:val="1"/>
          <w:color w:val="auto"/>
        </w:rPr>
        <w:t>Driving Efficiencies</w:t>
      </w:r>
    </w:p>
    <w:p>
      <w:pPr>
        <w:spacing w:after="0" w:line="139" w:lineRule="exact"/>
        <w:rPr>
          <w:sz w:val="20"/>
          <w:szCs w:val="20"/>
          <w:color w:val="auto"/>
        </w:rPr>
      </w:pPr>
    </w:p>
    <w:p>
      <w:pPr>
        <w:ind w:left="4452" w:right="180"/>
        <w:spacing w:after="0"/>
        <w:rPr>
          <w:sz w:val="20"/>
          <w:szCs w:val="20"/>
          <w:color w:val="auto"/>
        </w:rPr>
      </w:pPr>
      <w:r>
        <w:rPr>
          <w:rFonts w:ascii="Arial" w:cs="Arial" w:eastAsia="Arial" w:hAnsi="Arial"/>
          <w:sz w:val="18"/>
          <w:szCs w:val="18"/>
          <w:color w:val="auto"/>
        </w:rPr>
        <w:t>We continue to maintain an intense focus on reducing costs and improving efficiency, both to improve our current results and position the company to perform well throughout the business cycle.</w:t>
      </w:r>
    </w:p>
    <w:p>
      <w:pPr>
        <w:spacing w:after="0" w:line="230" w:lineRule="exact"/>
        <w:rPr>
          <w:sz w:val="20"/>
          <w:szCs w:val="20"/>
          <w:color w:val="auto"/>
        </w:rPr>
      </w:pPr>
    </w:p>
    <w:p>
      <w:pPr>
        <w:ind w:left="4452" w:right="60"/>
        <w:spacing w:after="0" w:line="239" w:lineRule="auto"/>
        <w:rPr>
          <w:sz w:val="20"/>
          <w:szCs w:val="20"/>
          <w:color w:val="auto"/>
        </w:rPr>
      </w:pPr>
      <w:r>
        <w:rPr>
          <w:rFonts w:ascii="Arial" w:cs="Arial" w:eastAsia="Arial" w:hAnsi="Arial"/>
          <w:sz w:val="18"/>
          <w:szCs w:val="18"/>
          <w:color w:val="auto"/>
        </w:rPr>
        <w:t>Earlier this year, we increased our cost efficiency target by $1 billion to $6.5 billion through 2018. We expect these savings will more than offset our incremental investments in technology, engineering and brand building. At the end of 2016, we had already achieved $4 billion toward our goal.</w:t>
      </w:r>
    </w:p>
    <w:p>
      <w:pPr>
        <w:spacing w:after="0" w:line="229" w:lineRule="exact"/>
        <w:rPr>
          <w:sz w:val="20"/>
          <w:szCs w:val="20"/>
          <w:color w:val="auto"/>
        </w:rPr>
      </w:pPr>
    </w:p>
    <w:p>
      <w:pPr>
        <w:ind w:left="4452" w:right="60"/>
        <w:spacing w:after="0" w:line="261" w:lineRule="auto"/>
        <w:rPr>
          <w:sz w:val="20"/>
          <w:szCs w:val="20"/>
          <w:color w:val="auto"/>
        </w:rPr>
      </w:pPr>
      <w:r>
        <w:rPr>
          <w:rFonts w:ascii="Arial" w:cs="Arial" w:eastAsia="Arial" w:hAnsi="Arial"/>
          <w:sz w:val="17"/>
          <w:szCs w:val="17"/>
          <w:color w:val="auto"/>
        </w:rPr>
        <w:t>Throughout the company, we operate on the belief that everything can be made better. In 2016, our Operational Excellence team chartered 1,400 efficiency projects that we expect to deliver $1.5 billion in business impact. I’m confident we will do much more.</w:t>
      </w:r>
    </w:p>
    <w:p>
      <w:pPr>
        <w:spacing w:after="0" w:line="326" w:lineRule="exact"/>
        <w:rPr>
          <w:sz w:val="20"/>
          <w:szCs w:val="20"/>
          <w:color w:val="auto"/>
        </w:rPr>
      </w:pPr>
    </w:p>
    <w:p>
      <w:pPr>
        <w:ind w:left="4452"/>
        <w:spacing w:after="0"/>
        <w:rPr>
          <w:sz w:val="20"/>
          <w:szCs w:val="20"/>
          <w:color w:val="auto"/>
        </w:rPr>
      </w:pPr>
      <w:r>
        <w:rPr>
          <w:rFonts w:ascii="Arial" w:cs="Arial" w:eastAsia="Arial" w:hAnsi="Arial"/>
          <w:sz w:val="18"/>
          <w:szCs w:val="18"/>
          <w:b w:val="1"/>
          <w:bCs w:val="1"/>
          <w:color w:val="auto"/>
        </w:rPr>
        <w:t>Enhancing Life’s Journey</w:t>
      </w:r>
    </w:p>
    <w:p>
      <w:pPr>
        <w:spacing w:after="0" w:line="139" w:lineRule="exact"/>
        <w:rPr>
          <w:sz w:val="20"/>
          <w:szCs w:val="20"/>
          <w:color w:val="auto"/>
        </w:rPr>
      </w:pPr>
    </w:p>
    <w:p>
      <w:pPr>
        <w:ind w:left="4452" w:right="40"/>
        <w:spacing w:after="0"/>
        <w:rPr>
          <w:sz w:val="20"/>
          <w:szCs w:val="20"/>
          <w:color w:val="auto"/>
        </w:rPr>
      </w:pPr>
      <w:r>
        <w:rPr>
          <w:rFonts w:ascii="Arial" w:cs="Arial" w:eastAsia="Arial" w:hAnsi="Arial"/>
          <w:sz w:val="18"/>
          <w:szCs w:val="18"/>
          <w:color w:val="auto"/>
        </w:rPr>
        <w:t>At GM, we are committed to our core values of customers, relationships and excellence. We act with integrity, take accountability for results, do what we say we are going to do and do the right thing, even when it is hard.</w:t>
      </w:r>
    </w:p>
    <w:p>
      <w:pPr>
        <w:spacing w:after="0" w:line="230" w:lineRule="exact"/>
        <w:rPr>
          <w:sz w:val="20"/>
          <w:szCs w:val="20"/>
          <w:color w:val="auto"/>
        </w:rPr>
      </w:pPr>
    </w:p>
    <w:p>
      <w:pPr>
        <w:ind w:left="4452" w:right="20"/>
        <w:spacing w:after="0" w:line="237" w:lineRule="auto"/>
        <w:rPr>
          <w:sz w:val="20"/>
          <w:szCs w:val="20"/>
          <w:color w:val="auto"/>
        </w:rPr>
      </w:pPr>
      <w:r>
        <w:rPr>
          <w:rFonts w:ascii="Arial" w:cs="Arial" w:eastAsia="Arial" w:hAnsi="Arial"/>
          <w:sz w:val="18"/>
          <w:szCs w:val="18"/>
          <w:color w:val="auto"/>
        </w:rPr>
        <w:t>We are working to create a company that stakeholders value, people aspire to work for and communities are proud to embrace. We start with a clear understanding of who we are and why we are here. We work every day to earn customers for life, create brands that inspire passion and loyalty, translate breakthrough technologies into vehicles and experiences that people love, serve and improve the communities in which we live and work around the world and strive to build the most valued automotive company.</w:t>
      </w:r>
    </w:p>
    <w:p>
      <w:pPr>
        <w:spacing w:after="0" w:line="232" w:lineRule="exact"/>
        <w:rPr>
          <w:sz w:val="20"/>
          <w:szCs w:val="20"/>
          <w:color w:val="auto"/>
        </w:rPr>
      </w:pPr>
    </w:p>
    <w:p>
      <w:pPr>
        <w:ind w:left="4452" w:right="60"/>
        <w:spacing w:after="0" w:line="237" w:lineRule="auto"/>
        <w:rPr>
          <w:sz w:val="20"/>
          <w:szCs w:val="20"/>
          <w:color w:val="auto"/>
        </w:rPr>
      </w:pPr>
      <w:r>
        <w:rPr>
          <w:rFonts w:ascii="Arial" w:cs="Arial" w:eastAsia="Arial" w:hAnsi="Arial"/>
          <w:sz w:val="18"/>
          <w:szCs w:val="18"/>
          <w:color w:val="auto"/>
        </w:rPr>
        <w:t>In 2016, we revamped our global philanthropy and corporate-giving strategy to better reflect and align our priorities as a responsible corporate citizen, specifically focusing on areas where we believe we can have a direct impact. Around the world, we now focus on expanding and improving science, technology, engineering and math (STEM) education, advancing vehicle and road safety and promoting economic empowerment in the communities where we live and work. For businesses to thrive, we know that communities must flourish.</w:t>
      </w:r>
    </w:p>
    <w:p>
      <w:pPr>
        <w:spacing w:after="0" w:line="230" w:lineRule="exact"/>
        <w:rPr>
          <w:sz w:val="20"/>
          <w:szCs w:val="20"/>
          <w:color w:val="auto"/>
        </w:rPr>
      </w:pPr>
    </w:p>
    <w:p>
      <w:pPr>
        <w:ind w:left="4452" w:right="220"/>
        <w:spacing w:after="0" w:line="275" w:lineRule="auto"/>
        <w:rPr>
          <w:sz w:val="20"/>
          <w:szCs w:val="20"/>
          <w:color w:val="auto"/>
        </w:rPr>
      </w:pPr>
      <w:r>
        <w:rPr>
          <w:rFonts w:ascii="Arial" w:cs="Arial" w:eastAsia="Arial" w:hAnsi="Arial"/>
          <w:sz w:val="17"/>
          <w:szCs w:val="17"/>
          <w:color w:val="auto"/>
        </w:rPr>
        <w:t>GM Student Corps is an innovative summer internship program in which GM retirees and college students mentor high school students working on community-service</w:t>
      </w:r>
    </w:p>
    <w:p>
      <w:pPr>
        <w:spacing w:after="0" w:line="119" w:lineRule="exact"/>
        <w:rPr>
          <w:sz w:val="20"/>
          <w:szCs w:val="20"/>
          <w:color w:val="auto"/>
        </w:rPr>
      </w:pPr>
    </w:p>
    <w:p>
      <w:pPr>
        <w:ind w:left="492" w:hanging="492"/>
        <w:spacing w:after="0"/>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2016 CHAIRMAN’S LETTER</w:t>
      </w:r>
    </w:p>
    <w:p>
      <w:pPr>
        <w:sectPr>
          <w:pgSz w:w="11900" w:h="16838" w:orient="portrait"/>
          <w:cols w:equalWidth="0" w:num="1">
            <w:col w:w="11392"/>
          </w:cols>
          <w:pgMar w:left="248" w:top="283" w:right="259" w:bottom="1440" w:gutter="0" w:footer="0" w:header="0"/>
        </w:sectPr>
      </w:pPr>
    </w:p>
    <w:bookmarkStart w:id="7" w:name="page8"/>
    <w:bookmarkEnd w:id="7"/>
    <w:p>
      <w:pPr>
        <w:ind w:right="39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projects in their own schools and neighborhoods. In 2016, GM Student Corps involved 130 students from Detroit-area high schools. Separately, through our employee volunteer program, more than 12,000 GM employees volunteered nearly 110,000 hours in 2016 with 148 different nonprofit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-522605</wp:posOffset>
            </wp:positionV>
            <wp:extent cx="1946910" cy="6946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46910" cy="6946265"/>
                    </a:xfrm>
                    <a:prstGeom prst="rect">
                      <a:avLst/>
                    </a:prstGeom>
                    <a:noFill/>
                  </pic:spPr>
                </pic:pic>
              </a:graphicData>
            </a:graphic>
          </wp:anchor>
        </w:drawing>
      </w:r>
    </w:p>
    <w:p>
      <w:pPr>
        <w:spacing w:after="0" w:line="209" w:lineRule="exact"/>
        <w:rPr>
          <w:sz w:val="20"/>
          <w:szCs w:val="20"/>
          <w:color w:val="auto"/>
        </w:rPr>
      </w:pPr>
    </w:p>
    <w:p>
      <w:pPr>
        <w:ind w:right="4180"/>
        <w:spacing w:after="0" w:line="238" w:lineRule="auto"/>
        <w:rPr>
          <w:sz w:val="20"/>
          <w:szCs w:val="20"/>
          <w:color w:val="auto"/>
        </w:rPr>
      </w:pPr>
      <w:r>
        <w:rPr>
          <w:rFonts w:ascii="Arial" w:cs="Arial" w:eastAsia="Arial" w:hAnsi="Arial"/>
          <w:sz w:val="18"/>
          <w:szCs w:val="18"/>
          <w:color w:val="auto"/>
        </w:rPr>
        <w:t>GM is an industry leader in using technology to solve big problems, improve the planet and enhance peoples’ lives. In 2016, we achieved our 2020 commitment to generate 125 megawatts of clean energy four years ahead of schedule. Building on that success, we announced a plan to source all electrical power for our 350 facilities in 59 countries with renewable energy by 2050 – the only automaker to make such a commitment.</w:t>
      </w:r>
    </w:p>
    <w:p>
      <w:pPr>
        <w:spacing w:after="0" w:line="230" w:lineRule="exact"/>
        <w:rPr>
          <w:sz w:val="20"/>
          <w:szCs w:val="20"/>
          <w:color w:val="auto"/>
        </w:rPr>
      </w:pPr>
    </w:p>
    <w:p>
      <w:pPr>
        <w:ind w:right="3880"/>
        <w:spacing w:after="0" w:line="234" w:lineRule="auto"/>
        <w:rPr>
          <w:sz w:val="20"/>
          <w:szCs w:val="20"/>
          <w:color w:val="auto"/>
        </w:rPr>
      </w:pPr>
      <w:r>
        <w:rPr>
          <w:rFonts w:ascii="Arial" w:cs="Arial" w:eastAsia="Arial" w:hAnsi="Arial"/>
          <w:sz w:val="18"/>
          <w:szCs w:val="18"/>
          <w:color w:val="auto"/>
        </w:rPr>
        <w:t>2016 also marked a record year for our landfill-free commitment. We added 23 new sites last year and now have a total of 152 landfill-free sites worldwide – more than any other automaker</w:t>
      </w:r>
    </w:p>
    <w:p>
      <w:pPr>
        <w:spacing w:after="0" w:line="2" w:lineRule="exact"/>
        <w:rPr>
          <w:sz w:val="20"/>
          <w:szCs w:val="20"/>
          <w:color w:val="auto"/>
        </w:rPr>
      </w:pPr>
    </w:p>
    <w:p>
      <w:pPr>
        <w:ind w:right="4020"/>
        <w:spacing w:after="0"/>
        <w:rPr>
          <w:sz w:val="20"/>
          <w:szCs w:val="20"/>
          <w:color w:val="auto"/>
        </w:rPr>
      </w:pPr>
      <w:r>
        <w:rPr>
          <w:rFonts w:ascii="Arial" w:cs="Arial" w:eastAsia="Arial" w:hAnsi="Arial"/>
          <w:sz w:val="18"/>
          <w:szCs w:val="18"/>
          <w:color w:val="auto"/>
        </w:rPr>
        <w:t>– including 100 manufacturing sites. This exceeds our 2020 landfill-free target – again, four years ahead of schedule. We continue to pursue more landfill-free operations with the goal of becoming a zero-waste company.</w:t>
      </w:r>
    </w:p>
    <w:p>
      <w:pPr>
        <w:spacing w:after="0" w:line="230" w:lineRule="exact"/>
        <w:rPr>
          <w:sz w:val="20"/>
          <w:szCs w:val="20"/>
          <w:color w:val="auto"/>
        </w:rPr>
      </w:pPr>
    </w:p>
    <w:p>
      <w:pPr>
        <w:ind w:right="3880"/>
        <w:spacing w:after="0" w:line="237" w:lineRule="auto"/>
        <w:rPr>
          <w:sz w:val="20"/>
          <w:szCs w:val="20"/>
          <w:color w:val="auto"/>
        </w:rPr>
      </w:pPr>
      <w:r>
        <w:rPr>
          <w:rFonts w:ascii="Arial" w:cs="Arial" w:eastAsia="Arial" w:hAnsi="Arial"/>
          <w:sz w:val="18"/>
          <w:szCs w:val="18"/>
          <w:color w:val="auto"/>
        </w:rPr>
        <w:t>We are also expanding our focus to embrace the circular economy and the opportunities it offers to drive broader social and economic benefits. One example is our water-bottle recycling effort in Michigan. Working with the city of Flint and six regional GM facilities, we collected more than four million used water bottles in 2016 and worked with local companies and organizations to recycle the bottles into insulating fleece used in coats for the homeless, air-filtration components for use at GM facilities and a noise-reducing fabric that covers the engine of our Chevrolet Equinox crossover.</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 Workplace of Choice</w:t>
      </w:r>
    </w:p>
    <w:p>
      <w:pPr>
        <w:spacing w:after="0" w:line="139" w:lineRule="exact"/>
        <w:rPr>
          <w:sz w:val="20"/>
          <w:szCs w:val="20"/>
          <w:color w:val="auto"/>
        </w:rPr>
      </w:pPr>
    </w:p>
    <w:p>
      <w:pPr>
        <w:ind w:right="4040"/>
        <w:spacing w:after="0"/>
        <w:rPr>
          <w:sz w:val="20"/>
          <w:szCs w:val="20"/>
          <w:color w:val="auto"/>
        </w:rPr>
      </w:pPr>
      <w:r>
        <w:rPr>
          <w:rFonts w:ascii="Arial" w:cs="Arial" w:eastAsia="Arial" w:hAnsi="Arial"/>
          <w:sz w:val="18"/>
          <w:szCs w:val="18"/>
          <w:color w:val="auto"/>
        </w:rPr>
        <w:t>When it comes to the sustainability of our workforce, we are investing in both our current and future employees. We want people to know that if they truly want to make the world a better place, they can make a real difference here.</w:t>
      </w:r>
    </w:p>
    <w:p>
      <w:pPr>
        <w:spacing w:after="0" w:line="230" w:lineRule="exact"/>
        <w:rPr>
          <w:sz w:val="20"/>
          <w:szCs w:val="20"/>
          <w:color w:val="auto"/>
        </w:rPr>
      </w:pPr>
    </w:p>
    <w:p>
      <w:pPr>
        <w:jc w:val="both"/>
        <w:ind w:right="4160"/>
        <w:spacing w:after="0"/>
        <w:rPr>
          <w:sz w:val="20"/>
          <w:szCs w:val="20"/>
          <w:color w:val="auto"/>
        </w:rPr>
      </w:pPr>
      <w:r>
        <w:rPr>
          <w:rFonts w:ascii="Arial" w:cs="Arial" w:eastAsia="Arial" w:hAnsi="Arial"/>
          <w:sz w:val="18"/>
          <w:szCs w:val="18"/>
          <w:color w:val="auto"/>
        </w:rPr>
        <w:t>From boardroom to dealer showroom, we are committed to building a dynamic and diverse team that shares a passion for solving the world’s mobility challenges. And we’re creating a culture, an energy and an attitude that says anything is possible.</w:t>
      </w:r>
    </w:p>
    <w:p>
      <w:pPr>
        <w:spacing w:after="0" w:line="230" w:lineRule="exact"/>
        <w:rPr>
          <w:sz w:val="20"/>
          <w:szCs w:val="20"/>
          <w:color w:val="auto"/>
        </w:rPr>
      </w:pPr>
    </w:p>
    <w:p>
      <w:pPr>
        <w:ind w:right="3880"/>
        <w:spacing w:after="0" w:line="238" w:lineRule="auto"/>
        <w:rPr>
          <w:sz w:val="20"/>
          <w:szCs w:val="20"/>
          <w:color w:val="auto"/>
        </w:rPr>
      </w:pPr>
      <w:r>
        <w:rPr>
          <w:rFonts w:ascii="Arial" w:cs="Arial" w:eastAsia="Arial" w:hAnsi="Arial"/>
          <w:sz w:val="18"/>
          <w:szCs w:val="18"/>
          <w:color w:val="auto"/>
        </w:rPr>
        <w:t>Our team has changed rapidly in recent years. Today, 35 percent of our salaried employees have worked at the company less than four years. Many of our new hires come from the same sources that feed the global tech economy. In fact, our applications from Silicon Valley were up more than 100 percent in 2016. Around the world, GM job applications were up more than 24 percent last year.</w:t>
      </w:r>
    </w:p>
    <w:p>
      <w:pPr>
        <w:spacing w:after="0" w:line="230" w:lineRule="exact"/>
        <w:rPr>
          <w:sz w:val="20"/>
          <w:szCs w:val="20"/>
          <w:color w:val="auto"/>
        </w:rPr>
      </w:pPr>
    </w:p>
    <w:p>
      <w:pPr>
        <w:ind w:right="3900"/>
        <w:spacing w:after="0"/>
        <w:rPr>
          <w:sz w:val="20"/>
          <w:szCs w:val="20"/>
          <w:color w:val="auto"/>
        </w:rPr>
      </w:pPr>
      <w:r>
        <w:rPr>
          <w:rFonts w:ascii="Arial" w:cs="Arial" w:eastAsia="Arial" w:hAnsi="Arial"/>
          <w:sz w:val="18"/>
          <w:szCs w:val="18"/>
          <w:color w:val="auto"/>
        </w:rPr>
        <w:t>At GM, we recognize growing concerns around the world about the impact of globalization and technology on labor markets, and we are committed to helping our employees acquire and update the skills they need for success in today’s economy.</w:t>
      </w:r>
    </w:p>
    <w:p>
      <w:pPr>
        <w:spacing w:after="0" w:line="230" w:lineRule="exact"/>
        <w:rPr>
          <w:sz w:val="20"/>
          <w:szCs w:val="20"/>
          <w:color w:val="auto"/>
        </w:rPr>
      </w:pPr>
    </w:p>
    <w:p>
      <w:pPr>
        <w:ind w:right="4000"/>
        <w:spacing w:after="0" w:line="238" w:lineRule="auto"/>
        <w:rPr>
          <w:sz w:val="20"/>
          <w:szCs w:val="20"/>
          <w:color w:val="auto"/>
        </w:rPr>
      </w:pPr>
      <w:r>
        <w:rPr>
          <w:rFonts w:ascii="Arial" w:cs="Arial" w:eastAsia="Arial" w:hAnsi="Arial"/>
          <w:sz w:val="18"/>
          <w:szCs w:val="18"/>
          <w:color w:val="auto"/>
        </w:rPr>
        <w:t>In 2014, we launched our “Shifting Gears” program in partnership with the U.S. Army and Raytheon Company to help soldiers transition from military service into successful careers as GM service technicians at more than 4,200 GM dealerships across the U.S. The initiative is part of GM’s longstanding commitment to help veterans succeed by connecting them with education and career opportunities beyond their military service.</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826135</wp:posOffset>
            </wp:positionH>
            <wp:positionV relativeFrom="page">
              <wp:posOffset>4359910</wp:posOffset>
            </wp:positionV>
            <wp:extent cx="2006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1632585</wp:posOffset>
            </wp:positionV>
            <wp:extent cx="2272665" cy="2444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7266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52"/>
        <w:spacing w:after="0"/>
        <w:rPr>
          <w:sz w:val="20"/>
          <w:szCs w:val="20"/>
          <w:color w:val="auto"/>
        </w:rPr>
      </w:pPr>
      <w:r>
        <w:rPr>
          <w:rFonts w:ascii="Arial" w:cs="Arial" w:eastAsia="Arial" w:hAnsi="Arial"/>
          <w:sz w:val="18"/>
          <w:szCs w:val="18"/>
          <w:i w:val="1"/>
          <w:iCs w:val="1"/>
          <w:color w:val="auto"/>
        </w:rPr>
        <w:t>Our goal:</w:t>
      </w:r>
    </w:p>
    <w:p>
      <w:pPr>
        <w:spacing w:after="0" w:line="9" w:lineRule="exact"/>
        <w:rPr>
          <w:sz w:val="20"/>
          <w:szCs w:val="20"/>
          <w:color w:val="auto"/>
        </w:rPr>
      </w:pPr>
    </w:p>
    <w:p>
      <w:pPr>
        <w:ind w:left="1052"/>
        <w:spacing w:after="0"/>
        <w:rPr>
          <w:sz w:val="20"/>
          <w:szCs w:val="20"/>
          <w:color w:val="auto"/>
        </w:rPr>
      </w:pPr>
      <w:r>
        <w:rPr>
          <w:rFonts w:ascii="Arial" w:cs="Arial" w:eastAsia="Arial" w:hAnsi="Arial"/>
          <w:sz w:val="18"/>
          <w:szCs w:val="18"/>
          <w:i w:val="1"/>
          <w:iCs w:val="1"/>
          <w:color w:val="auto"/>
        </w:rPr>
        <w:t>to be nothing less than</w:t>
      </w:r>
    </w:p>
    <w:p>
      <w:pPr>
        <w:ind w:left="1052"/>
        <w:spacing w:after="0"/>
        <w:rPr>
          <w:sz w:val="20"/>
          <w:szCs w:val="20"/>
          <w:color w:val="auto"/>
        </w:rPr>
      </w:pPr>
      <w:r>
        <w:rPr>
          <w:rFonts w:ascii="Arial" w:cs="Arial" w:eastAsia="Arial" w:hAnsi="Arial"/>
          <w:sz w:val="18"/>
          <w:szCs w:val="18"/>
          <w:i w:val="1"/>
          <w:iCs w:val="1"/>
          <w:color w:val="auto"/>
        </w:rPr>
        <w:t>a global best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2" w:hanging="492"/>
        <w:spacing w:after="0"/>
        <w:tabs>
          <w:tab w:leader="none" w:pos="4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2016 CHAIRMAN’S LETTER</w:t>
      </w:r>
    </w:p>
    <w:p>
      <w:pPr>
        <w:spacing w:after="0" w:line="20" w:lineRule="exact"/>
        <w:rPr>
          <w:sz w:val="20"/>
          <w:szCs w:val="20"/>
          <w:color w:val="auto"/>
        </w:rPr>
      </w:pPr>
      <w:r>
        <w:rPr>
          <w:sz w:val="20"/>
          <w:szCs w:val="20"/>
          <w:color w:val="auto"/>
        </w:rPr>
        <w:br w:type="column"/>
      </w:r>
    </w:p>
    <w:p>
      <w:pPr>
        <w:jc w:val="both"/>
        <w:ind w:right="320"/>
        <w:spacing w:after="0" w:line="234" w:lineRule="auto"/>
        <w:rPr>
          <w:sz w:val="20"/>
          <w:szCs w:val="20"/>
          <w:color w:val="auto"/>
        </w:rPr>
      </w:pPr>
      <w:r>
        <w:rPr>
          <w:rFonts w:ascii="Arial" w:cs="Arial" w:eastAsia="Arial" w:hAnsi="Arial"/>
          <w:sz w:val="18"/>
          <w:szCs w:val="18"/>
          <w:color w:val="auto"/>
        </w:rPr>
        <w:t>In 2016, we introduced a new program at GM called Take 2, a series of 12-week internships for experienced technical professionals – primarily women – eager to relaunch their careers after being out of the workforce for two or more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-511810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239" w:lineRule="auto"/>
        <w:rPr>
          <w:sz w:val="20"/>
          <w:szCs w:val="20"/>
          <w:color w:val="auto"/>
        </w:rPr>
      </w:pPr>
      <w:r>
        <w:rPr>
          <w:rFonts w:ascii="Arial" w:cs="Arial" w:eastAsia="Arial" w:hAnsi="Arial"/>
          <w:sz w:val="18"/>
          <w:szCs w:val="18"/>
          <w:color w:val="auto"/>
        </w:rPr>
        <w:t>Participants receive technical training, professional development and personalized mentoring with GM leaders that prepares them to pursue opportunities in engineering, IT, finance, customer care and other critical functions in GM’s global workforce.</w:t>
      </w:r>
    </w:p>
    <w:p>
      <w:pPr>
        <w:spacing w:after="0" w:line="20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Take 2 has been an effective and popular program for helping parents, caregivers and trailing spouses return to the workforce. In the first year, we offered 85 percent of participants a full-time position, and had a 96 percent acceptance rate. We recently accepted our third cohort, which is larger than the first two cohorts combined, and we expect the program to continue growing as we expand to other functions and regions this fall.</w:t>
      </w:r>
    </w:p>
    <w:p>
      <w:pPr>
        <w:spacing w:after="0" w:line="20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Around the world, we are dedicated to empowering a diverse and inclusive workplace that values the contributions of all employees. We know that a diverse workforce promotes fresh, innovative thinking that translates into a competitive advantage for GM and winning products for our customers.</w:t>
      </w:r>
    </w:p>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Throughout the company, we offer collaborative workplaces and an enterprise-wide commitment to peoples’ life choices. Nearly 3,000 employees took advantage of our tuition assistance programs in 2016, and nearly 800 more participated in our well-established technical and professional education programs. We also believe that fair and equitable pay is an essential element of any successful business model, and we were proud in 2016 to have signed the White House Equal Pay Pledge.</w:t>
      </w:r>
    </w:p>
    <w:p>
      <w:pPr>
        <w:spacing w:after="0" w:line="2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One way we measure engagement at GM is through a global biennial “Workplace of Choice” survey. Participation rates in our 2016 survey were at an all-time high, including 86 percent for salaried employees. Engagement levels for salaried employees improved 50 percent from 2012 to 2016, and overall employee engagement levels at GM (including hourly workers, who participated in the survey starting in 2016) are now significantly above the global average. Our goal is to be nothing less than a global best employer.</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To win in tomorrow’s increasingly sophisticated auto industry, we also have a responsibility to help develop a pool of capable and highly educated potential employees. In 2016, GM filled a position in a STEM role every 26 minutes, and we expect our need for STEM graduates will only continue to grow in the years to come.</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part of preparing tomorrow’s workforce, we support a number of local, national and international efforts to advance STEM education, including FIRST Robotics, A World in Motion, Partners for the Advancement of Collaborative Engineering Education (PACE) and a new organization we are very excited to support, Girls Who Code (GWC).</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GWC is a U.S. nonprofit committed to closing the technology gender gap. Research suggests that programs designed specifically to spark and maintain girls’ interest in STEM from middle school into the workforce could triple the number of women in computing in the next 10 years. Earlier this year, we provided an initial grant of $250,000 to help expand GWC’s Clubs programs in underserved communities. These programs further GWC’s mission to promote computer science education for girls by providing free after-school activities in schools, universities and community centers.</w:t>
      </w:r>
    </w:p>
    <w:p>
      <w:pPr>
        <w:sectPr>
          <w:pgSz w:w="11900" w:h="16838" w:orient="portrait"/>
          <w:cols w:equalWidth="0" w:num="2">
            <w:col w:w="3852" w:space="720"/>
            <w:col w:w="6720"/>
          </w:cols>
          <w:pgMar w:left="248" w:top="34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Defining the Future of Personal Mobility</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Perhaps nothing GM is doing today is more important for society’s long-term future than leading the transformation of personal mobility.</w:t>
      </w:r>
    </w:p>
    <w:p>
      <w:pPr>
        <w:spacing w:after="0" w:line="18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convergence of connectivity, alternative propulsion, autonomous vehicles and the sharing economy is truly allowing us to stretch the boundaries of what is possible and develop vehicles that are safer, smarter, cleaner and more energy-efficient than ever before.</w:t>
      </w:r>
    </w:p>
    <w:p>
      <w:pPr>
        <w:spacing w:after="0" w:line="17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2016, we made remarkable progress in each of these areas, and our work continues in earnest in 2017.</w:t>
      </w:r>
    </w:p>
    <w:p>
      <w:pPr>
        <w:spacing w:after="0" w:line="18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GM is the industry leader in vehicle connectivity with more 4G-equipped models than the rest of the industry combined. In 2016, OnStar celebrated its 20</w:t>
      </w:r>
      <w:r>
        <w:rPr>
          <w:rFonts w:ascii="Arial" w:cs="Arial" w:eastAsia="Arial" w:hAnsi="Arial"/>
          <w:sz w:val="15"/>
          <w:szCs w:val="15"/>
          <w:color w:val="auto"/>
        </w:rPr>
        <w:t>th</w:t>
      </w:r>
      <w:r>
        <w:rPr>
          <w:rFonts w:ascii="Arial" w:cs="Arial" w:eastAsia="Arial" w:hAnsi="Arial"/>
          <w:sz w:val="18"/>
          <w:szCs w:val="18"/>
          <w:color w:val="auto"/>
        </w:rPr>
        <w:t xml:space="preserve"> anniversary by surpassing 1.5 billion customer interactions, and the growth rate is astounding. It took 19 years to reach 1 billion customer interactions. Eighteen months later, we hit 1.5 billion, and the pace continues to accelerate.</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Another area where we are changing the industry is alternative propulsion, especially electric vehicles. New battery technologies have helped us launch cars like the groundbreaking Chevrolet Bolt EV, which will also serve as our platform for future autonomous vehicle development. When it comes to affordable all-electric propulsion with extraordinary capability, no other car on the road comes close.</w:t>
      </w:r>
    </w:p>
    <w:p>
      <w:pPr>
        <w:spacing w:after="0" w:line="16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2016, we also launched the new Chevrolet Malibu Hybrid, which gets an EPA-estimated city-highway fuel economy of 47 miles per gallon, and ramped up production of the second-generation Chevrolet Volt, which offers a pure EV range of 53 miles and a gasoline equivalent of 106 MPG. Launching this year is the Cadillac CT6 Plug-In Hybrid, which achieves an EPA-estimated city-highway fuel economy equivalent of 62 MPG.</w:t>
      </w:r>
    </w:p>
    <w:p>
      <w:pPr>
        <w:spacing w:after="0" w:line="19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also working to develop new clean-energy technologies, such as hydrogen fuel cells that hold great potential for land, sea and air applications. A modified Chevrolet Colorado is being evaluated by the U.S. Army to determine whether fuel cells are a viable propulsion system for military use. And in an industry first, GM and Honda have announced a joint venture to mass produce an advanced hydrogen fuel cell system beginning around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165100</wp:posOffset>
            </wp:positionV>
            <wp:extent cx="5891530" cy="2289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1530" cy="228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4G-equipped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-299085</wp:posOffset>
            </wp:positionV>
            <wp:extent cx="21183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-2348230</wp:posOffset>
            </wp:positionV>
            <wp:extent cx="2272665" cy="1766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2665" cy="17665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models than the rest of</w:t>
      </w:r>
    </w:p>
    <w:p>
      <w:pPr>
        <w:spacing w:after="0"/>
        <w:rPr>
          <w:sz w:val="20"/>
          <w:szCs w:val="20"/>
          <w:color w:val="auto"/>
        </w:rPr>
      </w:pPr>
      <w:r>
        <w:rPr>
          <w:rFonts w:ascii="Arial" w:cs="Arial" w:eastAsia="Arial" w:hAnsi="Arial"/>
          <w:sz w:val="18"/>
          <w:szCs w:val="18"/>
          <w:i w:val="1"/>
          <w:iCs w:val="1"/>
          <w:color w:val="auto"/>
        </w:rPr>
        <w:t>the industry combined</w:t>
      </w:r>
    </w:p>
    <w:p>
      <w:pPr>
        <w:spacing w:after="0" w:line="3663" w:lineRule="exact"/>
        <w:rPr>
          <w:sz w:val="20"/>
          <w:szCs w:val="20"/>
          <w:color w:val="auto"/>
        </w:rPr>
      </w:pPr>
    </w:p>
    <w:p>
      <w:pPr>
        <w:sectPr>
          <w:pgSz w:w="11900" w:h="16838" w:orient="portrait"/>
          <w:cols w:equalWidth="0" w:num="2">
            <w:col w:w="6580" w:space="520"/>
            <w:col w:w="4320"/>
          </w:cols>
          <w:pgMar w:left="240" w:top="3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19" w:right="2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217805</wp:posOffset>
            </wp:positionV>
            <wp:extent cx="2470150" cy="4450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7015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First high-volume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automaker to build</w:t>
      </w:r>
    </w:p>
    <w:p>
      <w:pPr>
        <w:ind w:left="1060"/>
        <w:spacing w:after="0" w:line="234" w:lineRule="auto"/>
        <w:rPr>
          <w:sz w:val="20"/>
          <w:szCs w:val="20"/>
          <w:color w:val="auto"/>
        </w:rPr>
      </w:pPr>
      <w:r>
        <w:rPr>
          <w:rFonts w:ascii="Arial" w:cs="Arial" w:eastAsia="Arial" w:hAnsi="Arial"/>
          <w:sz w:val="18"/>
          <w:szCs w:val="18"/>
          <w:i w:val="1"/>
          <w:iCs w:val="1"/>
          <w:color w:val="auto"/>
        </w:rPr>
        <w:t>autonomous test vehicles</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7"/>
          <w:szCs w:val="17"/>
          <w:i w:val="1"/>
          <w:iCs w:val="1"/>
          <w:color w:val="auto"/>
        </w:rPr>
        <w:t>in a mass-production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2016 CHAIRMAN’S LETTER</w:t>
      </w:r>
    </w:p>
    <w:p>
      <w:pPr>
        <w:spacing w:after="0" w:line="20" w:lineRule="exact"/>
        <w:rPr>
          <w:sz w:val="20"/>
          <w:szCs w:val="20"/>
          <w:color w:val="auto"/>
        </w:rPr>
      </w:pPr>
      <w:r>
        <w:rPr>
          <w:sz w:val="20"/>
          <w:szCs w:val="20"/>
          <w:color w:val="auto"/>
        </w:rPr>
        <w:br w:type="column"/>
      </w:r>
    </w:p>
    <w:p>
      <w:pPr>
        <w:ind w:right="40"/>
        <w:spacing w:after="0" w:line="237" w:lineRule="auto"/>
        <w:rPr>
          <w:sz w:val="20"/>
          <w:szCs w:val="20"/>
          <w:color w:val="auto"/>
        </w:rPr>
      </w:pPr>
      <w:r>
        <w:rPr>
          <w:rFonts w:ascii="Arial" w:cs="Arial" w:eastAsia="Arial" w:hAnsi="Arial"/>
          <w:sz w:val="18"/>
          <w:szCs w:val="18"/>
          <w:color w:val="auto"/>
        </w:rPr>
        <w:t>In other areas of the business, technology is becoming available that will make driving dramatically safer and more convenient. From active-safety features such as Adaptive Cruise Control and forward collision alerts to Super Cruise and fully self-driving vehicles, our engineers and technology experts are developing vehicles that meet or exceed the same strict standards for safety and quality that we’ve been building into traditional vehicles for generations.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-1334770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Earlier this year, we became the first automaker to introduce advanced Vehicle-to-Vehicle (V2V) communications on the Cadillac CTS. V2V uses dedicated wireless communications to share information such as vehicle speed and direction. V2V is an important safety feature on its own, but it also lays the groundwork for a connected, safer future down the road.</w:t>
      </w:r>
    </w:p>
    <w:p>
      <w:pPr>
        <w:spacing w:after="0" w:line="2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Another advancement that will make driving safer and easier is Super Cruise, a highly automated driving technology from Cadillac that enables hands-free driving on the highway, even in stop-and-go traffic. Cadillac will introduce Super Cruise on the CT6 this fall.</w:t>
      </w:r>
    </w:p>
    <w:p>
      <w:pPr>
        <w:spacing w:after="0" w:line="2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Beyond Super Cruise, GM has a very active effort to develop a vehicle that can operate without a driver. We believe this technology will fundamentally change the way vehicles are used, and because more than 90 percent of traffic accidents are due to human error, this technology will be a primary enabler for reducing traffic fatalities. We also think we can use this technology to make transportation available to many people without good transportation options today.</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Last year, GM acquired San Francisco-based Cruise Automation, a leading Silicon Valley startup in autonomous technology. The Cruise team specializes in developing the software that drives our autonomous vehicles and is responsible for the commercialization of our autonomous-vehicle business. We now have more than 50 autonomous test vehicles operating in San Francisco, Scottsdale and Metro Detroit, with plans to increase the fleet to hundreds of test vehicles by the end of 2017.</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Right now, all of our autonomous test vehicles are accompanied by trainers who can assume control of the vehicle, if necessary. Not until we have assured both ourselves and the appropriate regulatory agencies that the system is safe will we remove the trainers.</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first application of autonomous technology will be in ridesharing fleets in major U.S. cities, and we have been working with the appropriate state and local governments to this end. When we deploy vehicles into ridesharing fleets, GM will retain control of the vehicles to support safe operation. These fleets will give many people the opportunity to experience this truly extraordinary technology.</w:t>
      </w:r>
    </w:p>
    <w:p>
      <w:pPr>
        <w:spacing w:after="0" w:line="20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 fourth area where we are breaking new ground is shared mobility. Last year, we launched our own car-sharing service called Maven, which we are scaling up quickly. Maven now operates a fleet of about 10,000 GM vehicles in 17 U.S. cities, including our Express Drive short-term rental program for Lyft drivers. Customers use a mobile app to locate and reserve a vehicle and have already logged more than 100 million miles in Maven-branded GM vehicles.</w:t>
      </w:r>
    </w:p>
    <w:p>
      <w:pPr>
        <w:sectPr>
          <w:pgSz w:w="11900" w:h="16838" w:orient="portrait"/>
          <w:cols w:equalWidth="0" w:num="2">
            <w:col w:w="3860" w:space="720"/>
            <w:col w:w="6700"/>
          </w:cols>
          <w:pgMar w:left="240" w:top="1016" w:right="379" w:bottom="1440" w:gutter="0" w:footer="0" w:header="0"/>
        </w:sectPr>
      </w:pPr>
    </w:p>
    <w:bookmarkStart w:id="11" w:name="page12"/>
    <w:bookmarkEnd w:id="11"/>
    <w:p>
      <w:pPr>
        <w:ind w:right="48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Los Angeles, Maven is collaborating with the city’s Sustainable City pLAn to help create smart transportation options that enhance mobility, create jobs and ease parking and congestion. Maven is adding more than 100 Bolt EVs to its Los Angeles fleet, which will be capable of covering 250,000 all-electric miles per month.</w:t>
      </w:r>
    </w:p>
    <w:p>
      <w:pPr>
        <w:spacing w:after="0" w:line="203" w:lineRule="exact"/>
        <w:rPr>
          <w:sz w:val="20"/>
          <w:szCs w:val="20"/>
          <w:color w:val="auto"/>
        </w:rPr>
      </w:pPr>
    </w:p>
    <w:p>
      <w:pPr>
        <w:ind w:right="5200"/>
        <w:spacing w:after="0"/>
        <w:rPr>
          <w:sz w:val="20"/>
          <w:szCs w:val="20"/>
          <w:color w:val="auto"/>
        </w:rPr>
      </w:pPr>
      <w:r>
        <w:rPr>
          <w:rFonts w:ascii="Arial" w:cs="Arial" w:eastAsia="Arial" w:hAnsi="Arial"/>
          <w:sz w:val="18"/>
          <w:szCs w:val="18"/>
          <w:color w:val="auto"/>
        </w:rPr>
        <w:t>This is a new business area for us – one that is allowing us to expand the transportation options we offer our customers, as well as improve our ability to innovate and iterate at the speed of today’s leading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-67310</wp:posOffset>
            </wp:positionV>
            <wp:extent cx="2272665" cy="3249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72665" cy="324993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Different Company</w:t>
      </w:r>
    </w:p>
    <w:p>
      <w:pPr>
        <w:spacing w:after="0" w:line="126" w:lineRule="exact"/>
        <w:rPr>
          <w:sz w:val="20"/>
          <w:szCs w:val="20"/>
          <w:color w:val="auto"/>
        </w:rPr>
      </w:pPr>
    </w:p>
    <w:p>
      <w:pPr>
        <w:ind w:right="4900"/>
        <w:spacing w:after="0" w:line="246" w:lineRule="auto"/>
        <w:rPr>
          <w:sz w:val="20"/>
          <w:szCs w:val="20"/>
          <w:color w:val="auto"/>
        </w:rPr>
      </w:pPr>
      <w:r>
        <w:rPr>
          <w:rFonts w:ascii="Arial" w:cs="Arial" w:eastAsia="Arial" w:hAnsi="Arial"/>
          <w:sz w:val="18"/>
          <w:szCs w:val="18"/>
          <w:color w:val="auto"/>
        </w:rPr>
        <w:t>Again, 2016 was a very strong year for GM, made possible by the fact that we are a fundamentally different company than we were just a few years ago.</w:t>
      </w:r>
    </w:p>
    <w:p>
      <w:pPr>
        <w:spacing w:after="0" w:line="197" w:lineRule="exact"/>
        <w:rPr>
          <w:sz w:val="20"/>
          <w:szCs w:val="20"/>
          <w:color w:val="auto"/>
        </w:rPr>
      </w:pPr>
    </w:p>
    <w:p>
      <w:pPr>
        <w:ind w:right="4820"/>
        <w:spacing w:after="0" w:line="239" w:lineRule="auto"/>
        <w:rPr>
          <w:sz w:val="20"/>
          <w:szCs w:val="20"/>
          <w:color w:val="auto"/>
        </w:rPr>
      </w:pPr>
      <w:r>
        <w:rPr>
          <w:rFonts w:ascii="Arial" w:cs="Arial" w:eastAsia="Arial" w:hAnsi="Arial"/>
          <w:sz w:val="18"/>
          <w:szCs w:val="18"/>
          <w:color w:val="auto"/>
        </w:rPr>
        <w:t>GM is a more profitable, more disciplined and more focused company. We are also more diverse, more responsive to the needs of our customers and more determined than ever to take our commitment to clean energy and climate resilience mainstream.</w:t>
      </w:r>
    </w:p>
    <w:p>
      <w:pPr>
        <w:spacing w:after="0" w:line="202" w:lineRule="exact"/>
        <w:rPr>
          <w:sz w:val="20"/>
          <w:szCs w:val="20"/>
          <w:color w:val="auto"/>
        </w:rPr>
      </w:pPr>
    </w:p>
    <w:p>
      <w:pPr>
        <w:jc w:val="both"/>
        <w:ind w:right="4900"/>
        <w:spacing w:after="0" w:line="238" w:lineRule="auto"/>
        <w:rPr>
          <w:sz w:val="20"/>
          <w:szCs w:val="20"/>
          <w:color w:val="auto"/>
        </w:rPr>
      </w:pPr>
      <w:r>
        <w:rPr>
          <w:rFonts w:ascii="Arial" w:cs="Arial" w:eastAsia="Arial" w:hAnsi="Arial"/>
          <w:sz w:val="18"/>
          <w:szCs w:val="18"/>
          <w:color w:val="auto"/>
        </w:rPr>
        <w:t>After three years of record-setting operating performance and a series of bold and decisive actions, we have built strong momentum at GM. In 2017, we continue to accelerate. As always, we are putting the customer at the center of everything we do, as we continue to meet our commitments and deploy our resources to deliver the highest possible returns over the long term.</w:t>
      </w:r>
    </w:p>
    <w:p>
      <w:pPr>
        <w:spacing w:after="0" w:line="203" w:lineRule="exact"/>
        <w:rPr>
          <w:sz w:val="20"/>
          <w:szCs w:val="20"/>
          <w:color w:val="auto"/>
        </w:rPr>
      </w:pPr>
    </w:p>
    <w:p>
      <w:pPr>
        <w:ind w:right="4820"/>
        <w:spacing w:after="0"/>
        <w:rPr>
          <w:sz w:val="20"/>
          <w:szCs w:val="20"/>
          <w:color w:val="auto"/>
        </w:rPr>
      </w:pPr>
      <w:r>
        <w:rPr>
          <w:rFonts w:ascii="Arial" w:cs="Arial" w:eastAsia="Arial" w:hAnsi="Arial"/>
          <w:sz w:val="18"/>
          <w:szCs w:val="18"/>
          <w:color w:val="auto"/>
        </w:rPr>
        <w:t>I see endless opportunities at GM to build not just a better company, but a better world – by delivering transportation solutions that are safer, simpler and better, and enhancing life’s journey for people around the world.</w:t>
      </w:r>
    </w:p>
    <w:p>
      <w:pPr>
        <w:spacing w:after="0" w:line="203" w:lineRule="exact"/>
        <w:rPr>
          <w:sz w:val="20"/>
          <w:szCs w:val="20"/>
          <w:color w:val="auto"/>
        </w:rPr>
      </w:pPr>
    </w:p>
    <w:p>
      <w:pPr>
        <w:ind w:right="5340"/>
        <w:spacing w:after="0" w:line="246" w:lineRule="auto"/>
        <w:rPr>
          <w:sz w:val="20"/>
          <w:szCs w:val="20"/>
          <w:color w:val="auto"/>
        </w:rPr>
      </w:pPr>
      <w:r>
        <w:rPr>
          <w:rFonts w:ascii="Arial" w:cs="Arial" w:eastAsia="Arial" w:hAnsi="Arial"/>
          <w:sz w:val="18"/>
          <w:szCs w:val="18"/>
          <w:color w:val="auto"/>
        </w:rPr>
        <w:t>By living our values and doing what we say we will do, I am confident we will achieve our goals for our customers and shareholders for years to 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94690" cy="523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6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Mary Barra</w:t>
      </w:r>
    </w:p>
    <w:p>
      <w:pPr>
        <w:spacing w:after="0" w:line="234" w:lineRule="auto"/>
        <w:rPr>
          <w:sz w:val="20"/>
          <w:szCs w:val="20"/>
          <w:color w:val="auto"/>
        </w:rPr>
      </w:pPr>
      <w:r>
        <w:rPr>
          <w:rFonts w:ascii="Arial" w:cs="Arial" w:eastAsia="Arial" w:hAnsi="Arial"/>
          <w:sz w:val="18"/>
          <w:szCs w:val="18"/>
          <w:color w:val="auto"/>
        </w:rPr>
        <w:t>Chairman &amp;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25, 2017</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BARRA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234" w:lineRule="auto"/>
        <w:rPr>
          <w:sz w:val="20"/>
          <w:szCs w:val="20"/>
          <w:color w:val="auto"/>
        </w:rPr>
      </w:pPr>
      <w:r>
        <w:rPr>
          <w:rFonts w:ascii="Arial" w:cs="Arial" w:eastAsia="Arial" w:hAnsi="Arial"/>
          <w:sz w:val="18"/>
          <w:szCs w:val="18"/>
          <w:color w:val="auto"/>
        </w:rPr>
        <w:t>General Motors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Joined Board 01/15/14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 SOLSO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Independent Lead Director,</w:t>
      </w:r>
    </w:p>
    <w:p>
      <w:pPr>
        <w:spacing w:after="0" w:line="234" w:lineRule="auto"/>
        <w:rPr>
          <w:sz w:val="20"/>
          <w:szCs w:val="20"/>
          <w:color w:val="auto"/>
        </w:rPr>
      </w:pPr>
      <w:r>
        <w:rPr>
          <w:rFonts w:ascii="Arial" w:cs="Arial" w:eastAsia="Arial" w:hAnsi="Arial"/>
          <w:sz w:val="18"/>
          <w:szCs w:val="18"/>
          <w:color w:val="auto"/>
        </w:rPr>
        <w:t>General Motors Company and</w:t>
      </w:r>
    </w:p>
    <w:p>
      <w:pPr>
        <w:spacing w:after="0" w:line="235" w:lineRule="auto"/>
        <w:rPr>
          <w:sz w:val="20"/>
          <w:szCs w:val="20"/>
          <w:color w:val="auto"/>
        </w:rPr>
      </w:pPr>
      <w:r>
        <w:rPr>
          <w:rFonts w:ascii="Arial" w:cs="Arial" w:eastAsia="Arial" w:hAnsi="Arial"/>
          <w:sz w:val="18"/>
          <w:szCs w:val="18"/>
          <w:color w:val="auto"/>
        </w:rPr>
        <w:t>Retired Chairman &amp; Chief</w:t>
      </w:r>
    </w:p>
    <w:p>
      <w:pPr>
        <w:spacing w:after="0" w:line="235" w:lineRule="auto"/>
        <w:rPr>
          <w:sz w:val="20"/>
          <w:szCs w:val="20"/>
          <w:color w:val="auto"/>
        </w:rPr>
      </w:pPr>
      <w:r>
        <w:rPr>
          <w:rFonts w:ascii="Arial" w:cs="Arial" w:eastAsia="Arial" w:hAnsi="Arial"/>
          <w:sz w:val="18"/>
          <w:szCs w:val="18"/>
          <w:color w:val="auto"/>
        </w:rPr>
        <w:t>Executive Officer, Cummins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Joined Board 06/12/12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ASHTON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Retired Vice President,</w:t>
      </w:r>
    </w:p>
    <w:p>
      <w:pPr>
        <w:spacing w:after="0" w:line="234" w:lineRule="auto"/>
        <w:rPr>
          <w:sz w:val="20"/>
          <w:szCs w:val="20"/>
          <w:color w:val="auto"/>
        </w:rPr>
      </w:pPr>
      <w:r>
        <w:rPr>
          <w:rFonts w:ascii="Arial" w:cs="Arial" w:eastAsia="Arial" w:hAnsi="Arial"/>
          <w:sz w:val="18"/>
          <w:szCs w:val="18"/>
          <w:color w:val="auto"/>
        </w:rPr>
        <w:t>United Auto Workers,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Joined Board 08/11/14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TEAM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BARRA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AMMANN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190" w:lineRule="exact"/>
        <w:rPr>
          <w:sz w:val="20"/>
          <w:szCs w:val="20"/>
          <w:color w:val="auto"/>
        </w:rPr>
      </w:pPr>
    </w:p>
    <w:p>
      <w:pPr>
        <w:ind w:right="1340"/>
        <w:spacing w:after="0" w:line="253" w:lineRule="auto"/>
        <w:rPr>
          <w:sz w:val="20"/>
          <w:szCs w:val="20"/>
          <w:color w:val="auto"/>
        </w:rPr>
      </w:pPr>
      <w:r>
        <w:rPr>
          <w:rFonts w:ascii="Arial" w:cs="Arial" w:eastAsia="Arial" w:hAnsi="Arial"/>
          <w:sz w:val="18"/>
          <w:szCs w:val="18"/>
          <w:b w:val="1"/>
          <w:bCs w:val="1"/>
          <w:color w:val="auto"/>
        </w:rPr>
        <w:t xml:space="preserve">ALAN BATEY </w:t>
      </w:r>
      <w:r>
        <w:rPr>
          <w:rFonts w:ascii="Arial" w:cs="Arial" w:eastAsia="Arial" w:hAnsi="Arial"/>
          <w:sz w:val="18"/>
          <w:szCs w:val="18"/>
          <w:color w:val="auto"/>
        </w:rPr>
        <w:t>Executive Vice President &amp; President, North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BERCE</w:t>
      </w:r>
    </w:p>
    <w:p>
      <w:pPr>
        <w:spacing w:after="0" w:line="18" w:lineRule="exact"/>
        <w:rPr>
          <w:sz w:val="20"/>
          <w:szCs w:val="20"/>
          <w:color w:val="auto"/>
        </w:rPr>
      </w:pPr>
    </w:p>
    <w:p>
      <w:pPr>
        <w:ind w:right="980"/>
        <w:spacing w:after="0" w:line="246" w:lineRule="auto"/>
        <w:rPr>
          <w:sz w:val="20"/>
          <w:szCs w:val="20"/>
          <w:color w:val="auto"/>
        </w:rPr>
      </w:pPr>
      <w:r>
        <w:rPr>
          <w:rFonts w:ascii="Arial" w:cs="Arial" w:eastAsia="Arial" w:hAnsi="Arial"/>
          <w:sz w:val="18"/>
          <w:szCs w:val="18"/>
          <w:color w:val="auto"/>
        </w:rPr>
        <w:t>Senior Vice President President &amp; CEO, GM Financial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ALICIA BOLER-DAVIS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Global Manufacturing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TONY CERVONE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Global Communications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MARGARET CURRY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Tax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JOHAN DE NYSSCHEN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&amp; President, Cadillac</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2016 CHAIRMAN’S LETTER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LINDA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-690880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Retired Executive Vice President,</w:t>
      </w:r>
    </w:p>
    <w:p>
      <w:pPr>
        <w:spacing w:after="0" w:line="234" w:lineRule="auto"/>
        <w:rPr>
          <w:sz w:val="20"/>
          <w:szCs w:val="20"/>
          <w:color w:val="auto"/>
        </w:rPr>
      </w:pPr>
      <w:r>
        <w:rPr>
          <w:rFonts w:ascii="Arial" w:cs="Arial" w:eastAsia="Arial" w:hAnsi="Arial"/>
          <w:sz w:val="18"/>
          <w:szCs w:val="18"/>
          <w:color w:val="auto"/>
        </w:rPr>
        <w:t>Information Systems &amp; Global</w:t>
      </w:r>
    </w:p>
    <w:p>
      <w:pPr>
        <w:spacing w:after="0" w:line="235" w:lineRule="auto"/>
        <w:rPr>
          <w:sz w:val="20"/>
          <w:szCs w:val="20"/>
          <w:color w:val="auto"/>
        </w:rPr>
      </w:pPr>
      <w:r>
        <w:rPr>
          <w:rFonts w:ascii="Arial" w:cs="Arial" w:eastAsia="Arial" w:hAnsi="Arial"/>
          <w:sz w:val="18"/>
          <w:szCs w:val="18"/>
          <w:color w:val="auto"/>
        </w:rPr>
        <w:t>Solutions, Lockheed Martin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Joined Board 02/05/15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JIMENEZ</w:t>
      </w:r>
    </w:p>
    <w:p>
      <w:pPr>
        <w:spacing w:after="0" w:line="1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Chief Executive Officer, Novartis AG, Joined Board 06/09/15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JANE MENDILLO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Retired President &amp; 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Harvard Management Company,</w:t>
      </w:r>
    </w:p>
    <w:p>
      <w:pPr>
        <w:spacing w:after="0"/>
        <w:rPr>
          <w:sz w:val="20"/>
          <w:szCs w:val="20"/>
          <w:color w:val="auto"/>
        </w:rPr>
      </w:pPr>
      <w:r>
        <w:rPr>
          <w:rFonts w:ascii="Arial" w:cs="Arial" w:eastAsia="Arial" w:hAnsi="Arial"/>
          <w:sz w:val="18"/>
          <w:szCs w:val="18"/>
          <w:color w:val="auto"/>
        </w:rPr>
        <w:t>Joined Board 06/07/16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MULLEN</w:t>
      </w:r>
    </w:p>
    <w:p>
      <w:pPr>
        <w:spacing w:after="0" w:line="1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Former Chairman, Joint Chiefs of Staff, Joined Board 02/01/13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ENGLE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&amp; President, South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GLIDDEN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ind w:right="1620" w:firstLine="9"/>
        <w:spacing w:after="0" w:line="275" w:lineRule="auto"/>
        <w:tabs>
          <w:tab w:leader="none" w:pos="1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Counsel, Legal and Public Policy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STEFAN JACOBY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&amp; President, GM International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VICTORIA MCINNIS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Audit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MOTT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34" w:lineRule="auto"/>
        <w:rPr>
          <w:sz w:val="20"/>
          <w:szCs w:val="20"/>
          <w:color w:val="auto"/>
        </w:rPr>
      </w:pPr>
      <w:r>
        <w:rPr>
          <w:rFonts w:ascii="Arial" w:cs="Arial" w:eastAsia="Arial" w:hAnsi="Arial"/>
          <w:sz w:val="18"/>
          <w:szCs w:val="18"/>
          <w:color w:val="auto"/>
        </w:rPr>
        <w:t>Global Information Technology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&amp; Chief Information 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KARL-THOMAS NEUMANN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rPr>
          <w:sz w:val="20"/>
          <w:szCs w:val="20"/>
          <w:color w:val="auto"/>
        </w:rPr>
      </w:pPr>
      <w:r>
        <w:rPr>
          <w:rFonts w:ascii="Arial" w:cs="Arial" w:eastAsia="Arial" w:hAnsi="Arial"/>
          <w:sz w:val="18"/>
          <w:szCs w:val="18"/>
          <w:color w:val="auto"/>
        </w:rPr>
        <w:t>&amp; President, Europe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QUATTRONE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Global 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JIM MULVA</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Retired Chairman &amp; Chief</w:t>
      </w:r>
    </w:p>
    <w:p>
      <w:pPr>
        <w:ind w:left="3"/>
        <w:spacing w:after="0" w:line="234" w:lineRule="auto"/>
        <w:rPr>
          <w:sz w:val="20"/>
          <w:szCs w:val="20"/>
          <w:color w:val="auto"/>
        </w:rPr>
      </w:pPr>
      <w:r>
        <w:rPr>
          <w:rFonts w:ascii="Arial" w:cs="Arial" w:eastAsia="Arial" w:hAnsi="Arial"/>
          <w:sz w:val="18"/>
          <w:szCs w:val="18"/>
          <w:color w:val="auto"/>
        </w:rPr>
        <w:t>Executive Officer, ConocoPhillips,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Joined Board 06/12/12</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PAT RUSSO</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Chairman, Hewlett Packard</w:t>
      </w:r>
    </w:p>
    <w:p>
      <w:pPr>
        <w:ind w:left="3"/>
        <w:spacing w:after="0" w:line="234" w:lineRule="auto"/>
        <w:rPr>
          <w:sz w:val="20"/>
          <w:szCs w:val="20"/>
          <w:color w:val="auto"/>
        </w:rPr>
      </w:pPr>
      <w:r>
        <w:rPr>
          <w:rFonts w:ascii="Arial" w:cs="Arial" w:eastAsia="Arial" w:hAnsi="Arial"/>
          <w:sz w:val="18"/>
          <w:szCs w:val="18"/>
          <w:color w:val="auto"/>
        </w:rPr>
        <w:t>Enterprise Company,</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Joined Board 07/24/09</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TOM SCHOEWE</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Retired Executive Vice President</w:t>
      </w:r>
    </w:p>
    <w:p>
      <w:pPr>
        <w:ind w:left="3" w:right="1080" w:hanging="3"/>
        <w:spacing w:after="0" w:line="261" w:lineRule="auto"/>
        <w:tabs>
          <w:tab w:leader="none" w:pos="1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Chief Financial Officer, Wal-Mart Stores, Inc., Joined Board 11/14/11</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CAROL STEPHENSON</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Retired Dean, Ivey Business School,</w:t>
      </w:r>
    </w:p>
    <w:p>
      <w:pPr>
        <w:ind w:left="3"/>
        <w:spacing w:after="0" w:line="234" w:lineRule="auto"/>
        <w:rPr>
          <w:sz w:val="20"/>
          <w:szCs w:val="20"/>
          <w:color w:val="auto"/>
        </w:rPr>
      </w:pPr>
      <w:r>
        <w:rPr>
          <w:rFonts w:ascii="Arial" w:cs="Arial" w:eastAsia="Arial" w:hAnsi="Arial"/>
          <w:sz w:val="18"/>
          <w:szCs w:val="18"/>
          <w:color w:val="auto"/>
        </w:rPr>
        <w:t>The University of Western Ontario,</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Joined Board 07/24/09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 w:right="700"/>
        <w:spacing w:after="0" w:line="266" w:lineRule="auto"/>
        <w:rPr>
          <w:sz w:val="20"/>
          <w:szCs w:val="20"/>
          <w:color w:val="auto"/>
        </w:rPr>
      </w:pPr>
      <w:r>
        <w:rPr>
          <w:rFonts w:ascii="Arial" w:cs="Arial" w:eastAsia="Arial" w:hAnsi="Arial"/>
          <w:sz w:val="17"/>
          <w:szCs w:val="17"/>
          <w:b w:val="1"/>
          <w:bCs w:val="1"/>
          <w:color w:val="auto"/>
        </w:rPr>
        <w:t xml:space="preserve">MARK REUSS </w:t>
      </w:r>
      <w:r>
        <w:rPr>
          <w:rFonts w:ascii="Arial" w:cs="Arial" w:eastAsia="Arial" w:hAnsi="Arial"/>
          <w:sz w:val="17"/>
          <w:szCs w:val="17"/>
          <w:color w:val="auto"/>
        </w:rPr>
        <w:t>Executive Vice President, Global Product Development, Purchasing and Supply Chain</w:t>
      </w:r>
    </w:p>
    <w:p>
      <w:pPr>
        <w:spacing w:after="0" w:line="160" w:lineRule="exact"/>
        <w:rPr>
          <w:sz w:val="20"/>
          <w:szCs w:val="20"/>
          <w:color w:val="auto"/>
        </w:rPr>
      </w:pPr>
    </w:p>
    <w:p>
      <w:pPr>
        <w:ind w:left="3" w:right="1080"/>
        <w:spacing w:after="0" w:line="275" w:lineRule="auto"/>
        <w:rPr>
          <w:sz w:val="20"/>
          <w:szCs w:val="20"/>
          <w:color w:val="auto"/>
        </w:rPr>
      </w:pPr>
      <w:r>
        <w:rPr>
          <w:rFonts w:ascii="Arial" w:cs="Arial" w:eastAsia="Arial" w:hAnsi="Arial"/>
          <w:sz w:val="17"/>
          <w:szCs w:val="17"/>
          <w:b w:val="1"/>
          <w:bCs w:val="1"/>
          <w:color w:val="auto"/>
        </w:rPr>
        <w:t xml:space="preserve">CHUCK STEVENS </w:t>
      </w:r>
      <w:r>
        <w:rPr>
          <w:rFonts w:ascii="Arial" w:cs="Arial" w:eastAsia="Arial" w:hAnsi="Arial"/>
          <w:sz w:val="17"/>
          <w:szCs w:val="17"/>
          <w:color w:val="auto"/>
        </w:rPr>
        <w:t>Executive Vice President &amp; Chief Financial Officer</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DHIVYA SURYADEVARA</w:t>
      </w:r>
    </w:p>
    <w:p>
      <w:pPr>
        <w:spacing w:after="0" w:line="18" w:lineRule="exact"/>
        <w:rPr>
          <w:sz w:val="20"/>
          <w:szCs w:val="20"/>
          <w:color w:val="auto"/>
        </w:rPr>
      </w:pPr>
    </w:p>
    <w:p>
      <w:pPr>
        <w:ind w:left="3"/>
        <w:spacing w:after="0"/>
        <w:rPr>
          <w:sz w:val="20"/>
          <w:szCs w:val="20"/>
          <w:color w:val="auto"/>
        </w:rPr>
      </w:pPr>
      <w:r>
        <w:rPr>
          <w:rFonts w:ascii="Arial" w:cs="Arial" w:eastAsia="Arial" w:hAnsi="Arial"/>
          <w:sz w:val="17"/>
          <w:szCs w:val="17"/>
          <w:color w:val="auto"/>
        </w:rPr>
        <w:t>Vice President, Finance and Treasurer</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JILL SUTTON</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Deputy General Counsel</w:t>
      </w:r>
    </w:p>
    <w:p>
      <w:pPr>
        <w:ind w:left="3"/>
        <w:spacing w:after="0"/>
        <w:rPr>
          <w:sz w:val="20"/>
          <w:szCs w:val="20"/>
          <w:color w:val="auto"/>
        </w:rPr>
      </w:pPr>
      <w:r>
        <w:rPr>
          <w:rFonts w:ascii="Arial" w:cs="Arial" w:eastAsia="Arial" w:hAnsi="Arial"/>
          <w:sz w:val="18"/>
          <w:szCs w:val="18"/>
          <w:color w:val="auto"/>
        </w:rPr>
        <w:t>&amp; Corporate Secretary</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TOM TIMKO</w:t>
      </w:r>
    </w:p>
    <w:p>
      <w:pPr>
        <w:spacing w:after="0" w:line="18" w:lineRule="exact"/>
        <w:rPr>
          <w:sz w:val="20"/>
          <w:szCs w:val="20"/>
          <w:color w:val="auto"/>
        </w:rPr>
      </w:pPr>
    </w:p>
    <w:p>
      <w:pPr>
        <w:ind w:left="3" w:right="960"/>
        <w:spacing w:after="0" w:line="275" w:lineRule="auto"/>
        <w:rPr>
          <w:sz w:val="20"/>
          <w:szCs w:val="20"/>
          <w:color w:val="auto"/>
        </w:rPr>
      </w:pPr>
      <w:r>
        <w:rPr>
          <w:rFonts w:ascii="Arial" w:cs="Arial" w:eastAsia="Arial" w:hAnsi="Arial"/>
          <w:sz w:val="17"/>
          <w:szCs w:val="17"/>
          <w:color w:val="auto"/>
        </w:rPr>
        <w:t>Vice President, Controller &amp; Chief Accounting Officer</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MATT TSIEN</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Executive Vice President</w:t>
      </w:r>
    </w:p>
    <w:p>
      <w:pPr>
        <w:ind w:left="3"/>
        <w:spacing w:after="0"/>
        <w:rPr>
          <w:sz w:val="20"/>
          <w:szCs w:val="20"/>
          <w:color w:val="auto"/>
        </w:rPr>
      </w:pPr>
      <w:r>
        <w:rPr>
          <w:rFonts w:ascii="Arial" w:cs="Arial" w:eastAsia="Arial" w:hAnsi="Arial"/>
          <w:sz w:val="18"/>
          <w:szCs w:val="18"/>
          <w:color w:val="auto"/>
        </w:rPr>
        <w:t>&amp; President, GM China</w:t>
      </w:r>
    </w:p>
    <w:p>
      <w:pPr>
        <w:sectPr>
          <w:pgSz w:w="11900" w:h="16838" w:orient="portrait"/>
          <w:cols w:equalWidth="0" w:num="3">
            <w:col w:w="3520" w:space="720"/>
            <w:col w:w="3480" w:space="337"/>
            <w:col w:w="3063"/>
          </w:cols>
          <w:pgMar w:left="240" w:top="265"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2016 FINANCIAL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r>
              <w:rPr>
                <w:rFonts w:ascii="Arial" w:cs="Arial" w:eastAsia="Arial" w:hAnsi="Arial"/>
                <w:sz w:val="18"/>
                <w:szCs w:val="18"/>
                <w:b w:val="1"/>
                <w:bCs w:val="1"/>
                <w:color w:val="auto"/>
              </w:rPr>
              <w:t>$166B</w:t>
            </w:r>
          </w:p>
        </w:tc>
        <w:tc>
          <w:tcPr>
            <w:tcW w:w="6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$9.4B</w:t>
            </w:r>
          </w:p>
        </w:tc>
        <w:tc>
          <w:tcPr>
            <w:tcW w:w="3980" w:type="dxa"/>
            <w:vAlign w:val="bottom"/>
            <w:gridSpan w:val="2"/>
          </w:tcPr>
          <w:p>
            <w:pPr>
              <w:ind w:left="560"/>
              <w:spacing w:after="0"/>
              <w:rPr>
                <w:sz w:val="20"/>
                <w:szCs w:val="20"/>
                <w:color w:val="auto"/>
              </w:rPr>
            </w:pPr>
            <w:r>
              <w:rPr>
                <w:rFonts w:ascii="Arial" w:cs="Arial" w:eastAsia="Arial" w:hAnsi="Arial"/>
                <w:sz w:val="18"/>
                <w:szCs w:val="18"/>
                <w:b w:val="1"/>
                <w:bCs w:val="1"/>
                <w:color w:val="auto"/>
              </w:rPr>
              <w:t>$6.00</w:t>
            </w:r>
          </w:p>
        </w:tc>
      </w:tr>
      <w:tr>
        <w:trPr>
          <w:trHeight w:val="243"/>
        </w:trPr>
        <w:tc>
          <w:tcPr>
            <w:tcW w:w="344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r>
      <w:tr>
        <w:trPr>
          <w:trHeight w:val="403"/>
        </w:trPr>
        <w:tc>
          <w:tcPr>
            <w:tcW w:w="3440" w:type="dxa"/>
            <w:vAlign w:val="bottom"/>
          </w:tcPr>
          <w:p>
            <w:pPr>
              <w:spacing w:after="0"/>
              <w:rPr>
                <w:sz w:val="20"/>
                <w:szCs w:val="20"/>
                <w:color w:val="auto"/>
              </w:rPr>
            </w:pPr>
            <w:r>
              <w:rPr>
                <w:rFonts w:ascii="Arial" w:cs="Arial" w:eastAsia="Arial" w:hAnsi="Arial"/>
                <w:sz w:val="18"/>
                <w:szCs w:val="18"/>
                <w:b w:val="1"/>
                <w:bCs w:val="1"/>
                <w:color w:val="auto"/>
              </w:rPr>
              <w:t>WORLDWIDE NET</w:t>
            </w:r>
          </w:p>
        </w:tc>
        <w:tc>
          <w:tcPr>
            <w:tcW w:w="60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INCOME ATTRIBUTABLE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DILUTED EARNINGS</w:t>
            </w:r>
          </w:p>
        </w:tc>
      </w:tr>
      <w:tr>
        <w:trPr>
          <w:trHeight w:val="239"/>
        </w:trPr>
        <w:tc>
          <w:tcPr>
            <w:tcW w:w="3440" w:type="dxa"/>
            <w:vAlign w:val="bottom"/>
          </w:tcPr>
          <w:p>
            <w:pPr>
              <w:spacing w:after="0"/>
              <w:rPr>
                <w:sz w:val="20"/>
                <w:szCs w:val="20"/>
                <w:color w:val="auto"/>
              </w:rPr>
            </w:pPr>
            <w:r>
              <w:rPr>
                <w:rFonts w:ascii="Arial" w:cs="Arial" w:eastAsia="Arial" w:hAnsi="Arial"/>
                <w:sz w:val="18"/>
                <w:szCs w:val="18"/>
                <w:b w:val="1"/>
                <w:bCs w:val="1"/>
                <w:color w:val="auto"/>
              </w:rPr>
              <w:t>SALES &amp; REVENUE</w:t>
            </w:r>
          </w:p>
        </w:tc>
        <w:tc>
          <w:tcPr>
            <w:tcW w:w="6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TO COMMON STOCKHOLDERS</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PER COMMON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154305</wp:posOffset>
            </wp:positionV>
            <wp:extent cx="5994400" cy="3953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94400"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Source: Bloomberg</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VEHICLE SALES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NET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20" w:type="dxa"/>
            <w:vAlign w:val="bottom"/>
          </w:tcPr>
          <w:p>
            <w:pPr>
              <w:spacing w:after="0"/>
              <w:rPr>
                <w:sz w:val="20"/>
                <w:szCs w:val="20"/>
                <w:color w:val="auto"/>
              </w:rPr>
            </w:pPr>
            <w:r>
              <w:rPr>
                <w:rFonts w:ascii="Arial" w:cs="Arial" w:eastAsia="Arial" w:hAnsi="Arial"/>
                <w:sz w:val="14"/>
                <w:szCs w:val="14"/>
                <w:u w:val="single" w:color="auto"/>
                <w:color w:val="auto"/>
              </w:rPr>
              <w:t>(in millions, except units per share &amp; employment)</w:t>
            </w:r>
          </w:p>
        </w:tc>
        <w:tc>
          <w:tcPr>
            <w:tcW w:w="39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r>
    </w:tbl>
    <w:p>
      <w:pPr>
        <w:spacing w:after="0"/>
        <w:rPr>
          <w:sz w:val="20"/>
          <w:szCs w:val="20"/>
          <w:color w:val="auto"/>
        </w:rPr>
      </w:pPr>
      <w:r>
        <w:rPr>
          <w:rFonts w:ascii="Arial" w:cs="Arial" w:eastAsia="Arial" w:hAnsi="Arial"/>
          <w:sz w:val="18"/>
          <w:szCs w:val="18"/>
          <w:b w:val="1"/>
          <w:bCs w:val="1"/>
          <w:color w:val="auto"/>
        </w:rPr>
        <w:t xml:space="preserve">VEHICLE SALES, INCLUDING JOINT VENTURES </w:t>
      </w:r>
      <w:r>
        <w:rPr>
          <w:rFonts w:ascii="Arial" w:cs="Arial" w:eastAsia="Arial" w:hAnsi="Arial"/>
          <w:sz w:val="18"/>
          <w:szCs w:val="18"/>
          <w:color w:val="auto"/>
        </w:rPr>
        <w:t>(000’s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2"/>
          </w:tcPr>
          <w:p>
            <w:pPr>
              <w:spacing w:after="0"/>
              <w:rPr>
                <w:sz w:val="20"/>
                <w:szCs w:val="20"/>
                <w:color w:val="auto"/>
              </w:rPr>
            </w:pPr>
            <w:r>
              <w:rPr>
                <w:rFonts w:ascii="Arial" w:cs="Arial" w:eastAsia="Arial" w:hAnsi="Arial"/>
                <w:sz w:val="18"/>
                <w:szCs w:val="18"/>
                <w:color w:val="auto"/>
              </w:rPr>
              <w:t>GMNA</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GME</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GMIO</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4,525</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GMSA</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7"/>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Worldwide Vehicle Sales</w:t>
            </w:r>
          </w:p>
        </w:tc>
        <w:tc>
          <w:tcPr>
            <w:tcW w:w="2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9,959</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RESULTS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920" w:type="dxa"/>
            <w:vAlign w:val="bottom"/>
            <w:gridSpan w:val="2"/>
          </w:tcPr>
          <w:p>
            <w:pPr>
              <w:spacing w:after="0"/>
              <w:rPr>
                <w:sz w:val="20"/>
                <w:szCs w:val="20"/>
                <w:color w:val="auto"/>
              </w:rPr>
            </w:pPr>
            <w:r>
              <w:rPr>
                <w:rFonts w:ascii="Arial" w:cs="Arial" w:eastAsia="Arial" w:hAnsi="Arial"/>
                <w:sz w:val="18"/>
                <w:szCs w:val="18"/>
                <w:color w:val="auto"/>
              </w:rPr>
              <w:t>Worldwide Net Sales &amp; Revenue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152,356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166,380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Stockholders</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9,687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Earnings Before Interest and Income Taxes - Adjusted*</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10,814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AUTOMOTIVE LIQUIDITY &amp; KEY OBLIGATIONS</w:t>
            </w:r>
          </w:p>
        </w:tc>
        <w:tc>
          <w:tcPr>
            <w:tcW w:w="2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AVAILABLE AUTOMOTIVE LIQUIDITY</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20,340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Facilities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14,035</w:t>
            </w:r>
          </w:p>
        </w:tc>
        <w:tc>
          <w:tcPr>
            <w:tcW w:w="0" w:type="dxa"/>
            <w:vAlign w:val="bottom"/>
          </w:tcPr>
          <w:p>
            <w:pPr>
              <w:spacing w:after="0"/>
              <w:rPr>
                <w:sz w:val="1"/>
                <w:szCs w:val="1"/>
                <w:color w:val="auto"/>
              </w:rPr>
            </w:pPr>
          </w:p>
        </w:tc>
      </w:tr>
      <w:tr>
        <w:trPr>
          <w:trHeight w:val="232"/>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Available Automotive Liquidity</w:t>
            </w:r>
          </w:p>
        </w:tc>
        <w:tc>
          <w:tcPr>
            <w:tcW w:w="25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32,492</w:t>
            </w:r>
          </w:p>
        </w:tc>
        <w:tc>
          <w:tcPr>
            <w:tcW w:w="4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9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KEY AUTOMOTIVE OBLIGATIONS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Debt</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8,765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Underfunded U.S. Pension</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10,414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17"/>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Automotive Obligations</w:t>
            </w:r>
          </w:p>
        </w:tc>
        <w:tc>
          <w:tcPr>
            <w:tcW w:w="2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19,179</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EMPLOYMENT - YEAR END </w:t>
            </w:r>
            <w:r>
              <w:rPr>
                <w:rFonts w:ascii="Arial" w:cs="Arial" w:eastAsia="Arial" w:hAnsi="Arial"/>
                <w:sz w:val="18"/>
                <w:szCs w:val="18"/>
                <w:color w:val="auto"/>
              </w:rPr>
              <w:t>(000’s)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920" w:type="dxa"/>
            <w:vAlign w:val="bottom"/>
            <w:gridSpan w:val="2"/>
          </w:tcPr>
          <w:p>
            <w:pPr>
              <w:spacing w:after="0"/>
              <w:rPr>
                <w:sz w:val="20"/>
                <w:szCs w:val="20"/>
                <w:color w:val="auto"/>
              </w:rPr>
            </w:pPr>
            <w:r>
              <w:rPr>
                <w:rFonts w:ascii="Arial" w:cs="Arial" w:eastAsia="Arial" w:hAnsi="Arial"/>
                <w:sz w:val="18"/>
                <w:szCs w:val="18"/>
                <w:color w:val="auto"/>
              </w:rPr>
              <w:t>GMNA</w:t>
            </w: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GME</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GMIO</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GMSA</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GM Financial</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Worldwide Employment</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GM Financial on an Earnings Before Tax (EBT)-adjusted basis</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142016 CHAIRMAN’S LETTER</w:t>
      </w:r>
    </w:p>
    <w:p>
      <w:pPr>
        <w:sectPr>
          <w:pgSz w:w="11900" w:h="16838" w:orient="portrait"/>
          <w:cols w:equalWidth="0" w:num="1">
            <w:col w:w="11420"/>
          </w:cols>
          <w:pgMar w:left="240" w:top="2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this document and in reports we subsequently file and have previously filed with the U.S. Securities and Exchange Commission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w:t>
      </w:r>
    </w:p>
    <w:p>
      <w:pPr>
        <w:spacing w:after="0" w:line="10" w:lineRule="exact"/>
        <w:rPr>
          <w:sz w:val="20"/>
          <w:szCs w:val="20"/>
          <w:color w:val="auto"/>
        </w:rPr>
      </w:pPr>
    </w:p>
    <w:p>
      <w:pPr>
        <w:ind w:right="40" w:firstLine="8"/>
        <w:spacing w:after="0" w:line="235"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 production efficiencies and to achieve reductions in costs as we implement operating effectiveness initiatives throughout our automotive operations; (16) 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 (19) significant increases in our pension expense or projected pension contributions resulting from changes in the value of plan assets, the discount rate applied to value the pension liabilities or mortality or other assumption changes; (20) significant changes in economic, political, regulatory environment, market conditions, foreign currency exchange rates or political stability in the countries in which we operate, particularly China, with the effect of competition from new market entrants and in the United Kingdom with passage of a referendum to discontinue membership in the European Union; and (21) risks and uncertainties associated with the consummation of the sale of Opel/Vauxhall to the PSA Group, including satisfaction of the closing conditions.</w:t>
      </w:r>
    </w:p>
    <w:p>
      <w:pPr>
        <w:spacing w:after="0" w:line="214"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PROXY SOLICITATION</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General Motors Company (“GM”) has filed a definitive proxy statement and 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 relations section of GM’s website, http://www.gm.com/investors.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non-GAAP measures include earnings before interest and taxes (EBIT)-adjusted presented net of noncontrolling interests, EPS-diluted-adjusted,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EBIT-adjusted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EPS-diluted-adjusted is used by management and can be used by investors to review our consolidated diluted earnings per share results on a consistent basis. EPS-diluted-adjusted is calculated as net income attributable to common stockholders-diluted less certain adjustments noted above for EBIT-adjusted and gains or losses on the extinguishment of debt obligations on an after-tax basis as well as redemptions of preferred stock and certain income tax adjustments divided by weighted-average common shares outstanding-diluted. Examples of income tax adjustments include the establishment or reversal of significant deferred tax asset valuation allowances.</w:t>
      </w:r>
    </w:p>
    <w:p>
      <w:pPr>
        <w:spacing w:after="0" w:line="20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cash flow from operations less capital expenditures adjusted for management actions, primarily related to strengthening our balance sheet, such as prepayments of debt and discretionary contributions to employee benefit plans.</w:t>
      </w:r>
    </w:p>
    <w:p>
      <w:pPr>
        <w:spacing w:after="0" w:line="13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2016 CHAIRMAN’S LETTER</w:t>
      </w:r>
    </w:p>
    <w:p>
      <w:pPr>
        <w:sectPr>
          <w:pgSz w:w="11900" w:h="16838" w:orient="portrait"/>
          <w:cols w:equalWidth="0" w:num="1">
            <w:col w:w="11400"/>
          </w:cols>
          <w:pgMar w:left="240" w:top="265"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98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(dollars in millions)</w:t>
            </w: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lef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400" w:type="dxa"/>
            <w:vAlign w:val="bottom"/>
            <w:gridSpan w:val="2"/>
          </w:tcPr>
          <w:p>
            <w:pPr>
              <w:spacing w:after="0"/>
              <w:rPr>
                <w:sz w:val="20"/>
                <w:szCs w:val="20"/>
                <w:color w:val="auto"/>
              </w:rPr>
            </w:pPr>
            <w:r>
              <w:rPr>
                <w:rFonts w:ascii="Arial" w:cs="Arial" w:eastAsia="Arial" w:hAnsi="Arial"/>
                <w:sz w:val="18"/>
                <w:szCs w:val="18"/>
                <w:color w:val="auto"/>
              </w:rPr>
              <w:t>GMNA</w:t>
            </w:r>
            <w:r>
              <w:rPr>
                <w:rFonts w:ascii="Arial" w:cs="Arial" w:eastAsia="Arial" w:hAnsi="Arial"/>
                <w:sz w:val="15"/>
                <w:szCs w:val="15"/>
                <w:color w:val="auto"/>
              </w:rPr>
              <w:t>(a)</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$7,461</w:t>
            </w:r>
          </w:p>
        </w:tc>
        <w:tc>
          <w:tcPr>
            <w:tcW w:w="1060" w:type="dxa"/>
            <w:vAlign w:val="bottom"/>
            <w:gridSpan w:val="6"/>
          </w:tcPr>
          <w:p>
            <w:pPr>
              <w:jc w:val="right"/>
              <w:ind w:right="80"/>
              <w:spacing w:after="0"/>
              <w:rPr>
                <w:sz w:val="20"/>
                <w:szCs w:val="20"/>
                <w:color w:val="auto"/>
              </w:rPr>
            </w:pPr>
            <w:r>
              <w:rPr>
                <w:rFonts w:ascii="Arial" w:cs="Arial" w:eastAsia="Arial" w:hAnsi="Arial"/>
                <w:sz w:val="18"/>
                <w:szCs w:val="18"/>
                <w:color w:val="auto"/>
              </w:rPr>
              <w:t>$ 6,603</w:t>
            </w:r>
          </w:p>
        </w:tc>
        <w:tc>
          <w:tcPr>
            <w:tcW w:w="360" w:type="dxa"/>
            <w:vAlign w:val="bottom"/>
          </w:tcPr>
          <w:p>
            <w:pPr>
              <w:spacing w:after="0"/>
              <w:rPr>
                <w:sz w:val="24"/>
                <w:szCs w:val="24"/>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8"/>
                <w:szCs w:val="18"/>
                <w:color w:val="auto"/>
              </w:rPr>
              <w:t>$11,026</w:t>
            </w:r>
          </w:p>
        </w:tc>
        <w:tc>
          <w:tcPr>
            <w:tcW w:w="20" w:type="dxa"/>
            <w:vAlign w:val="bottom"/>
          </w:tcPr>
          <w:p>
            <w:pPr>
              <w:spacing w:after="0"/>
              <w:rPr>
                <w:sz w:val="24"/>
                <w:szCs w:val="24"/>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$12,047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GME</w:t>
            </w:r>
            <w:r>
              <w:rPr>
                <w:rFonts w:ascii="Arial" w:cs="Arial" w:eastAsia="Arial" w:hAnsi="Arial"/>
                <w:sz w:val="15"/>
                <w:szCs w:val="15"/>
                <w:color w:val="auto"/>
              </w:rPr>
              <w:t>(a)</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(869)</w:t>
            </w:r>
          </w:p>
        </w:tc>
        <w:tc>
          <w:tcPr>
            <w:tcW w:w="106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(1,369)</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GMIO</w:t>
            </w:r>
            <w:r>
              <w:rPr>
                <w:rFonts w:ascii="Arial" w:cs="Arial" w:eastAsia="Arial" w:hAnsi="Arial"/>
                <w:sz w:val="15"/>
                <w:szCs w:val="15"/>
                <w:color w:val="auto"/>
              </w:rPr>
              <w:t>(a)</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1,255</w:t>
            </w:r>
          </w:p>
        </w:tc>
        <w:tc>
          <w:tcPr>
            <w:tcW w:w="1060" w:type="dxa"/>
            <w:vAlign w:val="bottom"/>
            <w:gridSpan w:val="6"/>
          </w:tcPr>
          <w:p>
            <w:pPr>
              <w:jc w:val="right"/>
              <w:ind w:right="80"/>
              <w:spacing w:after="0" w:line="202" w:lineRule="exact"/>
              <w:rPr>
                <w:sz w:val="20"/>
                <w:szCs w:val="20"/>
                <w:color w:val="auto"/>
              </w:rPr>
            </w:pPr>
            <w:r>
              <w:rPr>
                <w:rFonts w:ascii="Arial" w:cs="Arial" w:eastAsia="Arial" w:hAnsi="Arial"/>
                <w:sz w:val="18"/>
                <w:szCs w:val="18"/>
                <w:color w:val="auto"/>
              </w:rPr>
              <w:t>1,222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1,397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GMSA</w:t>
            </w:r>
            <w:r>
              <w:rPr>
                <w:rFonts w:ascii="Arial" w:cs="Arial" w:eastAsia="Arial" w:hAnsi="Arial"/>
                <w:sz w:val="15"/>
                <w:szCs w:val="15"/>
                <w:color w:val="auto"/>
              </w:rPr>
              <w:t>(a)</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(622)</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GM Financial</w:t>
            </w:r>
            <w:r>
              <w:rPr>
                <w:rFonts w:ascii="Arial" w:cs="Arial" w:eastAsia="Arial" w:hAnsi="Arial"/>
                <w:sz w:val="15"/>
                <w:szCs w:val="15"/>
                <w:color w:val="auto"/>
              </w:rPr>
              <w:t>(b)</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803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837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Operating Segments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$9,072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9"/>
              </w:rPr>
              <w:t>$ 7,079</w:t>
            </w:r>
          </w:p>
        </w:tc>
        <w:tc>
          <w:tcPr>
            <w:tcW w:w="360" w:type="dxa"/>
            <w:vAlign w:val="bottom"/>
            <w:shd w:val="clear" w:color="auto" w:fill="CCEEFF"/>
          </w:tcPr>
          <w:p>
            <w:pPr>
              <w:spacing w:after="0"/>
              <w:rPr>
                <w:sz w:val="17"/>
                <w:szCs w:val="17"/>
                <w:color w:val="auto"/>
              </w:rPr>
            </w:pPr>
          </w:p>
        </w:tc>
        <w:tc>
          <w:tcPr>
            <w:tcW w:w="840" w:type="dxa"/>
            <w:vAlign w:val="bottom"/>
            <w:tcBorders>
              <w:left w:val="single" w:sz="8" w:color="CCEEFF"/>
            </w:tcBorders>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$11,825</w:t>
            </w:r>
          </w:p>
        </w:tc>
        <w:tc>
          <w:tcPr>
            <w:tcW w:w="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$13,464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Corporate and Eliminations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(494)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(585)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(1,011)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EBIT-ADJUSTED </w:t>
            </w:r>
            <w:r>
              <w:rPr>
                <w:rFonts w:ascii="Arial" w:cs="Arial" w:eastAsia="Arial" w:hAnsi="Arial"/>
                <w:sz w:val="18"/>
                <w:szCs w:val="18"/>
                <w:color w:val="auto"/>
              </w:rPr>
              <w:t>(dollars in millions)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400" w:type="dxa"/>
            <w:vAlign w:val="bottom"/>
            <w:gridSpan w:val="2"/>
          </w:tcPr>
          <w:p>
            <w:pPr>
              <w:spacing w:after="0"/>
              <w:rPr>
                <w:sz w:val="20"/>
                <w:szCs w:val="20"/>
                <w:color w:val="auto"/>
              </w:rPr>
            </w:pPr>
            <w:r>
              <w:rPr>
                <w:rFonts w:ascii="Arial" w:cs="Arial" w:eastAsia="Arial" w:hAnsi="Arial"/>
                <w:sz w:val="18"/>
                <w:szCs w:val="18"/>
                <w:color w:val="auto"/>
              </w:rPr>
              <w:t>Net Income Attributable to Stockholders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$5,346</w:t>
            </w:r>
          </w:p>
        </w:tc>
        <w:tc>
          <w:tcPr>
            <w:tcW w:w="1060" w:type="dxa"/>
            <w:vAlign w:val="bottom"/>
            <w:gridSpan w:val="6"/>
          </w:tcPr>
          <w:p>
            <w:pPr>
              <w:jc w:val="right"/>
              <w:ind w:right="80"/>
              <w:spacing w:after="0"/>
              <w:rPr>
                <w:sz w:val="20"/>
                <w:szCs w:val="20"/>
                <w:color w:val="auto"/>
              </w:rPr>
            </w:pPr>
            <w:r>
              <w:rPr>
                <w:rFonts w:ascii="Arial" w:cs="Arial" w:eastAsia="Arial" w:hAnsi="Arial"/>
                <w:sz w:val="18"/>
                <w:szCs w:val="18"/>
                <w:color w:val="auto"/>
              </w:rPr>
              <w:t>$ 3,949</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rPr>
              <w:t>9,687</w:t>
            </w:r>
          </w:p>
        </w:tc>
        <w:tc>
          <w:tcPr>
            <w:tcW w:w="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2,127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(1,897)</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(Gain) Loss on Extinguishment of Debt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(449)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Expense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403</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443</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Automotive Interest Income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(211)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Ignition Switch Recall and Related Legal Matters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99"/>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400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i w:val="1"/>
                <w:iCs w:val="1"/>
                <w:color w:val="auto"/>
              </w:rPr>
              <w:t>1,785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300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Recall Campaign Catch-up Adjustment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i w:val="1"/>
                <w:iCs w:val="1"/>
                <w:color w:val="auto"/>
              </w:rPr>
              <w:t>874</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Thailand Asset Impairments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99"/>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158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i w:val="1"/>
                <w:iCs w:val="1"/>
                <w:color w:val="auto"/>
              </w:rPr>
              <w:t>297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Venezuela Currency Devaluation and Asset Impairment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162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i w:val="1"/>
                <w:iCs w:val="1"/>
                <w:color w:val="auto"/>
              </w:rPr>
              <w:t>419</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i w:val="1"/>
                <w:iCs w:val="1"/>
                <w:color w:val="auto"/>
              </w:rPr>
              <w:t>720</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Russia Exit Costs and Asset Impairment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99"/>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245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i w:val="1"/>
                <w:iCs w:val="1"/>
                <w:color w:val="auto"/>
              </w:rPr>
              <w:t>438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Goodwill Impairment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442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i w:val="1"/>
                <w:iCs w:val="1"/>
                <w:color w:val="auto"/>
              </w:rPr>
              <w:t>120</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Impairment Charges of Property and Other Assets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774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180"/>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Chevy Europe Exit Costs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636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w w:val="99"/>
              </w:rPr>
              <w:t>Gain on Sale of Equity Investment in Ally Financial</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i w:val="1"/>
                <w:iCs w:val="1"/>
                <w:color w:val="auto"/>
              </w:rPr>
              <w:t>(483)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180"/>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Korea Wage Litigation</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(577)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i w:val="1"/>
                <w:iCs w:val="1"/>
                <w:color w:val="auto"/>
              </w:rPr>
              <w:t>—</w:t>
            </w: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Other</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i w:val="1"/>
                <w:iCs w:val="1"/>
                <w:color w:val="auto"/>
              </w:rPr>
              <w:t>(149)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111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i w:val="1"/>
                <w:iCs w:val="1"/>
                <w:color w:val="auto"/>
              </w:rPr>
              <w:t>(41)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EBIT-adjusted</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$8,578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9"/>
              </w:rPr>
              <w:t>$ 6,494</w:t>
            </w:r>
          </w:p>
        </w:tc>
        <w:tc>
          <w:tcPr>
            <w:tcW w:w="360" w:type="dxa"/>
            <w:vAlign w:val="bottom"/>
            <w:shd w:val="clear" w:color="auto" w:fill="CCEEFF"/>
          </w:tcPr>
          <w:p>
            <w:pPr>
              <w:spacing w:after="0"/>
              <w:rPr>
                <w:sz w:val="17"/>
                <w:szCs w:val="17"/>
                <w:color w:val="auto"/>
              </w:rPr>
            </w:pPr>
          </w:p>
        </w:tc>
        <w:tc>
          <w:tcPr>
            <w:tcW w:w="840" w:type="dxa"/>
            <w:vAlign w:val="bottom"/>
            <w:tcBorders>
              <w:left w:val="single" w:sz="8" w:color="CCEEFF"/>
            </w:tcBorders>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$10,814</w:t>
            </w:r>
          </w:p>
        </w:tc>
        <w:tc>
          <w:tcPr>
            <w:tcW w:w="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$12,530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Costs Related to Recall</w:t>
            </w:r>
            <w:r>
              <w:rPr>
                <w:rFonts w:ascii="Arial" w:cs="Arial" w:eastAsia="Arial" w:hAnsi="Arial"/>
                <w:sz w:val="15"/>
                <w:szCs w:val="15"/>
                <w:color w:val="auto"/>
              </w:rPr>
              <w:t>(c)</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2,762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EBIT-adjusted (excluding costs related to recall)</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$8,578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9"/>
              </w:rPr>
              <w:t>$ 9,256</w:t>
            </w:r>
          </w:p>
        </w:tc>
        <w:tc>
          <w:tcPr>
            <w:tcW w:w="360" w:type="dxa"/>
            <w:vAlign w:val="bottom"/>
            <w:shd w:val="clear" w:color="auto" w:fill="CCEEFF"/>
          </w:tcPr>
          <w:p>
            <w:pPr>
              <w:spacing w:after="0"/>
              <w:rPr>
                <w:sz w:val="17"/>
                <w:szCs w:val="17"/>
                <w:color w:val="auto"/>
              </w:rPr>
            </w:pPr>
          </w:p>
        </w:tc>
        <w:tc>
          <w:tcPr>
            <w:tcW w:w="840" w:type="dxa"/>
            <w:vAlign w:val="bottom"/>
            <w:tcBorders>
              <w:left w:val="single" w:sz="8" w:color="CCEEFF"/>
            </w:tcBorders>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$10,814</w:t>
            </w:r>
          </w:p>
        </w:tc>
        <w:tc>
          <w:tcPr>
            <w:tcW w:w="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$12,530</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2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5"/>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940" w:type="dxa"/>
            <w:vAlign w:val="bottom"/>
            <w:gridSpan w:val="3"/>
          </w:tcPr>
          <w:p>
            <w:pPr>
              <w:spacing w:after="0" w:line="157" w:lineRule="exact"/>
              <w:rPr>
                <w:sz w:val="20"/>
                <w:szCs w:val="20"/>
                <w:color w:val="auto"/>
              </w:rPr>
            </w:pPr>
            <w:r>
              <w:rPr>
                <w:rFonts w:ascii="Arial" w:cs="Arial" w:eastAsia="Arial" w:hAnsi="Arial"/>
                <w:sz w:val="14"/>
                <w:szCs w:val="14"/>
                <w:color w:val="auto"/>
              </w:rPr>
              <w:t>Per Share</w:t>
            </w:r>
          </w:p>
        </w:tc>
        <w:tc>
          <w:tcPr>
            <w:tcW w:w="86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Amount</w:t>
            </w:r>
          </w:p>
        </w:tc>
        <w:tc>
          <w:tcPr>
            <w:tcW w:w="640" w:type="dxa"/>
            <w:vAlign w:val="bottom"/>
            <w:gridSpan w:val="3"/>
          </w:tcPr>
          <w:p>
            <w:pPr>
              <w:spacing w:after="0" w:line="157" w:lineRule="exact"/>
              <w:rPr>
                <w:sz w:val="20"/>
                <w:szCs w:val="20"/>
                <w:color w:val="auto"/>
              </w:rPr>
            </w:pPr>
            <w:r>
              <w:rPr>
                <w:rFonts w:ascii="Arial" w:cs="Arial" w:eastAsia="Arial" w:hAnsi="Arial"/>
                <w:sz w:val="14"/>
                <w:szCs w:val="14"/>
                <w:color w:val="auto"/>
                <w:w w:val="98"/>
              </w:rPr>
              <w:t>Per Share</w:t>
            </w:r>
          </w:p>
        </w:tc>
        <w:tc>
          <w:tcPr>
            <w:tcW w:w="340" w:type="dxa"/>
            <w:vAlign w:val="bottom"/>
          </w:tcPr>
          <w:p>
            <w:pPr>
              <w:spacing w:after="0"/>
              <w:rPr>
                <w:sz w:val="13"/>
                <w:szCs w:val="13"/>
                <w:color w:val="auto"/>
              </w:rPr>
            </w:pPr>
          </w:p>
        </w:tc>
        <w:tc>
          <w:tcPr>
            <w:tcW w:w="660" w:type="dxa"/>
            <w:vAlign w:val="bottom"/>
            <w:gridSpan w:val="4"/>
          </w:tcPr>
          <w:p>
            <w:pPr>
              <w:jc w:val="right"/>
              <w:ind w:right="160"/>
              <w:spacing w:after="0" w:line="157" w:lineRule="exact"/>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3"/>
                <w:szCs w:val="13"/>
                <w:color w:val="auto"/>
              </w:rPr>
            </w:pPr>
          </w:p>
        </w:tc>
        <w:tc>
          <w:tcPr>
            <w:tcW w:w="66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Per Share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4"/>
          </w:tcPr>
          <w:p>
            <w:pPr>
              <w:jc w:val="right"/>
              <w:ind w:right="40"/>
              <w:spacing w:after="0" w:line="157" w:lineRule="exact"/>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3"/>
                <w:szCs w:val="13"/>
                <w:color w:val="auto"/>
              </w:rPr>
            </w:pPr>
          </w:p>
        </w:tc>
        <w:tc>
          <w:tcPr>
            <w:tcW w:w="76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w w:val="98"/>
              </w:rPr>
              <w:t>Per Share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EPS-DILUTED-ADJUSTED</w:t>
            </w: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40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$3,988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$2,786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$ 9,686</w:t>
            </w:r>
          </w:p>
        </w:tc>
        <w:tc>
          <w:tcPr>
            <w:tcW w:w="4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5.91</w:t>
            </w:r>
          </w:p>
        </w:tc>
        <w:tc>
          <w:tcPr>
            <w:tcW w:w="120" w:type="dxa"/>
            <w:vAlign w:val="bottom"/>
          </w:tcPr>
          <w:p>
            <w:pPr>
              <w:spacing w:after="0"/>
              <w:rPr>
                <w:sz w:val="24"/>
                <w:szCs w:val="24"/>
                <w:color w:val="auto"/>
              </w:rPr>
            </w:pPr>
          </w:p>
        </w:tc>
        <w:tc>
          <w:tcPr>
            <w:tcW w:w="26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0"/>
              <w:spacing w:after="0"/>
              <w:rPr>
                <w:sz w:val="20"/>
                <w:szCs w:val="20"/>
                <w:color w:val="auto"/>
              </w:rPr>
            </w:pPr>
            <w:r>
              <w:rPr>
                <w:rFonts w:ascii="Arial" w:cs="Arial" w:eastAsia="Arial" w:hAnsi="Arial"/>
                <w:sz w:val="18"/>
                <w:szCs w:val="18"/>
                <w:color w:val="auto"/>
                <w:w w:val="97"/>
              </w:rPr>
              <w:t>9,427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Loss on Extinguishment of Debt</w:t>
            </w:r>
          </w:p>
        </w:tc>
        <w:tc>
          <w:tcPr>
            <w:tcW w:w="5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240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i w:val="1"/>
                <w:iCs w:val="1"/>
                <w:color w:val="auto"/>
              </w:rPr>
              <w:t>0.14</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i w:val="1"/>
                <w:iCs w:val="1"/>
                <w:color w:val="auto"/>
              </w:rPr>
              <w:t>(202)</w:t>
            </w:r>
          </w:p>
        </w:tc>
        <w:tc>
          <w:tcPr>
            <w:tcW w:w="160" w:type="dxa"/>
            <w:vAlign w:val="bottom"/>
          </w:tcPr>
          <w:p>
            <w:pPr>
              <w:spacing w:after="0"/>
              <w:rPr>
                <w:sz w:val="17"/>
                <w:szCs w:val="17"/>
                <w:color w:val="auto"/>
              </w:rPr>
            </w:pPr>
          </w:p>
        </w:tc>
        <w:tc>
          <w:tcPr>
            <w:tcW w:w="820" w:type="dxa"/>
            <w:vAlign w:val="bottom"/>
            <w:gridSpan w:val="3"/>
          </w:tcPr>
          <w:p>
            <w:pPr>
              <w:jc w:val="right"/>
              <w:ind w:right="190"/>
              <w:spacing w:after="0" w:line="202" w:lineRule="exact"/>
              <w:rPr>
                <w:sz w:val="20"/>
                <w:szCs w:val="20"/>
                <w:color w:val="auto"/>
              </w:rPr>
            </w:pPr>
            <w:r>
              <w:rPr>
                <w:rFonts w:ascii="Arial" w:cs="Arial" w:eastAsia="Arial" w:hAnsi="Arial"/>
                <w:sz w:val="18"/>
                <w:szCs w:val="18"/>
                <w:i w:val="1"/>
                <w:iCs w:val="1"/>
                <w:color w:val="auto"/>
              </w:rPr>
              <w:t>(0.12)</w:t>
            </w:r>
          </w:p>
        </w:tc>
        <w:tc>
          <w:tcPr>
            <w:tcW w:w="80" w:type="dxa"/>
            <w:vAlign w:val="bottom"/>
          </w:tcPr>
          <w:p>
            <w:pPr>
              <w:spacing w:after="0"/>
              <w:rPr>
                <w:sz w:val="17"/>
                <w:szCs w:val="17"/>
                <w:color w:val="auto"/>
              </w:rPr>
            </w:pPr>
          </w:p>
        </w:tc>
        <w:tc>
          <w:tcPr>
            <w:tcW w:w="580" w:type="dxa"/>
            <w:vAlign w:val="bottom"/>
            <w:gridSpan w:val="3"/>
          </w:tcPr>
          <w:p>
            <w:pPr>
              <w:jc w:val="right"/>
              <w:ind w:right="40"/>
              <w:spacing w:after="0" w:line="202" w:lineRule="exact"/>
              <w:rPr>
                <w:sz w:val="20"/>
                <w:szCs w:val="20"/>
                <w:color w:val="auto"/>
              </w:rPr>
            </w:pPr>
            <w:r>
              <w:rPr>
                <w:rFonts w:ascii="Arial" w:cs="Arial" w:eastAsia="Arial" w:hAnsi="Arial"/>
                <w:sz w:val="18"/>
                <w:szCs w:val="18"/>
                <w:i w:val="1"/>
                <w:iCs w:val="1"/>
                <w:color w:val="auto"/>
              </w:rPr>
              <w:t>(449)</w:t>
            </w:r>
          </w:p>
        </w:tc>
        <w:tc>
          <w:tcPr>
            <w:tcW w:w="960" w:type="dxa"/>
            <w:vAlign w:val="bottom"/>
            <w:gridSpan w:val="5"/>
          </w:tcPr>
          <w:p>
            <w:pPr>
              <w:jc w:val="right"/>
              <w:spacing w:after="0" w:line="202" w:lineRule="exact"/>
              <w:rPr>
                <w:sz w:val="20"/>
                <w:szCs w:val="20"/>
                <w:color w:val="auto"/>
              </w:rPr>
            </w:pPr>
            <w:r>
              <w:rPr>
                <w:rFonts w:ascii="Arial" w:cs="Arial" w:eastAsia="Arial" w:hAnsi="Arial"/>
                <w:sz w:val="18"/>
                <w:szCs w:val="18"/>
                <w:i w:val="1"/>
                <w:iCs w:val="1"/>
                <w:color w:val="auto"/>
              </w:rPr>
              <w:t>(0.27)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18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VEBA Preferred Share Buyback</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816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i w:val="1"/>
                <w:iCs w:val="1"/>
                <w:color w:val="auto"/>
              </w:rPr>
              <w:t>0.49</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i w:val="1"/>
                <w:iCs w:val="1"/>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i w:val="1"/>
                <w:iCs w:val="1"/>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i w:val="1"/>
                <w:iCs w:val="1"/>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ind w:left="340"/>
              <w:spacing w:after="0" w:line="184" w:lineRule="exact"/>
              <w:rPr>
                <w:sz w:val="20"/>
                <w:szCs w:val="20"/>
                <w:color w:val="auto"/>
              </w:rPr>
            </w:pPr>
            <w:r>
              <w:rPr>
                <w:rFonts w:ascii="Arial" w:cs="Arial" w:eastAsia="Arial" w:hAnsi="Arial"/>
                <w:sz w:val="18"/>
                <w:szCs w:val="18"/>
                <w:i w:val="1"/>
                <w:iCs w:val="1"/>
                <w:color w:val="auto"/>
              </w:rPr>
              <w:t>Redemption and Purchase of Series A</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tcPr>
          <w:p>
            <w:pPr>
              <w:ind w:left="520"/>
              <w:spacing w:after="0"/>
              <w:rPr>
                <w:sz w:val="20"/>
                <w:szCs w:val="20"/>
                <w:color w:val="auto"/>
              </w:rPr>
            </w:pPr>
            <w:r>
              <w:rPr>
                <w:rFonts w:ascii="Arial" w:cs="Arial" w:eastAsia="Arial" w:hAnsi="Arial"/>
                <w:sz w:val="18"/>
                <w:szCs w:val="18"/>
                <w:i w:val="1"/>
                <w:iCs w:val="1"/>
                <w:color w:val="auto"/>
              </w:rPr>
              <w:t>Preferred Stock</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794</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i w:val="1"/>
                <w:iCs w:val="1"/>
                <w:color w:val="auto"/>
              </w:rPr>
              <w:t>0.47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ind w:left="180"/>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i w:val="1"/>
                <w:iCs w:val="1"/>
                <w:color w:val="auto"/>
              </w:rPr>
              <w:t>All Other Adjustments</w:t>
            </w:r>
            <w:r>
              <w:rPr>
                <w:rFonts w:ascii="Arial" w:cs="Arial" w:eastAsia="Arial" w:hAnsi="Arial"/>
                <w:sz w:val="15"/>
                <w:szCs w:val="15"/>
                <w:i w:val="1"/>
                <w:iCs w:val="1"/>
                <w:color w:val="auto"/>
              </w:rPr>
              <w:t>(d)</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805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i w:val="1"/>
                <w:iCs w:val="1"/>
                <w:color w:val="auto"/>
              </w:rPr>
              <w:t>0.48</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i w:val="1"/>
                <w:iCs w:val="1"/>
                <w:color w:val="auto"/>
              </w:rPr>
              <w:t>2,327</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1.38</w:t>
            </w: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i w:val="1"/>
                <w:iCs w:val="1"/>
                <w:color w:val="auto"/>
              </w:rPr>
              <w:t>3,199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w w:val="96"/>
              </w:rPr>
              <w:t>1.95</w:t>
            </w: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i w:val="1"/>
                <w:iCs w:val="1"/>
                <w:color w:val="auto"/>
              </w:rPr>
              <w:t>300</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Total Adjustments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$2,919</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34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$ 2,750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Effect on Adjustments</w:t>
            </w:r>
            <w:r>
              <w:rPr>
                <w:rFonts w:ascii="Arial" w:cs="Arial" w:eastAsia="Arial" w:hAnsi="Arial"/>
                <w:sz w:val="15"/>
                <w:szCs w:val="15"/>
                <w:color w:val="auto"/>
              </w:rPr>
              <w:t>(e)</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(0.03)</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(201)</w:t>
            </w:r>
          </w:p>
        </w:tc>
        <w:tc>
          <w:tcPr>
            <w:tcW w:w="9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4"/>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Tax Adjustments</w:t>
            </w:r>
            <w:r>
              <w:rPr>
                <w:rFonts w:ascii="Arial" w:cs="Arial" w:eastAsia="Arial" w:hAnsi="Arial"/>
                <w:sz w:val="15"/>
                <w:szCs w:val="15"/>
                <w:color w:val="auto"/>
              </w:rPr>
              <w:t>(f)</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(0.28)</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(4,001)</w:t>
            </w:r>
          </w:p>
        </w:tc>
        <w:tc>
          <w:tcPr>
            <w:tcW w:w="9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EPS-diluted-adjusted</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w w:val="98"/>
              </w:rPr>
              <w:t>$5,334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3.18</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w w:val="98"/>
              </w:rPr>
              <w:t>$5,144</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3.05</w:t>
            </w:r>
          </w:p>
        </w:tc>
        <w:tc>
          <w:tcPr>
            <w:tcW w:w="10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$ 8,234</w:t>
            </w:r>
          </w:p>
        </w:tc>
        <w:tc>
          <w:tcPr>
            <w:tcW w:w="40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6"/>
              </w:rPr>
              <w:t>5.02</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7"/>
              </w:rPr>
              <w:t>9,613</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Impact of Costs Related to Recall</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EPS-diluted-adjusted (excluding costs related to</w:t>
            </w: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recall)</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$5,334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$5,144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$ 8,234</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5.02</w:t>
            </w:r>
          </w:p>
        </w:tc>
        <w:tc>
          <w:tcPr>
            <w:tcW w:w="120" w:type="dxa"/>
            <w:vAlign w:val="bottom"/>
            <w:tcBorders>
              <w:left w:val="single" w:sz="8" w:color="CCEEFF"/>
            </w:tcBorders>
            <w:shd w:val="clear" w:color="auto" w:fill="CCEEFF"/>
          </w:tcPr>
          <w:p>
            <w:pPr>
              <w:spacing w:after="0"/>
              <w:rPr>
                <w:sz w:val="19"/>
                <w:szCs w:val="19"/>
                <w:color w:val="auto"/>
              </w:rPr>
            </w:pPr>
          </w:p>
        </w:tc>
        <w:tc>
          <w:tcPr>
            <w:tcW w:w="2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7"/>
              </w:rPr>
              <w:t>9,613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ADJUSTED AUTOMOTIVE FREE CASH FLOW</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Cash Flow</w:t>
            </w:r>
            <w:r>
              <w:rPr>
                <w:rFonts w:ascii="Arial" w:cs="Arial" w:eastAsia="Arial" w:hAnsi="Arial"/>
                <w:sz w:val="15"/>
                <w:szCs w:val="15"/>
                <w:color w:val="auto"/>
              </w:rPr>
              <w:t>(g)</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$ 9,979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Capital Expenditures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(7,784)</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3"/>
          </w:tcPr>
          <w:p>
            <w:pPr>
              <w:spacing w:after="0" w:line="202" w:lineRule="exact"/>
              <w:rPr>
                <w:sz w:val="20"/>
                <w:szCs w:val="20"/>
                <w:color w:val="auto"/>
              </w:rPr>
            </w:pPr>
            <w:r>
              <w:rPr>
                <w:rFonts w:ascii="Arial" w:cs="Arial" w:eastAsia="Arial" w:hAnsi="Arial"/>
                <w:sz w:val="18"/>
                <w:szCs w:val="18"/>
                <w:color w:val="auto"/>
              </w:rPr>
              <w:t>Adjustments - Discretionary Pension Plan Contributions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Automotive Free Cash Flow</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$ 2,195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6,868</w:t>
            </w:r>
          </w:p>
        </w:tc>
        <w:tc>
          <w:tcPr>
            <w:tcW w:w="0" w:type="dxa"/>
            <w:vAlign w:val="bottom"/>
          </w:tcPr>
          <w:p>
            <w:pPr>
              <w:spacing w:after="0"/>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GM’s automotive operations’ interest income and interest expense are recorded centrally in Corporate.</w:t>
      </w:r>
    </w:p>
    <w:p>
      <w:pPr>
        <w:ind w:left="460" w:hanging="452"/>
        <w:spacing w:after="0" w:line="234"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GM Financial amounts represent earnings before income taxes adjusted.</w:t>
      </w:r>
    </w:p>
    <w:p>
      <w:pPr>
        <w:ind w:left="460" w:hanging="452"/>
        <w:spacing w:after="0" w:line="234"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GMNA major recall campaign expense was $2.4B.</w:t>
      </w:r>
    </w:p>
    <w:p>
      <w:pPr>
        <w:ind w:left="460" w:hanging="452"/>
        <w:spacing w:after="0" w:line="234"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Refer to the reconciliation of Net Income Attributable to Stockholders to EBIT-Adjusted.</w:t>
      </w:r>
    </w:p>
    <w:p>
      <w:pPr>
        <w:ind w:left="460" w:right="480" w:hanging="452"/>
        <w:spacing w:after="0" w:line="234"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tax effect of each adjustment is determined based on the tax laws and valuation allowance status of the jurisdiction in which the adjustment relates.</w:t>
      </w:r>
    </w:p>
    <w:p>
      <w:pPr>
        <w:spacing w:after="0" w:line="1" w:lineRule="exact"/>
        <w:rPr>
          <w:rFonts w:ascii="Arial" w:cs="Arial" w:eastAsia="Arial" w:hAnsi="Arial"/>
          <w:sz w:val="18"/>
          <w:szCs w:val="18"/>
          <w:b w:val="1"/>
          <w:bCs w:val="1"/>
          <w:color w:val="auto"/>
        </w:rPr>
      </w:pPr>
    </w:p>
    <w:p>
      <w:pPr>
        <w:ind w:left="460" w:right="20" w:hanging="452"/>
        <w:spacing w:after="0" w:line="234"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These adjustments primarily consist of the tax benefit related to the valuation allowance reversal in Europe. The adjustment was excluded because valuation allowance reversals are not considered part of our core operations.</w:t>
      </w:r>
    </w:p>
    <w:p>
      <w:pPr>
        <w:spacing w:after="0" w:line="1" w:lineRule="exact"/>
        <w:rPr>
          <w:rFonts w:ascii="Arial" w:cs="Arial" w:eastAsia="Arial" w:hAnsi="Arial"/>
          <w:sz w:val="18"/>
          <w:szCs w:val="18"/>
          <w:b w:val="1"/>
          <w:bCs w:val="1"/>
          <w:color w:val="auto"/>
        </w:rPr>
      </w:pPr>
    </w:p>
    <w:p>
      <w:pPr>
        <w:ind w:left="460" w:right="560" w:hanging="452"/>
        <w:spacing w:after="0" w:line="246"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Company adopted Accounting Standards Board Update 2016-18 “Statement of Cash Flows (Topic 230): Restricted Cash” on a retrospective basis during 2016.</w:t>
      </w:r>
    </w:p>
    <w:p>
      <w:pPr>
        <w:sectPr>
          <w:pgSz w:w="11900" w:h="16838" w:orient="portrait"/>
          <w:cols w:equalWidth="0" w:num="1">
            <w:col w:w="11420"/>
          </w:cols>
          <w:pgMar w:left="240" w:top="275" w:right="239" w:bottom="1440" w:gutter="0" w:footer="0" w:header="0"/>
        </w:sectPr>
      </w:pPr>
    </w:p>
    <w:p>
      <w:pPr>
        <w:spacing w:after="0" w:line="12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GENERAL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GM common stock, $0.01 par value, is listed on the New York Stock Exchange and the Toronto Stock Exchange.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Ticker symbol: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GM - New York Stock Exchange</w:t>
      </w:r>
    </w:p>
    <w:p>
      <w:pPr>
        <w:spacing w:after="0"/>
        <w:rPr>
          <w:sz w:val="20"/>
          <w:szCs w:val="20"/>
          <w:color w:val="auto"/>
        </w:rPr>
      </w:pPr>
      <w:r>
        <w:rPr>
          <w:rFonts w:ascii="Arial" w:cs="Arial" w:eastAsia="Arial" w:hAnsi="Arial"/>
          <w:sz w:val="18"/>
          <w:szCs w:val="18"/>
          <w:color w:val="auto"/>
        </w:rPr>
        <w:t>GMM - Toronto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2466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ASSISTANCE</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Shareholders of record requiring information about their accounts should contact:</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Computershare Trust Company, N.A.</w:t>
      </w:r>
    </w:p>
    <w:p>
      <w:pPr>
        <w:ind w:left="360" w:right="980"/>
        <w:spacing w:after="0" w:line="261" w:lineRule="auto"/>
        <w:rPr>
          <w:sz w:val="20"/>
          <w:szCs w:val="20"/>
          <w:color w:val="auto"/>
        </w:rPr>
      </w:pPr>
      <w:r>
        <w:rPr>
          <w:rFonts w:ascii="Arial" w:cs="Arial" w:eastAsia="Arial" w:hAnsi="Arial"/>
          <w:sz w:val="17"/>
          <w:szCs w:val="17"/>
          <w:color w:val="auto"/>
        </w:rPr>
        <w:t>General Motors Company P.O. Box 43078 Providence, Rl 02940-3078</w:t>
      </w:r>
    </w:p>
    <w:p>
      <w:pPr>
        <w:spacing w:after="0" w:line="78" w:lineRule="exact"/>
        <w:rPr>
          <w:sz w:val="20"/>
          <w:szCs w:val="20"/>
          <w:color w:val="auto"/>
        </w:rPr>
      </w:pPr>
    </w:p>
    <w:p>
      <w:pPr>
        <w:jc w:val="both"/>
        <w:ind w:left="360" w:right="620"/>
        <w:spacing w:after="0"/>
        <w:rPr>
          <w:sz w:val="20"/>
          <w:szCs w:val="20"/>
          <w:color w:val="auto"/>
        </w:rPr>
      </w:pPr>
      <w:r>
        <w:rPr>
          <w:rFonts w:ascii="Arial" w:cs="Arial" w:eastAsia="Arial" w:hAnsi="Arial"/>
          <w:sz w:val="18"/>
          <w:szCs w:val="18"/>
          <w:color w:val="auto"/>
        </w:rPr>
        <w:t>888-887-8945 or 781-575-3334 (from outside the United States, Canada or Puerto Rico)</w:t>
      </w:r>
    </w:p>
    <w:p>
      <w:pPr>
        <w:spacing w:after="0" w:line="203"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color w:val="auto"/>
        </w:rPr>
        <w:t>Computershare representatives are available Monday through Friday from</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9 a.m. to 6 p.m. ET. Automated phone service and the Computershare website at www.computershare.com/gm are always available.</w:t>
      </w:r>
    </w:p>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other information, shareholders may contact: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GM Shareholder Relations</w:t>
      </w:r>
    </w:p>
    <w:p>
      <w:pPr>
        <w:ind w:left="360"/>
        <w:spacing w:after="0" w:line="234" w:lineRule="auto"/>
        <w:rPr>
          <w:sz w:val="20"/>
          <w:szCs w:val="20"/>
          <w:color w:val="auto"/>
        </w:rPr>
      </w:pPr>
      <w:r>
        <w:rPr>
          <w:rFonts w:ascii="Arial" w:cs="Arial" w:eastAsia="Arial" w:hAnsi="Arial"/>
          <w:sz w:val="18"/>
          <w:szCs w:val="18"/>
          <w:color w:val="auto"/>
        </w:rPr>
        <w:t>General Motors Company</w:t>
      </w:r>
    </w:p>
    <w:p>
      <w:pPr>
        <w:spacing w:after="0" w:line="1" w:lineRule="exact"/>
        <w:rPr>
          <w:sz w:val="20"/>
          <w:szCs w:val="20"/>
          <w:color w:val="auto"/>
        </w:rPr>
      </w:pPr>
    </w:p>
    <w:p>
      <w:pPr>
        <w:ind w:left="360" w:right="1180"/>
        <w:spacing w:after="0" w:line="239" w:lineRule="auto"/>
        <w:rPr>
          <w:sz w:val="20"/>
          <w:szCs w:val="20"/>
          <w:color w:val="auto"/>
        </w:rPr>
      </w:pPr>
      <w:r>
        <w:rPr>
          <w:rFonts w:ascii="Arial" w:cs="Arial" w:eastAsia="Arial" w:hAnsi="Arial"/>
          <w:sz w:val="18"/>
          <w:szCs w:val="18"/>
          <w:color w:val="auto"/>
        </w:rPr>
        <w:t>Mail Code 482-C23-D24 300 Renaissance Center Detroit, Ml 48265 313-667-1500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2016 CHAIRMAN’S LETTER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ELECTRONIC DELIVERY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-821690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Shareholders may consent to receive their GM annual report and proxy materials via the internet. Shareholders of record may enroll at www.computershare.com/gm. If your GM stock is held through a broker, bank or other nominee, contact them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2246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560"/>
        <w:spacing w:after="0" w:line="302" w:lineRule="auto"/>
        <w:rPr>
          <w:sz w:val="20"/>
          <w:szCs w:val="20"/>
          <w:color w:val="auto"/>
        </w:rPr>
      </w:pPr>
      <w:r>
        <w:rPr>
          <w:rFonts w:ascii="Arial" w:cs="Arial" w:eastAsia="Arial" w:hAnsi="Arial"/>
          <w:sz w:val="17"/>
          <w:szCs w:val="17"/>
          <w:b w:val="1"/>
          <w:bCs w:val="1"/>
          <w:color w:val="auto"/>
        </w:rPr>
        <w:t>SECURITIES AND INSTITUTIONAL ANALYST QUERIES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GM Investor Relations</w:t>
      </w:r>
    </w:p>
    <w:p>
      <w:pPr>
        <w:spacing w:after="0" w:line="234" w:lineRule="auto"/>
        <w:rPr>
          <w:sz w:val="20"/>
          <w:szCs w:val="20"/>
          <w:color w:val="auto"/>
        </w:rPr>
      </w:pPr>
      <w:r>
        <w:rPr>
          <w:rFonts w:ascii="Arial" w:cs="Arial" w:eastAsia="Arial" w:hAnsi="Arial"/>
          <w:sz w:val="18"/>
          <w:szCs w:val="18"/>
          <w:color w:val="auto"/>
        </w:rPr>
        <w:t>General Motors Company</w:t>
      </w:r>
    </w:p>
    <w:p>
      <w:pPr>
        <w:spacing w:after="0" w:line="235" w:lineRule="auto"/>
        <w:rPr>
          <w:sz w:val="20"/>
          <w:szCs w:val="20"/>
          <w:color w:val="auto"/>
        </w:rPr>
      </w:pPr>
      <w:r>
        <w:rPr>
          <w:rFonts w:ascii="Arial" w:cs="Arial" w:eastAsia="Arial" w:hAnsi="Arial"/>
          <w:sz w:val="18"/>
          <w:szCs w:val="18"/>
          <w:color w:val="auto"/>
        </w:rPr>
        <w:t>Mail Code 482-C29-D36</w:t>
      </w:r>
    </w:p>
    <w:p>
      <w:pPr>
        <w:spacing w:after="0" w:line="235" w:lineRule="auto"/>
        <w:rPr>
          <w:sz w:val="20"/>
          <w:szCs w:val="20"/>
          <w:color w:val="auto"/>
        </w:rPr>
      </w:pPr>
      <w:r>
        <w:rPr>
          <w:rFonts w:ascii="Arial" w:cs="Arial" w:eastAsia="Arial" w:hAnsi="Arial"/>
          <w:sz w:val="18"/>
          <w:szCs w:val="18"/>
          <w:color w:val="auto"/>
        </w:rPr>
        <w:t>300 Renaissance Center</w:t>
      </w:r>
    </w:p>
    <w:p>
      <w:pPr>
        <w:spacing w:after="0" w:line="235" w:lineRule="auto"/>
        <w:rPr>
          <w:sz w:val="20"/>
          <w:szCs w:val="20"/>
          <w:color w:val="auto"/>
        </w:rPr>
      </w:pPr>
      <w:r>
        <w:rPr>
          <w:rFonts w:ascii="Arial" w:cs="Arial" w:eastAsia="Arial" w:hAnsi="Arial"/>
          <w:sz w:val="18"/>
          <w:szCs w:val="18"/>
          <w:color w:val="auto"/>
        </w:rPr>
        <w:t>Detroit, Ml 48265</w:t>
      </w:r>
    </w:p>
    <w:p>
      <w:pPr>
        <w:spacing w:after="0"/>
        <w:rPr>
          <w:sz w:val="20"/>
          <w:szCs w:val="20"/>
          <w:color w:val="auto"/>
        </w:rPr>
      </w:pPr>
      <w:r>
        <w:rPr>
          <w:rFonts w:ascii="Arial" w:cs="Arial" w:eastAsia="Arial" w:hAnsi="Arial"/>
          <w:sz w:val="18"/>
          <w:szCs w:val="18"/>
          <w:color w:val="auto"/>
        </w:rPr>
        <w:t>313-667-1669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22466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PUBLICATIONS</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GM’s Proxy Statement, Forms 10-K and 10-Q and GM’s Code of Conduct, </w:t>
      </w:r>
      <w:r>
        <w:rPr>
          <w:rFonts w:ascii="Arial" w:cs="Arial" w:eastAsia="Arial" w:hAnsi="Arial"/>
          <w:sz w:val="18"/>
          <w:szCs w:val="18"/>
          <w:i w:val="1"/>
          <w:iCs w:val="1"/>
          <w:color w:val="auto"/>
        </w:rPr>
        <w:t>Winning</w:t>
      </w:r>
      <w:r>
        <w:rPr>
          <w:rFonts w:ascii="Arial" w:cs="Arial" w:eastAsia="Arial" w:hAnsi="Arial"/>
          <w:sz w:val="18"/>
          <w:szCs w:val="18"/>
          <w:color w:val="auto"/>
        </w:rPr>
        <w:t xml:space="preserve"> </w:t>
      </w:r>
      <w:r>
        <w:rPr>
          <w:rFonts w:ascii="Arial" w:cs="Arial" w:eastAsia="Arial" w:hAnsi="Arial"/>
          <w:sz w:val="18"/>
          <w:szCs w:val="18"/>
          <w:i w:val="1"/>
          <w:iCs w:val="1"/>
          <w:color w:val="auto"/>
        </w:rPr>
        <w:t>With Integrity</w:t>
      </w:r>
      <w:r>
        <w:rPr>
          <w:rFonts w:ascii="Arial" w:cs="Arial" w:eastAsia="Arial" w:hAnsi="Arial"/>
          <w:sz w:val="18"/>
          <w:szCs w:val="18"/>
          <w:color w:val="auto"/>
        </w:rPr>
        <w:t>, are available online at</w:t>
      </w:r>
      <w:r>
        <w:rPr>
          <w:rFonts w:ascii="Arial" w:cs="Arial" w:eastAsia="Arial" w:hAnsi="Arial"/>
          <w:sz w:val="18"/>
          <w:szCs w:val="18"/>
          <w:i w:val="1"/>
          <w:iCs w:val="1"/>
          <w:color w:val="auto"/>
        </w:rPr>
        <w:t xml:space="preserve"> </w:t>
      </w:r>
      <w:r>
        <w:rPr>
          <w:rFonts w:ascii="Arial" w:cs="Arial" w:eastAsia="Arial" w:hAnsi="Arial"/>
          <w:sz w:val="18"/>
          <w:szCs w:val="18"/>
          <w:color w:val="auto"/>
        </w:rPr>
        <w:t>www.gm.com/investors.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Printed copies may be requested on our website or from GM Shareholder Relations at the address listed above (allow four to six weeks for delivery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2246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OFFICE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4" w:lineRule="auto"/>
        <w:rPr>
          <w:sz w:val="20"/>
          <w:szCs w:val="20"/>
          <w:color w:val="auto"/>
        </w:rPr>
      </w:pPr>
      <w:r>
        <w:rPr>
          <w:rFonts w:ascii="Arial" w:cs="Arial" w:eastAsia="Arial" w:hAnsi="Arial"/>
          <w:sz w:val="18"/>
          <w:szCs w:val="18"/>
          <w:color w:val="auto"/>
        </w:rPr>
        <w:t>300 Renaissance Center</w:t>
      </w:r>
    </w:p>
    <w:p>
      <w:pPr>
        <w:spacing w:after="0" w:line="235" w:lineRule="auto"/>
        <w:rPr>
          <w:sz w:val="20"/>
          <w:szCs w:val="20"/>
          <w:color w:val="auto"/>
        </w:rPr>
      </w:pPr>
      <w:r>
        <w:rPr>
          <w:rFonts w:ascii="Arial" w:cs="Arial" w:eastAsia="Arial" w:hAnsi="Arial"/>
          <w:sz w:val="18"/>
          <w:szCs w:val="18"/>
          <w:color w:val="auto"/>
        </w:rPr>
        <w:t>Detroit, Ml 48265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313-556-5000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VISIT GM ON THE INTERNET</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Learn more about General Motors vehicles and services on our website at www.gm.com.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223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GM CUSTOMER ASSISTANCE CENTERS</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Satisfaction with your entire ownership experience is important to us. To request product information or to receive assistance with your vehicle, please contact the appropriate brand via phone or Twitter:</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Buick: 800-521-7300</w:t>
      </w:r>
    </w:p>
    <w:p>
      <w:pPr>
        <w:ind w:left="340"/>
        <w:spacing w:after="0"/>
        <w:rPr>
          <w:sz w:val="20"/>
          <w:szCs w:val="20"/>
          <w:color w:val="auto"/>
        </w:rPr>
      </w:pPr>
      <w:r>
        <w:rPr>
          <w:rFonts w:ascii="Arial" w:cs="Arial" w:eastAsia="Arial" w:hAnsi="Arial"/>
          <w:sz w:val="18"/>
          <w:szCs w:val="18"/>
          <w:color w:val="auto"/>
        </w:rPr>
        <w:t>or @BuickCustCare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Cadillac: 800-458-8006</w:t>
      </w:r>
    </w:p>
    <w:p>
      <w:pPr>
        <w:ind w:left="340"/>
        <w:spacing w:after="0"/>
        <w:rPr>
          <w:sz w:val="20"/>
          <w:szCs w:val="20"/>
          <w:color w:val="auto"/>
        </w:rPr>
      </w:pPr>
      <w:r>
        <w:rPr>
          <w:rFonts w:ascii="Arial" w:cs="Arial" w:eastAsia="Arial" w:hAnsi="Arial"/>
          <w:sz w:val="18"/>
          <w:szCs w:val="18"/>
          <w:color w:val="auto"/>
        </w:rPr>
        <w:t>or @CadillacCustSvc</w:t>
      </w:r>
    </w:p>
    <w:p>
      <w:pPr>
        <w:spacing w:after="0" w:line="104" w:lineRule="exact"/>
        <w:rPr>
          <w:sz w:val="20"/>
          <w:szCs w:val="20"/>
          <w:color w:val="auto"/>
        </w:rPr>
      </w:pPr>
    </w:p>
    <w:p>
      <w:pPr>
        <w:ind w:left="340" w:right="1120"/>
        <w:spacing w:after="0" w:line="246" w:lineRule="auto"/>
        <w:rPr>
          <w:sz w:val="20"/>
          <w:szCs w:val="20"/>
          <w:color w:val="auto"/>
        </w:rPr>
      </w:pPr>
      <w:r>
        <w:rPr>
          <w:rFonts w:ascii="Arial" w:cs="Arial" w:eastAsia="Arial" w:hAnsi="Arial"/>
          <w:sz w:val="18"/>
          <w:szCs w:val="18"/>
          <w:color w:val="auto"/>
        </w:rPr>
        <w:t>Chevrolet: 800-222-1020 or @ChevyCustCare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GMC: 800-462-8782</w:t>
      </w:r>
    </w:p>
    <w:p>
      <w:pPr>
        <w:ind w:left="340"/>
        <w:spacing w:after="0"/>
        <w:rPr>
          <w:sz w:val="20"/>
          <w:szCs w:val="20"/>
          <w:color w:val="auto"/>
        </w:rPr>
      </w:pPr>
      <w:r>
        <w:rPr>
          <w:rFonts w:ascii="Arial" w:cs="Arial" w:eastAsia="Arial" w:hAnsi="Arial"/>
          <w:sz w:val="18"/>
          <w:szCs w:val="18"/>
          <w:color w:val="auto"/>
        </w:rPr>
        <w:t>or @GMCCustCare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GM of Canada: 800-263-3777</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GM Mobility: 800-323-9935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2238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380"/>
        <w:spacing w:after="0" w:line="378" w:lineRule="auto"/>
        <w:rPr>
          <w:sz w:val="20"/>
          <w:szCs w:val="20"/>
          <w:color w:val="auto"/>
        </w:rPr>
      </w:pPr>
      <w:r>
        <w:rPr>
          <w:rFonts w:ascii="Arial" w:cs="Arial" w:eastAsia="Arial" w:hAnsi="Arial"/>
          <w:sz w:val="18"/>
          <w:szCs w:val="18"/>
          <w:b w:val="1"/>
          <w:bCs w:val="1"/>
          <w:color w:val="auto"/>
        </w:rPr>
        <w:t xml:space="preserve">OTHER PRODUCTS AND SERVICES </w:t>
      </w:r>
      <w:r>
        <w:rPr>
          <w:rFonts w:ascii="Arial" w:cs="Arial" w:eastAsia="Arial" w:hAnsi="Arial"/>
          <w:sz w:val="18"/>
          <w:szCs w:val="18"/>
          <w:color w:val="auto"/>
        </w:rPr>
        <w:t>GM Card: 888-316-2390 OnStar: 888-667-8277</w:t>
      </w:r>
    </w:p>
    <w:p>
      <w:pPr>
        <w:sectPr>
          <w:pgSz w:w="11900" w:h="16838" w:orient="portrait"/>
          <w:cols w:equalWidth="0" w:num="3">
            <w:col w:w="3520" w:space="360"/>
            <w:col w:w="3500" w:space="400"/>
            <w:col w:w="3460"/>
          </w:cols>
          <w:pgMar w:left="240" w:top="265" w:right="4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2181225</wp:posOffset>
            </wp:positionH>
            <wp:positionV relativeFrom="page">
              <wp:posOffset>1769745</wp:posOffset>
            </wp:positionV>
            <wp:extent cx="320738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32073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300 RENAISSANCE CENTER | DETROIT, MI 48265 | WWW.GM.COM</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6"/>
      <w:numFmt w:val="bullet"/>
      <w:start w:val="1"/>
    </w:lvl>
  </w:abstractNum>
  <w:abstractNum w:abstractNumId="10">
    <w:nsid w:val="DED7263"/>
    <w:multiLevelType w:val="hybridMultilevel"/>
    <w:lvl w:ilvl="0">
      <w:lvlJc w:val="left"/>
      <w:lvlText w:val="\endash "/>
      <w:numFmt w:val="bullet"/>
      <w:start w:val="1"/>
    </w:lvl>
  </w:abstractNum>
  <w:abstractNum w:abstractNumId="11">
    <w:nsid w:val="7FDCC233"/>
    <w:multiLevelType w:val="hybridMultilevel"/>
    <w:lvl w:ilvl="0">
      <w:lvlJc w:val="left"/>
      <w:lvlText w:val="8"/>
      <w:numFmt w:val="bullet"/>
      <w:start w:val="1"/>
    </w:lvl>
  </w:abstractNum>
  <w:abstractNum w:abstractNumId="12">
    <w:nsid w:val="1BEFD79F"/>
    <w:multiLevelType w:val="hybridMultilevel"/>
    <w:lvl w:ilvl="0">
      <w:lvlJc w:val="left"/>
      <w:lvlText w:val="&amp;"/>
      <w:numFmt w:val="bullet"/>
      <w:start w:val="1"/>
    </w:lvl>
  </w:abstractNum>
  <w:abstractNum w:abstractNumId="13">
    <w:nsid w:val="41A7C4C9"/>
    <w:multiLevelType w:val="hybridMultilevel"/>
    <w:lvl w:ilvl="0">
      <w:lvlJc w:val="left"/>
      <w:lvlText w:val="&amp;"/>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6"/>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2019-12-07T11:29:23Z</dcterms:created>
  <dcterms:modified xsi:type="dcterms:W3CDTF">2019-12-07T11:29:23Z</dcterms:modified>
</cp:coreProperties>
</file>