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140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409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de Nysschen Carel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10/27/2017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91"/>
        <w:spacing w:after="0"/>
        <w:rPr>
          <w:sz w:val="20"/>
          <w:szCs w:val="20"/>
          <w:color w:val="auto"/>
        </w:rPr>
      </w:pPr>
      <w:r>
        <w:rPr>
          <w:rFonts w:ascii="Arial" w:cs="Arial" w:eastAsia="Arial" w:hAnsi="Arial"/>
          <w:sz w:val="17"/>
          <w:szCs w:val="17"/>
          <w:color w:val="0000FF"/>
        </w:rPr>
        <w:t>Executive Vice President</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3"/>
          </w:tcPr>
          <w:p>
            <w:pPr>
              <w:spacing w:after="0"/>
              <w:rPr>
                <w:sz w:val="11"/>
                <w:szCs w:val="11"/>
                <w:color w:val="auto"/>
              </w:rPr>
            </w:pPr>
          </w:p>
        </w:tc>
        <w:tc>
          <w:tcPr>
            <w:tcW w:w="2800" w:type="dxa"/>
            <w:vAlign w:val="bottom"/>
            <w:tcBorders>
              <w:bottom w:val="single" w:sz="8" w:color="2C2C2C"/>
            </w:tcBorders>
            <w:gridSpan w:val="4"/>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80" w:type="dxa"/>
            <w:vAlign w:val="bottom"/>
            <w:gridSpan w:val="3"/>
          </w:tcPr>
          <w:p>
            <w:pPr>
              <w:ind w:left="880"/>
              <w:spacing w:after="0"/>
              <w:rPr>
                <w:sz w:val="20"/>
                <w:szCs w:val="20"/>
                <w:color w:val="auto"/>
              </w:rPr>
            </w:pPr>
            <w:r>
              <w:rPr>
                <w:rFonts w:ascii="Arial" w:cs="Arial" w:eastAsia="Arial" w:hAnsi="Arial"/>
                <w:sz w:val="17"/>
                <w:szCs w:val="17"/>
                <w:color w:val="0000FF"/>
              </w:rPr>
              <w:t>10/27/2017</w:t>
            </w: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18"/>
              <w:spacing w:after="0"/>
              <w:rPr>
                <w:sz w:val="20"/>
                <w:szCs w:val="20"/>
                <w:color w:val="auto"/>
              </w:rPr>
            </w:pPr>
            <w:r>
              <w:rPr>
                <w:rFonts w:ascii="Arial" w:cs="Arial" w:eastAsia="Arial" w:hAnsi="Arial"/>
                <w:sz w:val="13"/>
                <w:szCs w:val="13"/>
                <w:color w:val="0000FF"/>
              </w:rPr>
              <w:t>M</w:t>
            </w:r>
          </w:p>
        </w:tc>
        <w:tc>
          <w:tcPr>
            <w:tcW w:w="760" w:type="dxa"/>
            <w:vAlign w:val="bottom"/>
          </w:tcPr>
          <w:p>
            <w:pPr>
              <w:ind w:left="200"/>
              <w:spacing w:after="0"/>
              <w:rPr>
                <w:sz w:val="20"/>
                <w:szCs w:val="20"/>
                <w:color w:val="auto"/>
              </w:rPr>
            </w:pPr>
            <w:r>
              <w:rPr>
                <w:rFonts w:ascii="Arial" w:cs="Arial" w:eastAsia="Arial" w:hAnsi="Arial"/>
                <w:sz w:val="17"/>
                <w:szCs w:val="17"/>
                <w:color w:val="0000FF"/>
                <w:w w:val="87"/>
              </w:rPr>
              <w:t>123,645</w:t>
            </w:r>
          </w:p>
        </w:tc>
        <w:tc>
          <w:tcPr>
            <w:tcW w:w="640" w:type="dxa"/>
            <w:vAlign w:val="bottom"/>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31.32</w:t>
            </w:r>
          </w:p>
        </w:tc>
        <w:tc>
          <w:tcPr>
            <w:tcW w:w="60" w:type="dxa"/>
            <w:vAlign w:val="bottom"/>
          </w:tcPr>
          <w:p>
            <w:pPr>
              <w:spacing w:after="0"/>
              <w:rPr>
                <w:sz w:val="22"/>
                <w:szCs w:val="22"/>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7"/>
                <w:szCs w:val="17"/>
                <w:color w:val="0000FF"/>
              </w:rPr>
              <w:t>150,484</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3"/>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10/27/2017</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8"/>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7"/>
              </w:rPr>
              <w:t>123,645</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44.59</w:t>
            </w:r>
            <w:r>
              <w:rPr>
                <w:rFonts w:ascii="Arial" w:cs="Arial" w:eastAsia="Arial" w:hAnsi="Arial"/>
                <w:sz w:val="22"/>
                <w:szCs w:val="22"/>
                <w:color w:val="008000"/>
                <w:w w:val="97"/>
                <w:vertAlign w:val="superscript"/>
              </w:rPr>
              <w:t>(1)</w:t>
            </w:r>
          </w:p>
        </w:tc>
        <w:tc>
          <w:tcPr>
            <w:tcW w:w="1300" w:type="dxa"/>
            <w:vAlign w:val="bottom"/>
            <w:tcBorders>
              <w:bottom w:val="single" w:sz="8" w:color="2C2C2C"/>
            </w:tcBorders>
            <w:gridSpan w:val="3"/>
          </w:tcPr>
          <w:p>
            <w:pPr>
              <w:jc w:val="right"/>
              <w:ind w:right="340"/>
              <w:spacing w:after="0"/>
              <w:rPr>
                <w:sz w:val="20"/>
                <w:szCs w:val="20"/>
                <w:color w:val="auto"/>
              </w:rPr>
            </w:pPr>
            <w:r>
              <w:rPr>
                <w:rFonts w:ascii="Arial" w:cs="Arial" w:eastAsia="Arial" w:hAnsi="Arial"/>
                <w:sz w:val="17"/>
                <w:szCs w:val="17"/>
                <w:color w:val="0000FF"/>
              </w:rPr>
              <w:t>26,839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right"/>
              <w:ind w:right="11"/>
              <w:spacing w:after="0"/>
              <w:rPr>
                <w:sz w:val="20"/>
                <w:szCs w:val="20"/>
                <w:color w:val="auto"/>
              </w:rPr>
            </w:pPr>
            <w:r>
              <w:rPr>
                <w:rFonts w:ascii="Arial" w:cs="Arial" w:eastAsia="Arial" w:hAnsi="Arial"/>
                <w:sz w:val="17"/>
                <w:szCs w:val="17"/>
                <w:color w:val="0000FF"/>
                <w:w w:val="87"/>
              </w:rPr>
              <w:t>123,645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1"/>
                <w:szCs w:val="11"/>
                <w:color w:val="auto"/>
              </w:rPr>
            </w:pPr>
          </w:p>
        </w:tc>
        <w:tc>
          <w:tcPr>
            <w:tcW w:w="1100" w:type="dxa"/>
            <w:vAlign w:val="bottom"/>
          </w:tcPr>
          <w:p>
            <w:pPr>
              <w:ind w:left="260"/>
              <w:spacing w:after="0" w:line="128" w:lineRule="exact"/>
              <w:rPr>
                <w:sz w:val="20"/>
                <w:szCs w:val="20"/>
                <w:color w:val="auto"/>
              </w:rPr>
            </w:pPr>
            <w:r>
              <w:rPr>
                <w:rFonts w:ascii="Arial" w:cs="Arial" w:eastAsia="Arial" w:hAnsi="Arial"/>
                <w:sz w:val="13"/>
                <w:szCs w:val="13"/>
                <w:color w:val="0000FF"/>
              </w:rPr>
              <w:t>10/27/2017</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Arial" w:cs="Arial" w:eastAsia="Arial" w:hAnsi="Arial"/>
                <w:sz w:val="13"/>
                <w:szCs w:val="13"/>
                <w:color w:val="0000FF"/>
              </w:rPr>
              <w:t>M</w:t>
            </w:r>
          </w:p>
        </w:tc>
        <w:tc>
          <w:tcPr>
            <w:tcW w:w="1000" w:type="dxa"/>
            <w:vAlign w:val="bottom"/>
          </w:tcPr>
          <w:p>
            <w:pPr>
              <w:ind w:left="460"/>
              <w:spacing w:after="0" w:line="128" w:lineRule="exact"/>
              <w:rPr>
                <w:sz w:val="20"/>
                <w:szCs w:val="20"/>
                <w:color w:val="auto"/>
              </w:rPr>
            </w:pPr>
            <w:r>
              <w:rPr>
                <w:rFonts w:ascii="Arial" w:cs="Arial" w:eastAsia="Arial" w:hAnsi="Arial"/>
                <w:sz w:val="13"/>
                <w:szCs w:val="13"/>
                <w:color w:val="0000FF"/>
              </w:rPr>
              <w:t>123,645</w:t>
            </w:r>
          </w:p>
        </w:tc>
        <w:tc>
          <w:tcPr>
            <w:tcW w:w="800" w:type="dxa"/>
            <w:vAlign w:val="bottom"/>
            <w:gridSpan w:val="2"/>
            <w:vMerge w:val="continue"/>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3"/>
                <w:szCs w:val="13"/>
                <w:color w:val="0000FF"/>
              </w:rPr>
              <w:t>07/28/2025</w:t>
            </w:r>
          </w:p>
        </w:tc>
        <w:tc>
          <w:tcPr>
            <w:tcW w:w="6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line="128" w:lineRule="exact"/>
              <w:rPr>
                <w:sz w:val="20"/>
                <w:szCs w:val="20"/>
                <w:color w:val="auto"/>
              </w:rPr>
            </w:pPr>
            <w:r>
              <w:rPr>
                <w:rFonts w:ascii="Arial" w:cs="Arial" w:eastAsia="Arial" w:hAnsi="Arial"/>
                <w:sz w:val="13"/>
                <w:szCs w:val="13"/>
                <w:color w:val="0000FF"/>
              </w:rPr>
              <w:t>185,466</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ind w:left="12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the weighted average selling price of the shares. The shares were sold in multiple transactions at prices from $44.55 to $44.62, inclusive. The Reporting Person undertakes to provide to the SEC, GM and any security holder, upon request, full information regarding the number of shares sold at each price point within the ranges set forth in this footnote.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on July 28, 2015 under the 2014 Long-Term Incentive Plan and vested on February 15, 2017.</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10/27/2017</w:t>
            </w: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Fact for Mr. de Nysschen</w:t>
            </w:r>
          </w:p>
        </w:tc>
        <w:tc>
          <w:tcPr>
            <w:tcW w:w="1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535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2019-12-04T01:56:59Z</dcterms:created>
  <dcterms:modified xsi:type="dcterms:W3CDTF">2019-12-04T01:56:59Z</dcterms:modified>
</cp:coreProperties>
</file>