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Hatto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11" w:lineRule="auto"/>
        <w:rPr>
          <w:sz w:val="20"/>
          <w:szCs w:val="20"/>
          <w:color w:val="auto"/>
        </w:rPr>
      </w:pPr>
      <w:r>
        <w:rPr>
          <w:rFonts w:ascii="Times New Roman" w:cs="Times New Roman" w:eastAsia="Times New Roman" w:hAnsi="Times New Roman"/>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Vice President &amp; CAO</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9"/>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48265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02/12/2023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15,423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36,930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02/12/2023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4,513</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41.35</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32,417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12, 2020, the Reporting Person received a grant of Performance Stock Units ("PSUs"). Under the grant, the PSUs could be earned based on the achievement of certain financial targets. The PSUs vested on February 12, 2023, and were awarded in shares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02/14/2023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Hatto</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21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2023-02-14T18:24:25Z</dcterms:created>
  <dcterms:modified xsi:type="dcterms:W3CDTF">2023-02-14T18:24:25Z</dcterms:modified>
</cp:coreProperties>
</file>