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33" w:lineRule="exact"/>
        <w:rPr>
          <w:sz w:val="24"/>
          <w:szCs w:val="24"/>
          <w:color w:val="auto"/>
        </w:rPr>
      </w:pPr>
    </w:p>
    <w:p>
      <w:pPr>
        <w:jc w:val="center"/>
        <w:ind w:left="380" w:right="108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RULES 13d-1(b), (c) AND (d) AND AMENDMENTS THERETO FILED PURSUANT TO RULE 13d-2(b)</w:t>
      </w:r>
    </w:p>
    <w:p>
      <w:pPr>
        <w:spacing w:after="0" w:line="123" w:lineRule="exact"/>
        <w:rPr>
          <w:sz w:val="24"/>
          <w:szCs w:val="24"/>
          <w:color w:val="auto"/>
        </w:rPr>
      </w:pPr>
    </w:p>
    <w:p>
      <w:pPr>
        <w:jc w:val="center"/>
        <w:ind w:right="-13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(Title of Class of Securities)</w:t>
      </w:r>
    </w:p>
    <w:p>
      <w:pPr>
        <w:spacing w:after="0" w:line="29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37045V100</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(CUSIP Number)</w:t>
      </w:r>
    </w:p>
    <w:p>
      <w:pPr>
        <w:spacing w:after="0" w:line="29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2011</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of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jc w:val="both"/>
        <w:ind w:right="8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(the “Exchange Act”) or otherwise subject to the liabilities of that section of the Exchange Act but shall be subject to all other provisions of the Exchange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314"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2"/>
        </w:trPr>
        <w:tc>
          <w:tcPr>
            <w:tcW w:w="1700" w:type="dxa"/>
            <w:vAlign w:val="bottom"/>
            <w:gridSpan w:val="6"/>
          </w:tcPr>
          <w:p>
            <w:pPr>
              <w:spacing w:after="0"/>
              <w:rPr>
                <w:sz w:val="20"/>
                <w:szCs w:val="20"/>
                <w:color w:val="auto"/>
              </w:rPr>
            </w:pPr>
            <w:r>
              <w:rPr>
                <w:rFonts w:ascii="Arial" w:cs="Arial" w:eastAsia="Arial" w:hAnsi="Arial"/>
                <w:sz w:val="18"/>
                <w:szCs w:val="18"/>
                <w:color w:val="auto"/>
                <w:w w:val="90"/>
              </w:rPr>
              <w:t>CUSIP No: 37045V100</w:t>
            </w:r>
          </w:p>
        </w:tc>
        <w:tc>
          <w:tcPr>
            <w:tcW w:w="9740" w:type="dxa"/>
            <w:vAlign w:val="bottom"/>
          </w:tcPr>
          <w:p>
            <w:pPr>
              <w:ind w:left="394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205"/>
        </w:trPr>
        <w:tc>
          <w:tcPr>
            <w:tcW w:w="3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0" w:type="dxa"/>
            <w:vAlign w:val="bottom"/>
            <w:tcBorders>
              <w:bottom w:val="single" w:sz="8" w:color="auto"/>
            </w:tcBorders>
            <w:gridSpan w:val="5"/>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0" w:type="dxa"/>
            <w:vAlign w:val="bottom"/>
            <w:tcBorders>
              <w:left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7"/>
                <w:szCs w:val="17"/>
                <w:color w:val="auto"/>
              </w:rPr>
            </w:pPr>
          </w:p>
        </w:tc>
        <w:tc>
          <w:tcPr>
            <w:tcW w:w="10800" w:type="dxa"/>
            <w:vAlign w:val="bottom"/>
            <w:tcBorders>
              <w:right w:val="single" w:sz="8" w:color="auto"/>
            </w:tcBorders>
            <w:gridSpan w:val="5"/>
          </w:tcPr>
          <w:p>
            <w:pPr>
              <w:ind w:left="100"/>
              <w:spacing w:after="0" w:line="201"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I.R.S. IDENTIFICATION NO. OF ABOVE PERSON (ENTITIES ONLY)</w:t>
            </w:r>
          </w:p>
        </w:tc>
        <w:tc>
          <w:tcPr>
            <w:tcW w:w="0" w:type="dxa"/>
            <w:vAlign w:val="bottom"/>
          </w:tcPr>
          <w:p>
            <w:pPr>
              <w:spacing w:after="0"/>
              <w:rPr>
                <w:sz w:val="1"/>
                <w:szCs w:val="1"/>
                <w:color w:val="auto"/>
              </w:rPr>
            </w:pPr>
          </w:p>
        </w:tc>
      </w:tr>
      <w:tr>
        <w:trPr>
          <w:trHeight w:val="459"/>
        </w:trPr>
        <w:tc>
          <w:tcPr>
            <w:tcW w:w="3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22"/>
                <w:szCs w:val="22"/>
                <w:color w:val="auto"/>
              </w:rPr>
              <w:t>Brock Capital Group LLC</w:t>
            </w:r>
          </w:p>
        </w:tc>
        <w:tc>
          <w:tcPr>
            <w:tcW w:w="0" w:type="dxa"/>
            <w:vAlign w:val="bottom"/>
          </w:tcPr>
          <w:p>
            <w:pPr>
              <w:spacing w:after="0"/>
              <w:rPr>
                <w:sz w:val="1"/>
                <w:szCs w:val="1"/>
                <w:color w:val="auto"/>
              </w:rPr>
            </w:pPr>
          </w:p>
        </w:tc>
      </w:tr>
      <w:tr>
        <w:trPr>
          <w:trHeight w:val="170"/>
        </w:trPr>
        <w:tc>
          <w:tcPr>
            <w:tcW w:w="36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10800" w:type="dxa"/>
            <w:vAlign w:val="bottom"/>
            <w:tcBorders>
              <w:right w:val="single" w:sz="8" w:color="auto"/>
            </w:tcBorders>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75"/>
        </w:trPr>
        <w:tc>
          <w:tcPr>
            <w:tcW w:w="360" w:type="dxa"/>
            <w:vAlign w:val="bottom"/>
            <w:tcBorders>
              <w:left w:val="single" w:sz="8" w:color="auto"/>
            </w:tcBorders>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7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040" w:type="dxa"/>
            <w:vAlign w:val="bottom"/>
            <w:tcBorders>
              <w:right w:val="single" w:sz="8" w:color="auto"/>
            </w:tcBorders>
            <w:gridSpan w:val="3"/>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60" w:type="dxa"/>
            <w:vAlign w:val="bottom"/>
            <w:tcBorders>
              <w:left w:val="single" w:sz="8" w:color="auto"/>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10800" w:type="dxa"/>
            <w:vAlign w:val="bottom"/>
            <w:tcBorders>
              <w:bottom w:val="single" w:sz="8" w:color="auto"/>
              <w:right w:val="single" w:sz="8" w:color="auto"/>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8"/>
                <w:szCs w:val="18"/>
                <w:color w:val="auto"/>
              </w:rPr>
            </w:pPr>
          </w:p>
        </w:tc>
        <w:tc>
          <w:tcPr>
            <w:tcW w:w="108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6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10800" w:type="dxa"/>
            <w:vAlign w:val="bottom"/>
            <w:tcBorders>
              <w:bottom w:val="single" w:sz="8" w:color="auto"/>
              <w:right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8"/>
                <w:szCs w:val="18"/>
                <w:color w:val="auto"/>
              </w:rPr>
            </w:pPr>
          </w:p>
        </w:tc>
        <w:tc>
          <w:tcPr>
            <w:tcW w:w="108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right w:val="single" w:sz="8" w:color="auto"/>
            </w:tcBorders>
            <w:gridSpan w:val="5"/>
          </w:tcPr>
          <w:p>
            <w:pPr>
              <w:ind w:left="3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18"/>
        </w:trPr>
        <w:tc>
          <w:tcPr>
            <w:tcW w:w="360" w:type="dxa"/>
            <w:vAlign w:val="bottom"/>
            <w:tcBorders>
              <w:lef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9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360" w:type="dxa"/>
            <w:vAlign w:val="bottom"/>
            <w:tcBorders>
              <w:left w:val="single" w:sz="8" w:color="auto"/>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NUMBER OF</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7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spacing w:after="0"/>
              <w:rPr>
                <w:sz w:val="19"/>
                <w:szCs w:val="19"/>
                <w:color w:val="auto"/>
              </w:rPr>
            </w:pPr>
          </w:p>
        </w:tc>
        <w:tc>
          <w:tcPr>
            <w:tcW w:w="1000" w:type="dxa"/>
            <w:vAlign w:val="bottom"/>
            <w:tcBorders>
              <w:right w:val="single" w:sz="8" w:color="auto"/>
            </w:tcBorders>
            <w:gridSpan w:val="2"/>
          </w:tcPr>
          <w:p>
            <w:pPr>
              <w:jc w:val="center"/>
              <w:ind w:right="145"/>
              <w:spacing w:after="0"/>
              <w:rPr>
                <w:sz w:val="20"/>
                <w:szCs w:val="20"/>
                <w:color w:val="auto"/>
              </w:rPr>
            </w:pPr>
            <w:r>
              <w:rPr>
                <w:rFonts w:ascii="Arial" w:cs="Arial" w:eastAsia="Arial" w:hAnsi="Arial"/>
                <w:sz w:val="18"/>
                <w:szCs w:val="18"/>
                <w:color w:val="auto"/>
                <w:w w:val="91"/>
              </w:rPr>
              <w:t>SHARES</w:t>
            </w:r>
          </w:p>
        </w:tc>
        <w:tc>
          <w:tcPr>
            <w:tcW w:w="40" w:type="dxa"/>
            <w:vAlign w:val="bottom"/>
          </w:tcPr>
          <w:p>
            <w:pPr>
              <w:spacing w:after="0"/>
              <w:rPr>
                <w:sz w:val="19"/>
                <w:szCs w:val="19"/>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9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BENEFICIALLY</w:t>
            </w:r>
          </w:p>
        </w:tc>
        <w:tc>
          <w:tcPr>
            <w:tcW w:w="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740" w:type="dxa"/>
            <w:vAlign w:val="bottom"/>
            <w:tcBorders>
              <w:right w:val="single" w:sz="8" w:color="auto"/>
            </w:tcBorders>
            <w:vMerge w:val="restart"/>
          </w:tcPr>
          <w:p>
            <w:pPr>
              <w:ind w:left="240"/>
              <w:spacing w:after="0"/>
              <w:rPr>
                <w:sz w:val="20"/>
                <w:szCs w:val="20"/>
                <w:color w:val="auto"/>
              </w:rPr>
            </w:pPr>
            <w:r>
              <w:rPr>
                <w:rFonts w:ascii="Arial" w:cs="Arial" w:eastAsia="Arial" w:hAnsi="Arial"/>
                <w:sz w:val="22"/>
                <w:szCs w:val="22"/>
                <w:color w:val="auto"/>
              </w:rPr>
              <w:t>205,605,545 (See Item 4(c)(ii))</w:t>
            </w:r>
          </w:p>
        </w:tc>
        <w:tc>
          <w:tcPr>
            <w:tcW w:w="0" w:type="dxa"/>
            <w:vAlign w:val="bottom"/>
          </w:tcPr>
          <w:p>
            <w:pPr>
              <w:spacing w:after="0"/>
              <w:rPr>
                <w:sz w:val="1"/>
                <w:szCs w:val="1"/>
                <w:color w:val="auto"/>
              </w:rPr>
            </w:pPr>
          </w:p>
        </w:tc>
      </w:tr>
      <w:tr>
        <w:trPr>
          <w:trHeight w:val="222"/>
        </w:trPr>
        <w:tc>
          <w:tcPr>
            <w:tcW w:w="1360" w:type="dxa"/>
            <w:vAlign w:val="bottom"/>
            <w:tcBorders>
              <w:left w:val="single" w:sz="8" w:color="auto"/>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OWNED BY</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7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Borders>
              <w:left w:val="single" w:sz="8" w:color="auto"/>
            </w:tcBorders>
          </w:tcPr>
          <w:p>
            <w:pPr>
              <w:spacing w:after="0"/>
              <w:rPr>
                <w:sz w:val="16"/>
                <w:szCs w:val="16"/>
                <w:color w:val="auto"/>
              </w:rPr>
            </w:pPr>
          </w:p>
        </w:tc>
        <w:tc>
          <w:tcPr>
            <w:tcW w:w="1000" w:type="dxa"/>
            <w:vAlign w:val="bottom"/>
            <w:tcBorders>
              <w:right w:val="single" w:sz="8" w:color="auto"/>
            </w:tcBorders>
            <w:gridSpan w:val="2"/>
          </w:tcPr>
          <w:p>
            <w:pPr>
              <w:jc w:val="center"/>
              <w:ind w:right="145"/>
              <w:spacing w:after="0" w:line="190" w:lineRule="exact"/>
              <w:rPr>
                <w:sz w:val="20"/>
                <w:szCs w:val="20"/>
                <w:color w:val="auto"/>
              </w:rPr>
            </w:pPr>
            <w:r>
              <w:rPr>
                <w:rFonts w:ascii="Arial" w:cs="Arial" w:eastAsia="Arial" w:hAnsi="Arial"/>
                <w:sz w:val="18"/>
                <w:szCs w:val="18"/>
                <w:color w:val="auto"/>
                <w:w w:val="95"/>
              </w:rPr>
              <w:t>EACH</w:t>
            </w:r>
          </w:p>
        </w:tc>
        <w:tc>
          <w:tcPr>
            <w:tcW w:w="40" w:type="dxa"/>
            <w:vAlign w:val="bottom"/>
          </w:tcPr>
          <w:p>
            <w:pPr>
              <w:spacing w:after="0"/>
              <w:rPr>
                <w:sz w:val="16"/>
                <w:szCs w:val="16"/>
                <w:color w:val="auto"/>
              </w:rPr>
            </w:pPr>
          </w:p>
        </w:tc>
        <w:tc>
          <w:tcPr>
            <w:tcW w:w="24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6"/>
                <w:szCs w:val="16"/>
                <w:color w:val="auto"/>
              </w:rPr>
            </w:pPr>
          </w:p>
        </w:tc>
        <w:tc>
          <w:tcPr>
            <w:tcW w:w="9740" w:type="dxa"/>
            <w:vAlign w:val="bottom"/>
            <w:tcBorders>
              <w:right w:val="single" w:sz="8" w:color="auto"/>
            </w:tcBorders>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740" w:type="dxa"/>
            <w:vAlign w:val="bottom"/>
            <w:tcBorders>
              <w:right w:val="single" w:sz="8" w:color="auto"/>
            </w:tcBorders>
            <w:vMerge w:val="restart"/>
          </w:tcPr>
          <w:p>
            <w:pPr>
              <w:ind w:left="2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gridSpan w:val="2"/>
          </w:tcPr>
          <w:p>
            <w:pPr>
              <w:jc w:val="center"/>
              <w:ind w:right="145"/>
              <w:spacing w:after="0"/>
              <w:rPr>
                <w:sz w:val="20"/>
                <w:szCs w:val="20"/>
                <w:color w:val="auto"/>
              </w:rPr>
            </w:pPr>
            <w:r>
              <w:rPr>
                <w:rFonts w:ascii="Arial" w:cs="Arial" w:eastAsia="Arial" w:hAnsi="Arial"/>
                <w:sz w:val="18"/>
                <w:szCs w:val="18"/>
                <w:color w:val="auto"/>
                <w:w w:val="89"/>
              </w:rPr>
              <w:t>PERSON</w:t>
            </w:r>
          </w:p>
        </w:tc>
        <w:tc>
          <w:tcPr>
            <w:tcW w:w="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7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tcBorders>
          </w:tcPr>
          <w:p>
            <w:pPr>
              <w:spacing w:after="0"/>
              <w:rPr>
                <w:sz w:val="4"/>
                <w:szCs w:val="4"/>
                <w:color w:val="auto"/>
              </w:rPr>
            </w:pPr>
          </w:p>
        </w:tc>
        <w:tc>
          <w:tcPr>
            <w:tcW w:w="1000" w:type="dxa"/>
            <w:vAlign w:val="bottom"/>
            <w:tcBorders>
              <w:right w:val="single" w:sz="8" w:color="auto"/>
            </w:tcBorders>
            <w:gridSpan w:val="2"/>
            <w:vMerge w:val="restart"/>
          </w:tcPr>
          <w:p>
            <w:pPr>
              <w:jc w:val="center"/>
              <w:ind w:right="145"/>
              <w:spacing w:after="0"/>
              <w:rPr>
                <w:sz w:val="20"/>
                <w:szCs w:val="20"/>
                <w:color w:val="auto"/>
              </w:rPr>
            </w:pPr>
            <w:r>
              <w:rPr>
                <w:rFonts w:ascii="Arial" w:cs="Arial" w:eastAsia="Arial" w:hAnsi="Arial"/>
                <w:sz w:val="18"/>
                <w:szCs w:val="18"/>
                <w:color w:val="auto"/>
              </w:rPr>
              <w:t>WITH:</w:t>
            </w: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9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7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22"/>
                <w:szCs w:val="22"/>
                <w:color w:val="auto"/>
              </w:rPr>
              <w:t>205,605,545 (See Item 4(c)(iv))</w:t>
            </w:r>
          </w:p>
        </w:tc>
        <w:tc>
          <w:tcPr>
            <w:tcW w:w="0" w:type="dxa"/>
            <w:vAlign w:val="bottom"/>
          </w:tcPr>
          <w:p>
            <w:pPr>
              <w:spacing w:after="0"/>
              <w:rPr>
                <w:sz w:val="1"/>
                <w:szCs w:val="1"/>
                <w:color w:val="auto"/>
              </w:rPr>
            </w:pPr>
          </w:p>
        </w:tc>
      </w:tr>
      <w:tr>
        <w:trPr>
          <w:trHeight w:val="21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18"/>
                <w:szCs w:val="18"/>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color w:val="auto"/>
                <w:w w:val="75"/>
              </w:rPr>
              <w:t>AGGREGATE</w:t>
            </w:r>
          </w:p>
        </w:tc>
        <w:tc>
          <w:tcPr>
            <w:tcW w:w="980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right w:val="single" w:sz="8" w:color="auto"/>
            </w:tcBorders>
            <w:gridSpan w:val="5"/>
          </w:tcPr>
          <w:p>
            <w:pPr>
              <w:ind w:left="320"/>
              <w:spacing w:after="0"/>
              <w:rPr>
                <w:sz w:val="20"/>
                <w:szCs w:val="20"/>
                <w:color w:val="auto"/>
              </w:rPr>
            </w:pPr>
            <w:r>
              <w:rPr>
                <w:rFonts w:ascii="Arial" w:cs="Arial" w:eastAsia="Arial" w:hAnsi="Arial"/>
                <w:sz w:val="22"/>
                <w:szCs w:val="22"/>
                <w:color w:val="auto"/>
              </w:rPr>
              <w:t>205,605,545 (See Item 4(a))</w:t>
            </w:r>
          </w:p>
        </w:tc>
        <w:tc>
          <w:tcPr>
            <w:tcW w:w="0" w:type="dxa"/>
            <w:vAlign w:val="bottom"/>
          </w:tcPr>
          <w:p>
            <w:pPr>
              <w:spacing w:after="0"/>
              <w:rPr>
                <w:sz w:val="1"/>
                <w:szCs w:val="1"/>
                <w:color w:val="auto"/>
              </w:rPr>
            </w:pPr>
          </w:p>
        </w:tc>
      </w:tr>
      <w:tr>
        <w:trPr>
          <w:trHeight w:val="27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3"/>
                <w:szCs w:val="23"/>
                <w:color w:val="auto"/>
              </w:rPr>
            </w:pPr>
          </w:p>
        </w:tc>
        <w:tc>
          <w:tcPr>
            <w:tcW w:w="10800" w:type="dxa"/>
            <w:vAlign w:val="bottom"/>
            <w:tcBorders>
              <w:right w:val="single" w:sz="8" w:color="auto"/>
            </w:tcBorders>
            <w:gridSpan w:val="5"/>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60" w:type="dxa"/>
            <w:vAlign w:val="bottom"/>
            <w:tcBorders>
              <w:left w:val="single" w:sz="8" w:color="auto"/>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gridSpan w:val="2"/>
          </w:tcPr>
          <w:p>
            <w:pPr>
              <w:spacing w:after="0"/>
              <w:rPr>
                <w:sz w:val="13"/>
                <w:szCs w:val="13"/>
                <w:color w:val="auto"/>
              </w:rPr>
            </w:pPr>
          </w:p>
        </w:tc>
        <w:tc>
          <w:tcPr>
            <w:tcW w:w="980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8"/>
                <w:szCs w:val="18"/>
                <w:color w:val="auto"/>
              </w:rPr>
            </w:pPr>
          </w:p>
        </w:tc>
        <w:tc>
          <w:tcPr>
            <w:tcW w:w="108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right w:val="single" w:sz="8" w:color="auto"/>
            </w:tcBorders>
            <w:gridSpan w:val="5"/>
          </w:tcPr>
          <w:p>
            <w:pPr>
              <w:ind w:left="320"/>
              <w:spacing w:after="0"/>
              <w:rPr>
                <w:sz w:val="20"/>
                <w:szCs w:val="20"/>
                <w:color w:val="auto"/>
              </w:rPr>
            </w:pPr>
            <w:r>
              <w:rPr>
                <w:rFonts w:ascii="Arial" w:cs="Arial" w:eastAsia="Arial" w:hAnsi="Arial"/>
                <w:sz w:val="22"/>
                <w:szCs w:val="22"/>
                <w:color w:val="auto"/>
              </w:rPr>
              <w:t>12.8% (See Item 4(b))</w:t>
            </w:r>
          </w:p>
        </w:tc>
        <w:tc>
          <w:tcPr>
            <w:tcW w:w="0" w:type="dxa"/>
            <w:vAlign w:val="bottom"/>
          </w:tcPr>
          <w:p>
            <w:pPr>
              <w:spacing w:after="0"/>
              <w:rPr>
                <w:sz w:val="1"/>
                <w:szCs w:val="1"/>
                <w:color w:val="auto"/>
              </w:rPr>
            </w:pPr>
          </w:p>
        </w:tc>
      </w:tr>
      <w:tr>
        <w:trPr>
          <w:trHeight w:val="21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18"/>
                <w:szCs w:val="18"/>
                <w:color w:val="auto"/>
              </w:rPr>
            </w:pPr>
          </w:p>
        </w:tc>
        <w:tc>
          <w:tcPr>
            <w:tcW w:w="108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OO</w:t>
            </w: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80"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tbl>
      <w:tblPr>
        <w:tblLayout w:type="fixed"/>
        <w:tblInd w:w="10" w:type="dxa"/>
        <w:tblCellMar>
          <w:top w:w="0" w:type="dxa"/>
          <w:left w:w="0" w:type="dxa"/>
          <w:bottom w:w="0" w:type="dxa"/>
          <w:right w:w="0" w:type="dxa"/>
        </w:tblCellMar>
      </w:tblPr>
      <w:tr>
        <w:trPr>
          <w:trHeight w:val="222"/>
        </w:trPr>
        <w:tc>
          <w:tcPr>
            <w:tcW w:w="1700" w:type="dxa"/>
            <w:vAlign w:val="bottom"/>
            <w:gridSpan w:val="6"/>
          </w:tcPr>
          <w:p>
            <w:pPr>
              <w:spacing w:after="0"/>
              <w:rPr>
                <w:sz w:val="20"/>
                <w:szCs w:val="20"/>
                <w:color w:val="auto"/>
              </w:rPr>
            </w:pPr>
            <w:r>
              <w:rPr>
                <w:rFonts w:ascii="Arial" w:cs="Arial" w:eastAsia="Arial" w:hAnsi="Arial"/>
                <w:sz w:val="18"/>
                <w:szCs w:val="18"/>
                <w:color w:val="auto"/>
                <w:w w:val="90"/>
              </w:rPr>
              <w:t>CUSIP No: 37045V100</w:t>
            </w:r>
          </w:p>
        </w:tc>
        <w:tc>
          <w:tcPr>
            <w:tcW w:w="9740" w:type="dxa"/>
            <w:vAlign w:val="bottom"/>
          </w:tcPr>
          <w:p>
            <w:pPr>
              <w:ind w:left="394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205"/>
        </w:trPr>
        <w:tc>
          <w:tcPr>
            <w:tcW w:w="3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0" w:type="dxa"/>
            <w:vAlign w:val="bottom"/>
            <w:tcBorders>
              <w:bottom w:val="single" w:sz="8" w:color="auto"/>
            </w:tcBorders>
            <w:gridSpan w:val="5"/>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0" w:type="dxa"/>
            <w:vAlign w:val="bottom"/>
            <w:tcBorders>
              <w:left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7"/>
                <w:szCs w:val="17"/>
                <w:color w:val="auto"/>
              </w:rPr>
            </w:pPr>
          </w:p>
        </w:tc>
        <w:tc>
          <w:tcPr>
            <w:tcW w:w="10800" w:type="dxa"/>
            <w:vAlign w:val="bottom"/>
            <w:tcBorders>
              <w:right w:val="single" w:sz="8" w:color="auto"/>
            </w:tcBorders>
            <w:gridSpan w:val="5"/>
          </w:tcPr>
          <w:p>
            <w:pPr>
              <w:ind w:left="100"/>
              <w:spacing w:after="0" w:line="201"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I.R.S. IDENTIFICATION NO. OF ABOVE PERSON (ENTITIES ONLY)</w:t>
            </w:r>
          </w:p>
        </w:tc>
        <w:tc>
          <w:tcPr>
            <w:tcW w:w="0" w:type="dxa"/>
            <w:vAlign w:val="bottom"/>
          </w:tcPr>
          <w:p>
            <w:pPr>
              <w:spacing w:after="0"/>
              <w:rPr>
                <w:sz w:val="1"/>
                <w:szCs w:val="1"/>
                <w:color w:val="auto"/>
              </w:rPr>
            </w:pPr>
          </w:p>
        </w:tc>
      </w:tr>
      <w:tr>
        <w:trPr>
          <w:trHeight w:val="459"/>
        </w:trPr>
        <w:tc>
          <w:tcPr>
            <w:tcW w:w="3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22"/>
                <w:szCs w:val="22"/>
                <w:color w:val="auto"/>
              </w:rPr>
              <w:t>Brock Fiduciary Services LLC</w:t>
            </w:r>
          </w:p>
        </w:tc>
        <w:tc>
          <w:tcPr>
            <w:tcW w:w="0" w:type="dxa"/>
            <w:vAlign w:val="bottom"/>
          </w:tcPr>
          <w:p>
            <w:pPr>
              <w:spacing w:after="0"/>
              <w:rPr>
                <w:sz w:val="1"/>
                <w:szCs w:val="1"/>
                <w:color w:val="auto"/>
              </w:rPr>
            </w:pPr>
          </w:p>
        </w:tc>
      </w:tr>
      <w:tr>
        <w:trPr>
          <w:trHeight w:val="170"/>
        </w:trPr>
        <w:tc>
          <w:tcPr>
            <w:tcW w:w="36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10800" w:type="dxa"/>
            <w:vAlign w:val="bottom"/>
            <w:tcBorders>
              <w:right w:val="single" w:sz="8" w:color="auto"/>
            </w:tcBorders>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75"/>
        </w:trPr>
        <w:tc>
          <w:tcPr>
            <w:tcW w:w="360" w:type="dxa"/>
            <w:vAlign w:val="bottom"/>
            <w:tcBorders>
              <w:left w:val="single" w:sz="8" w:color="auto"/>
            </w:tcBorders>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7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040" w:type="dxa"/>
            <w:vAlign w:val="bottom"/>
            <w:tcBorders>
              <w:right w:val="single" w:sz="8" w:color="auto"/>
            </w:tcBorders>
            <w:gridSpan w:val="3"/>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60" w:type="dxa"/>
            <w:vAlign w:val="bottom"/>
            <w:tcBorders>
              <w:left w:val="single" w:sz="8" w:color="auto"/>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10800" w:type="dxa"/>
            <w:vAlign w:val="bottom"/>
            <w:tcBorders>
              <w:bottom w:val="single" w:sz="8" w:color="auto"/>
              <w:right w:val="single" w:sz="8" w:color="auto"/>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8"/>
                <w:szCs w:val="18"/>
                <w:color w:val="auto"/>
              </w:rPr>
            </w:pPr>
          </w:p>
        </w:tc>
        <w:tc>
          <w:tcPr>
            <w:tcW w:w="108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6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10800" w:type="dxa"/>
            <w:vAlign w:val="bottom"/>
            <w:tcBorders>
              <w:bottom w:val="single" w:sz="8" w:color="auto"/>
              <w:right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8"/>
                <w:szCs w:val="18"/>
                <w:color w:val="auto"/>
              </w:rPr>
            </w:pPr>
          </w:p>
        </w:tc>
        <w:tc>
          <w:tcPr>
            <w:tcW w:w="108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right w:val="single" w:sz="8" w:color="auto"/>
            </w:tcBorders>
            <w:gridSpan w:val="5"/>
          </w:tcPr>
          <w:p>
            <w:pPr>
              <w:ind w:left="3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18"/>
        </w:trPr>
        <w:tc>
          <w:tcPr>
            <w:tcW w:w="360" w:type="dxa"/>
            <w:vAlign w:val="bottom"/>
            <w:tcBorders>
              <w:lef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9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360" w:type="dxa"/>
            <w:vAlign w:val="bottom"/>
            <w:tcBorders>
              <w:left w:val="single" w:sz="8" w:color="auto"/>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NUMBER OF</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7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spacing w:after="0"/>
              <w:rPr>
                <w:sz w:val="19"/>
                <w:szCs w:val="19"/>
                <w:color w:val="auto"/>
              </w:rPr>
            </w:pPr>
          </w:p>
        </w:tc>
        <w:tc>
          <w:tcPr>
            <w:tcW w:w="1000" w:type="dxa"/>
            <w:vAlign w:val="bottom"/>
            <w:tcBorders>
              <w:right w:val="single" w:sz="8" w:color="auto"/>
            </w:tcBorders>
            <w:gridSpan w:val="2"/>
          </w:tcPr>
          <w:p>
            <w:pPr>
              <w:jc w:val="center"/>
              <w:ind w:right="145"/>
              <w:spacing w:after="0"/>
              <w:rPr>
                <w:sz w:val="20"/>
                <w:szCs w:val="20"/>
                <w:color w:val="auto"/>
              </w:rPr>
            </w:pPr>
            <w:r>
              <w:rPr>
                <w:rFonts w:ascii="Arial" w:cs="Arial" w:eastAsia="Arial" w:hAnsi="Arial"/>
                <w:sz w:val="18"/>
                <w:szCs w:val="18"/>
                <w:color w:val="auto"/>
                <w:w w:val="91"/>
              </w:rPr>
              <w:t>SHARES</w:t>
            </w:r>
          </w:p>
        </w:tc>
        <w:tc>
          <w:tcPr>
            <w:tcW w:w="40" w:type="dxa"/>
            <w:vAlign w:val="bottom"/>
          </w:tcPr>
          <w:p>
            <w:pPr>
              <w:spacing w:after="0"/>
              <w:rPr>
                <w:sz w:val="19"/>
                <w:szCs w:val="19"/>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9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BENEFICIALLY</w:t>
            </w:r>
          </w:p>
        </w:tc>
        <w:tc>
          <w:tcPr>
            <w:tcW w:w="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740" w:type="dxa"/>
            <w:vAlign w:val="bottom"/>
            <w:tcBorders>
              <w:right w:val="single" w:sz="8" w:color="auto"/>
            </w:tcBorders>
            <w:vMerge w:val="restart"/>
          </w:tcPr>
          <w:p>
            <w:pPr>
              <w:ind w:left="240"/>
              <w:spacing w:after="0"/>
              <w:rPr>
                <w:sz w:val="20"/>
                <w:szCs w:val="20"/>
                <w:color w:val="auto"/>
              </w:rPr>
            </w:pPr>
            <w:r>
              <w:rPr>
                <w:rFonts w:ascii="Arial" w:cs="Arial" w:eastAsia="Arial" w:hAnsi="Arial"/>
                <w:sz w:val="22"/>
                <w:szCs w:val="22"/>
                <w:color w:val="auto"/>
              </w:rPr>
              <w:t>205,605,545 (See Item 4(c)(ii))</w:t>
            </w:r>
          </w:p>
        </w:tc>
        <w:tc>
          <w:tcPr>
            <w:tcW w:w="0" w:type="dxa"/>
            <w:vAlign w:val="bottom"/>
          </w:tcPr>
          <w:p>
            <w:pPr>
              <w:spacing w:after="0"/>
              <w:rPr>
                <w:sz w:val="1"/>
                <w:szCs w:val="1"/>
                <w:color w:val="auto"/>
              </w:rPr>
            </w:pPr>
          </w:p>
        </w:tc>
      </w:tr>
      <w:tr>
        <w:trPr>
          <w:trHeight w:val="222"/>
        </w:trPr>
        <w:tc>
          <w:tcPr>
            <w:tcW w:w="1360" w:type="dxa"/>
            <w:vAlign w:val="bottom"/>
            <w:tcBorders>
              <w:left w:val="single" w:sz="8" w:color="auto"/>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OWNED BY</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7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Borders>
              <w:left w:val="single" w:sz="8" w:color="auto"/>
            </w:tcBorders>
          </w:tcPr>
          <w:p>
            <w:pPr>
              <w:spacing w:after="0"/>
              <w:rPr>
                <w:sz w:val="16"/>
                <w:szCs w:val="16"/>
                <w:color w:val="auto"/>
              </w:rPr>
            </w:pPr>
          </w:p>
        </w:tc>
        <w:tc>
          <w:tcPr>
            <w:tcW w:w="1000" w:type="dxa"/>
            <w:vAlign w:val="bottom"/>
            <w:tcBorders>
              <w:right w:val="single" w:sz="8" w:color="auto"/>
            </w:tcBorders>
            <w:gridSpan w:val="2"/>
          </w:tcPr>
          <w:p>
            <w:pPr>
              <w:jc w:val="center"/>
              <w:ind w:right="145"/>
              <w:spacing w:after="0" w:line="190" w:lineRule="exact"/>
              <w:rPr>
                <w:sz w:val="20"/>
                <w:szCs w:val="20"/>
                <w:color w:val="auto"/>
              </w:rPr>
            </w:pPr>
            <w:r>
              <w:rPr>
                <w:rFonts w:ascii="Arial" w:cs="Arial" w:eastAsia="Arial" w:hAnsi="Arial"/>
                <w:sz w:val="18"/>
                <w:szCs w:val="18"/>
                <w:color w:val="auto"/>
                <w:w w:val="95"/>
              </w:rPr>
              <w:t>EACH</w:t>
            </w:r>
          </w:p>
        </w:tc>
        <w:tc>
          <w:tcPr>
            <w:tcW w:w="40" w:type="dxa"/>
            <w:vAlign w:val="bottom"/>
          </w:tcPr>
          <w:p>
            <w:pPr>
              <w:spacing w:after="0"/>
              <w:rPr>
                <w:sz w:val="16"/>
                <w:szCs w:val="16"/>
                <w:color w:val="auto"/>
              </w:rPr>
            </w:pPr>
          </w:p>
        </w:tc>
        <w:tc>
          <w:tcPr>
            <w:tcW w:w="24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6"/>
                <w:szCs w:val="16"/>
                <w:color w:val="auto"/>
              </w:rPr>
            </w:pPr>
          </w:p>
        </w:tc>
        <w:tc>
          <w:tcPr>
            <w:tcW w:w="9740" w:type="dxa"/>
            <w:vAlign w:val="bottom"/>
            <w:tcBorders>
              <w:right w:val="single" w:sz="8" w:color="auto"/>
            </w:tcBorders>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740" w:type="dxa"/>
            <w:vAlign w:val="bottom"/>
            <w:tcBorders>
              <w:right w:val="single" w:sz="8" w:color="auto"/>
            </w:tcBorders>
            <w:vMerge w:val="restart"/>
          </w:tcPr>
          <w:p>
            <w:pPr>
              <w:ind w:left="2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gridSpan w:val="2"/>
          </w:tcPr>
          <w:p>
            <w:pPr>
              <w:jc w:val="center"/>
              <w:ind w:right="145"/>
              <w:spacing w:after="0"/>
              <w:rPr>
                <w:sz w:val="20"/>
                <w:szCs w:val="20"/>
                <w:color w:val="auto"/>
              </w:rPr>
            </w:pPr>
            <w:r>
              <w:rPr>
                <w:rFonts w:ascii="Arial" w:cs="Arial" w:eastAsia="Arial" w:hAnsi="Arial"/>
                <w:sz w:val="18"/>
                <w:szCs w:val="18"/>
                <w:color w:val="auto"/>
                <w:w w:val="89"/>
              </w:rPr>
              <w:t>PERSON</w:t>
            </w:r>
          </w:p>
        </w:tc>
        <w:tc>
          <w:tcPr>
            <w:tcW w:w="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7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tcBorders>
          </w:tcPr>
          <w:p>
            <w:pPr>
              <w:spacing w:after="0"/>
              <w:rPr>
                <w:sz w:val="4"/>
                <w:szCs w:val="4"/>
                <w:color w:val="auto"/>
              </w:rPr>
            </w:pPr>
          </w:p>
        </w:tc>
        <w:tc>
          <w:tcPr>
            <w:tcW w:w="1000" w:type="dxa"/>
            <w:vAlign w:val="bottom"/>
            <w:tcBorders>
              <w:right w:val="single" w:sz="8" w:color="auto"/>
            </w:tcBorders>
            <w:gridSpan w:val="2"/>
            <w:vMerge w:val="restart"/>
          </w:tcPr>
          <w:p>
            <w:pPr>
              <w:jc w:val="center"/>
              <w:ind w:right="145"/>
              <w:spacing w:after="0"/>
              <w:rPr>
                <w:sz w:val="20"/>
                <w:szCs w:val="20"/>
                <w:color w:val="auto"/>
              </w:rPr>
            </w:pPr>
            <w:r>
              <w:rPr>
                <w:rFonts w:ascii="Arial" w:cs="Arial" w:eastAsia="Arial" w:hAnsi="Arial"/>
                <w:sz w:val="18"/>
                <w:szCs w:val="18"/>
                <w:color w:val="auto"/>
              </w:rPr>
              <w:t>WITH:</w:t>
            </w: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9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7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22"/>
                <w:szCs w:val="22"/>
                <w:color w:val="auto"/>
              </w:rPr>
              <w:t>205,605,545 (See Item 4(c)(iv))</w:t>
            </w:r>
          </w:p>
        </w:tc>
        <w:tc>
          <w:tcPr>
            <w:tcW w:w="0" w:type="dxa"/>
            <w:vAlign w:val="bottom"/>
          </w:tcPr>
          <w:p>
            <w:pPr>
              <w:spacing w:after="0"/>
              <w:rPr>
                <w:sz w:val="1"/>
                <w:szCs w:val="1"/>
                <w:color w:val="auto"/>
              </w:rPr>
            </w:pPr>
          </w:p>
        </w:tc>
      </w:tr>
      <w:tr>
        <w:trPr>
          <w:trHeight w:val="21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18"/>
                <w:szCs w:val="18"/>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color w:val="auto"/>
                <w:w w:val="75"/>
              </w:rPr>
              <w:t>AGGREGATE</w:t>
            </w:r>
          </w:p>
        </w:tc>
        <w:tc>
          <w:tcPr>
            <w:tcW w:w="980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right w:val="single" w:sz="8" w:color="auto"/>
            </w:tcBorders>
            <w:gridSpan w:val="5"/>
          </w:tcPr>
          <w:p>
            <w:pPr>
              <w:ind w:left="320"/>
              <w:spacing w:after="0"/>
              <w:rPr>
                <w:sz w:val="20"/>
                <w:szCs w:val="20"/>
                <w:color w:val="auto"/>
              </w:rPr>
            </w:pPr>
            <w:r>
              <w:rPr>
                <w:rFonts w:ascii="Arial" w:cs="Arial" w:eastAsia="Arial" w:hAnsi="Arial"/>
                <w:sz w:val="22"/>
                <w:szCs w:val="22"/>
                <w:color w:val="auto"/>
              </w:rPr>
              <w:t>205,605,545 (See Item 4(a))</w:t>
            </w:r>
          </w:p>
        </w:tc>
        <w:tc>
          <w:tcPr>
            <w:tcW w:w="0" w:type="dxa"/>
            <w:vAlign w:val="bottom"/>
          </w:tcPr>
          <w:p>
            <w:pPr>
              <w:spacing w:after="0"/>
              <w:rPr>
                <w:sz w:val="1"/>
                <w:szCs w:val="1"/>
                <w:color w:val="auto"/>
              </w:rPr>
            </w:pPr>
          </w:p>
        </w:tc>
      </w:tr>
      <w:tr>
        <w:trPr>
          <w:trHeight w:val="27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3"/>
                <w:szCs w:val="23"/>
                <w:color w:val="auto"/>
              </w:rPr>
            </w:pPr>
          </w:p>
        </w:tc>
        <w:tc>
          <w:tcPr>
            <w:tcW w:w="10800" w:type="dxa"/>
            <w:vAlign w:val="bottom"/>
            <w:tcBorders>
              <w:right w:val="single" w:sz="8" w:color="auto"/>
            </w:tcBorders>
            <w:gridSpan w:val="5"/>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60" w:type="dxa"/>
            <w:vAlign w:val="bottom"/>
            <w:tcBorders>
              <w:left w:val="single" w:sz="8" w:color="auto"/>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gridSpan w:val="2"/>
          </w:tcPr>
          <w:p>
            <w:pPr>
              <w:spacing w:after="0"/>
              <w:rPr>
                <w:sz w:val="13"/>
                <w:szCs w:val="13"/>
                <w:color w:val="auto"/>
              </w:rPr>
            </w:pPr>
          </w:p>
        </w:tc>
        <w:tc>
          <w:tcPr>
            <w:tcW w:w="980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8"/>
                <w:szCs w:val="18"/>
                <w:color w:val="auto"/>
              </w:rPr>
            </w:pPr>
          </w:p>
        </w:tc>
        <w:tc>
          <w:tcPr>
            <w:tcW w:w="108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right w:val="single" w:sz="8" w:color="auto"/>
            </w:tcBorders>
            <w:gridSpan w:val="5"/>
          </w:tcPr>
          <w:p>
            <w:pPr>
              <w:ind w:left="320"/>
              <w:spacing w:after="0"/>
              <w:rPr>
                <w:sz w:val="20"/>
                <w:szCs w:val="20"/>
                <w:color w:val="auto"/>
              </w:rPr>
            </w:pPr>
            <w:r>
              <w:rPr>
                <w:rFonts w:ascii="Arial" w:cs="Arial" w:eastAsia="Arial" w:hAnsi="Arial"/>
                <w:sz w:val="22"/>
                <w:szCs w:val="22"/>
                <w:color w:val="auto"/>
              </w:rPr>
              <w:t>12.8% (See Item 4(b))</w:t>
            </w:r>
          </w:p>
        </w:tc>
        <w:tc>
          <w:tcPr>
            <w:tcW w:w="0" w:type="dxa"/>
            <w:vAlign w:val="bottom"/>
          </w:tcPr>
          <w:p>
            <w:pPr>
              <w:spacing w:after="0"/>
              <w:rPr>
                <w:sz w:val="1"/>
                <w:szCs w:val="1"/>
                <w:color w:val="auto"/>
              </w:rPr>
            </w:pPr>
          </w:p>
        </w:tc>
      </w:tr>
      <w:tr>
        <w:trPr>
          <w:trHeight w:val="21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18"/>
                <w:szCs w:val="18"/>
                <w:color w:val="auto"/>
              </w:rPr>
            </w:pPr>
          </w:p>
        </w:tc>
        <w:tc>
          <w:tcPr>
            <w:tcW w:w="108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OO</w:t>
            </w: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80"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(a).</w:t>
            </w:r>
          </w:p>
        </w:tc>
        <w:tc>
          <w:tcPr>
            <w:tcW w:w="2500" w:type="dxa"/>
            <w:vAlign w:val="bottom"/>
          </w:tcPr>
          <w:p>
            <w:pPr>
              <w:ind w:left="220"/>
              <w:spacing w:after="0"/>
              <w:rPr>
                <w:sz w:val="20"/>
                <w:szCs w:val="20"/>
                <w:color w:val="auto"/>
              </w:rPr>
            </w:pPr>
            <w:r>
              <w:rPr>
                <w:rFonts w:ascii="Arial" w:cs="Arial" w:eastAsia="Arial" w:hAnsi="Arial"/>
                <w:sz w:val="18"/>
                <w:szCs w:val="18"/>
                <w:b w:val="1"/>
                <w:bCs w:val="1"/>
                <w:color w:val="auto"/>
              </w:rPr>
              <w:t>Name of Issuer:</w:t>
            </w:r>
          </w:p>
        </w:tc>
        <w:tc>
          <w:tcPr>
            <w:tcW w:w="6540" w:type="dxa"/>
            <w:vAlign w:val="bottom"/>
          </w:tcPr>
          <w:p>
            <w:pPr>
              <w:spacing w:after="0"/>
              <w:rPr>
                <w:sz w:val="19"/>
                <w:szCs w:val="19"/>
                <w:color w:val="auto"/>
              </w:rPr>
            </w:pP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40" w:type="dxa"/>
            <w:vAlign w:val="bottom"/>
            <w:gridSpan w:val="2"/>
          </w:tcPr>
          <w:p>
            <w:pPr>
              <w:ind w:left="640"/>
              <w:spacing w:after="0"/>
              <w:rPr>
                <w:sz w:val="20"/>
                <w:szCs w:val="20"/>
                <w:color w:val="auto"/>
              </w:rPr>
            </w:pPr>
            <w:r>
              <w:rPr>
                <w:rFonts w:ascii="Arial" w:cs="Arial" w:eastAsia="Arial" w:hAnsi="Arial"/>
                <w:sz w:val="18"/>
                <w:szCs w:val="18"/>
                <w:color w:val="auto"/>
              </w:rPr>
              <w:t>General Motors Company (the “Issuer”)</w:t>
            </w: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(b).</w:t>
            </w:r>
          </w:p>
        </w:tc>
        <w:tc>
          <w:tcPr>
            <w:tcW w:w="9040" w:type="dxa"/>
            <w:vAlign w:val="bottom"/>
            <w:gridSpan w:val="2"/>
          </w:tcPr>
          <w:p>
            <w:pPr>
              <w:ind w:left="22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40" w:type="dxa"/>
            <w:vAlign w:val="bottom"/>
            <w:gridSpan w:val="2"/>
          </w:tcPr>
          <w:p>
            <w:pPr>
              <w:ind w:left="640"/>
              <w:spacing w:after="0"/>
              <w:rPr>
                <w:sz w:val="20"/>
                <w:szCs w:val="20"/>
                <w:color w:val="auto"/>
              </w:rPr>
            </w:pPr>
            <w:r>
              <w:rPr>
                <w:rFonts w:ascii="Arial" w:cs="Arial" w:eastAsia="Arial" w:hAnsi="Arial"/>
                <w:sz w:val="18"/>
                <w:szCs w:val="18"/>
                <w:color w:val="auto"/>
              </w:rPr>
              <w:t>300 Renaissance Center, Detroit, Michigan, 48265</w:t>
            </w: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(a).</w:t>
            </w:r>
          </w:p>
        </w:tc>
        <w:tc>
          <w:tcPr>
            <w:tcW w:w="2500" w:type="dxa"/>
            <w:vAlign w:val="bottom"/>
          </w:tcPr>
          <w:p>
            <w:pPr>
              <w:ind w:left="220"/>
              <w:spacing w:after="0"/>
              <w:rPr>
                <w:sz w:val="20"/>
                <w:szCs w:val="20"/>
                <w:color w:val="auto"/>
              </w:rPr>
            </w:pPr>
            <w:r>
              <w:rPr>
                <w:rFonts w:ascii="Arial" w:cs="Arial" w:eastAsia="Arial" w:hAnsi="Arial"/>
                <w:sz w:val="18"/>
                <w:szCs w:val="18"/>
                <w:b w:val="1"/>
                <w:bCs w:val="1"/>
                <w:color w:val="auto"/>
              </w:rPr>
              <w:t>Name of Person Filing:</w:t>
            </w:r>
          </w:p>
        </w:tc>
        <w:tc>
          <w:tcPr>
            <w:tcW w:w="6540" w:type="dxa"/>
            <w:vAlign w:val="bottom"/>
          </w:tcPr>
          <w:p>
            <w:pPr>
              <w:spacing w:after="0"/>
              <w:rPr>
                <w:sz w:val="24"/>
                <w:szCs w:val="24"/>
                <w:color w:val="auto"/>
              </w:rPr>
            </w:pPr>
          </w:p>
        </w:tc>
      </w:tr>
      <w:tr>
        <w:trPr>
          <w:trHeight w:val="318"/>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40" w:type="dxa"/>
            <w:vAlign w:val="bottom"/>
            <w:gridSpan w:val="2"/>
          </w:tcPr>
          <w:p>
            <w:pPr>
              <w:ind w:left="640"/>
              <w:spacing w:after="0"/>
              <w:rPr>
                <w:sz w:val="20"/>
                <w:szCs w:val="20"/>
                <w:color w:val="auto"/>
              </w:rPr>
            </w:pPr>
            <w:r>
              <w:rPr>
                <w:rFonts w:ascii="Arial" w:cs="Arial" w:eastAsia="Arial" w:hAnsi="Arial"/>
                <w:sz w:val="18"/>
                <w:szCs w:val="18"/>
                <w:color w:val="auto"/>
                <w:w w:val="97"/>
              </w:rPr>
              <w:t>This statement is being filed on behalf of each of the following reporting persons (collectively, the “Reporting</w:t>
            </w:r>
          </w:p>
        </w:tc>
      </w:tr>
      <w:tr>
        <w:trPr>
          <w:trHeight w:val="222"/>
        </w:trPr>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500" w:type="dxa"/>
            <w:vAlign w:val="bottom"/>
          </w:tcPr>
          <w:p>
            <w:pPr>
              <w:ind w:left="220"/>
              <w:spacing w:after="0"/>
              <w:rPr>
                <w:sz w:val="20"/>
                <w:szCs w:val="20"/>
                <w:color w:val="auto"/>
              </w:rPr>
            </w:pPr>
            <w:r>
              <w:rPr>
                <w:rFonts w:ascii="Arial" w:cs="Arial" w:eastAsia="Arial" w:hAnsi="Arial"/>
                <w:sz w:val="18"/>
                <w:szCs w:val="18"/>
                <w:color w:val="auto"/>
              </w:rPr>
              <w:t>Persons”):</w:t>
            </w:r>
          </w:p>
        </w:tc>
        <w:tc>
          <w:tcPr>
            <w:tcW w:w="6540" w:type="dxa"/>
            <w:vAlign w:val="bottom"/>
          </w:tcPr>
          <w:p>
            <w:pPr>
              <w:spacing w:after="0"/>
              <w:rPr>
                <w:sz w:val="19"/>
                <w:szCs w:val="19"/>
                <w:color w:val="auto"/>
              </w:rPr>
            </w:pPr>
          </w:p>
        </w:tc>
      </w:tr>
      <w:tr>
        <w:trPr>
          <w:trHeight w:val="297"/>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40" w:type="dxa"/>
            <w:vAlign w:val="bottom"/>
            <w:gridSpan w:val="2"/>
          </w:tcPr>
          <w:p>
            <w:pPr>
              <w:ind w:left="640"/>
              <w:spacing w:after="0"/>
              <w:rPr>
                <w:sz w:val="20"/>
                <w:szCs w:val="20"/>
                <w:color w:val="auto"/>
              </w:rPr>
            </w:pPr>
            <w:r>
              <w:rPr>
                <w:rFonts w:ascii="Arial" w:cs="Arial" w:eastAsia="Arial" w:hAnsi="Arial"/>
                <w:sz w:val="18"/>
                <w:szCs w:val="18"/>
                <w:color w:val="auto"/>
              </w:rPr>
              <w:t>(i)   Brock Fiduciary Services LLC (“Brock Fiduciary”); and</w:t>
            </w:r>
          </w:p>
        </w:tc>
      </w:tr>
      <w:tr>
        <w:trPr>
          <w:trHeight w:val="297"/>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40" w:type="dxa"/>
            <w:vAlign w:val="bottom"/>
            <w:gridSpan w:val="2"/>
          </w:tcPr>
          <w:p>
            <w:pPr>
              <w:ind w:left="640"/>
              <w:spacing w:after="0"/>
              <w:rPr>
                <w:sz w:val="20"/>
                <w:szCs w:val="20"/>
                <w:color w:val="auto"/>
              </w:rPr>
            </w:pPr>
            <w:r>
              <w:rPr>
                <w:rFonts w:ascii="Arial" w:cs="Arial" w:eastAsia="Arial" w:hAnsi="Arial"/>
                <w:sz w:val="18"/>
                <w:szCs w:val="18"/>
                <w:color w:val="auto"/>
              </w:rPr>
              <w:t>(ii)  Brock Capital Group LLC (“Brock Capital”).</w:t>
            </w:r>
          </w:p>
        </w:tc>
      </w:tr>
      <w:tr>
        <w:trPr>
          <w:trHeight w:val="291"/>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40" w:type="dxa"/>
            <w:vAlign w:val="bottom"/>
            <w:gridSpan w:val="2"/>
          </w:tcPr>
          <w:p>
            <w:pPr>
              <w:ind w:left="640"/>
              <w:spacing w:after="0"/>
              <w:rPr>
                <w:sz w:val="20"/>
                <w:szCs w:val="20"/>
                <w:color w:val="auto"/>
              </w:rPr>
            </w:pPr>
            <w:r>
              <w:rPr>
                <w:rFonts w:ascii="Arial" w:cs="Arial" w:eastAsia="Arial" w:hAnsi="Arial"/>
                <w:sz w:val="18"/>
                <w:szCs w:val="18"/>
                <w:color w:val="auto"/>
                <w:w w:val="96"/>
              </w:rPr>
              <w:t>Brock Fiduciary is a wholly-owned subsidiary of Brock Capital. As more fully described under Item 4(a), Brock</w:t>
            </w:r>
          </w:p>
        </w:tc>
      </w:tr>
      <w:tr>
        <w:trPr>
          <w:trHeight w:val="216"/>
        </w:trPr>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40" w:type="dxa"/>
            <w:vAlign w:val="bottom"/>
            <w:gridSpan w:val="2"/>
          </w:tcPr>
          <w:p>
            <w:pPr>
              <w:ind w:left="220"/>
              <w:spacing w:after="0"/>
              <w:rPr>
                <w:sz w:val="20"/>
                <w:szCs w:val="20"/>
                <w:color w:val="auto"/>
              </w:rPr>
            </w:pPr>
            <w:r>
              <w:rPr>
                <w:rFonts w:ascii="Arial" w:cs="Arial" w:eastAsia="Arial" w:hAnsi="Arial"/>
                <w:sz w:val="18"/>
                <w:szCs w:val="18"/>
                <w:color w:val="auto"/>
                <w:w w:val="88"/>
              </w:rPr>
              <w:t>Fiduciary is an independent fiduciary and investment adviser to the UAW Retiree Medical Benefits Trust and may be deemed</w:t>
            </w:r>
          </w:p>
        </w:tc>
      </w:tr>
      <w:tr>
        <w:trPr>
          <w:trHeight w:val="222"/>
        </w:trPr>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40" w:type="dxa"/>
            <w:vAlign w:val="bottom"/>
            <w:gridSpan w:val="2"/>
          </w:tcPr>
          <w:p>
            <w:pPr>
              <w:ind w:left="220"/>
              <w:spacing w:after="0"/>
              <w:rPr>
                <w:sz w:val="20"/>
                <w:szCs w:val="20"/>
                <w:color w:val="auto"/>
              </w:rPr>
            </w:pPr>
            <w:r>
              <w:rPr>
                <w:rFonts w:ascii="Arial" w:cs="Arial" w:eastAsia="Arial" w:hAnsi="Arial"/>
                <w:sz w:val="18"/>
                <w:szCs w:val="18"/>
                <w:color w:val="auto"/>
              </w:rPr>
              <w:t>to be the beneficial owner of any securities of the Issuer owned by such trust.</w:t>
            </w:r>
          </w:p>
        </w:tc>
      </w:tr>
      <w:tr>
        <w:trPr>
          <w:trHeight w:val="338"/>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(b).</w:t>
            </w:r>
          </w:p>
        </w:tc>
        <w:tc>
          <w:tcPr>
            <w:tcW w:w="9040" w:type="dxa"/>
            <w:vAlign w:val="bottom"/>
            <w:gridSpan w:val="2"/>
          </w:tcPr>
          <w:p>
            <w:pPr>
              <w:ind w:left="22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318"/>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40" w:type="dxa"/>
            <w:vAlign w:val="bottom"/>
            <w:gridSpan w:val="2"/>
          </w:tcPr>
          <w:p>
            <w:pPr>
              <w:ind w:left="640"/>
              <w:spacing w:after="0"/>
              <w:rPr>
                <w:sz w:val="20"/>
                <w:szCs w:val="20"/>
                <w:color w:val="auto"/>
              </w:rPr>
            </w:pPr>
            <w:r>
              <w:rPr>
                <w:rFonts w:ascii="Arial" w:cs="Arial" w:eastAsia="Arial" w:hAnsi="Arial"/>
                <w:sz w:val="18"/>
                <w:szCs w:val="18"/>
                <w:color w:val="auto"/>
                <w:w w:val="92"/>
              </w:rPr>
              <w:t>The address of the principal business offices of each of the Reporting Persons is 622 Third Avenue, Floor 12, New</w:t>
            </w:r>
          </w:p>
        </w:tc>
      </w:tr>
      <w:tr>
        <w:trPr>
          <w:trHeight w:val="222"/>
        </w:trPr>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500" w:type="dxa"/>
            <w:vAlign w:val="bottom"/>
          </w:tcPr>
          <w:p>
            <w:pPr>
              <w:ind w:left="220"/>
              <w:spacing w:after="0"/>
              <w:rPr>
                <w:sz w:val="20"/>
                <w:szCs w:val="20"/>
                <w:color w:val="auto"/>
              </w:rPr>
            </w:pPr>
            <w:r>
              <w:rPr>
                <w:rFonts w:ascii="Arial" w:cs="Arial" w:eastAsia="Arial" w:hAnsi="Arial"/>
                <w:sz w:val="18"/>
                <w:szCs w:val="18"/>
                <w:color w:val="auto"/>
              </w:rPr>
              <w:t>York, New York 10017.</w:t>
            </w:r>
          </w:p>
        </w:tc>
        <w:tc>
          <w:tcPr>
            <w:tcW w:w="6540" w:type="dxa"/>
            <w:vAlign w:val="bottom"/>
          </w:tcPr>
          <w:p>
            <w:pPr>
              <w:spacing w:after="0"/>
              <w:rPr>
                <w:sz w:val="19"/>
                <w:szCs w:val="19"/>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(c).</w:t>
            </w:r>
          </w:p>
        </w:tc>
        <w:tc>
          <w:tcPr>
            <w:tcW w:w="2500" w:type="dxa"/>
            <w:vAlign w:val="bottom"/>
          </w:tcPr>
          <w:p>
            <w:pPr>
              <w:ind w:left="220"/>
              <w:spacing w:after="0"/>
              <w:rPr>
                <w:sz w:val="20"/>
                <w:szCs w:val="20"/>
                <w:color w:val="auto"/>
              </w:rPr>
            </w:pPr>
            <w:r>
              <w:rPr>
                <w:rFonts w:ascii="Arial" w:cs="Arial" w:eastAsia="Arial" w:hAnsi="Arial"/>
                <w:sz w:val="18"/>
                <w:szCs w:val="18"/>
                <w:b w:val="1"/>
                <w:bCs w:val="1"/>
                <w:color w:val="auto"/>
              </w:rPr>
              <w:t>Citizenship:</w:t>
            </w:r>
          </w:p>
        </w:tc>
        <w:tc>
          <w:tcPr>
            <w:tcW w:w="6540" w:type="dxa"/>
            <w:vAlign w:val="bottom"/>
          </w:tcPr>
          <w:p>
            <w:pPr>
              <w:spacing w:after="0"/>
              <w:rPr>
                <w:sz w:val="24"/>
                <w:szCs w:val="24"/>
                <w:color w:val="auto"/>
              </w:rPr>
            </w:pP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40" w:type="dxa"/>
            <w:vAlign w:val="bottom"/>
            <w:gridSpan w:val="2"/>
          </w:tcPr>
          <w:p>
            <w:pPr>
              <w:ind w:left="640"/>
              <w:spacing w:after="0"/>
              <w:rPr>
                <w:sz w:val="20"/>
                <w:szCs w:val="20"/>
                <w:color w:val="auto"/>
              </w:rPr>
            </w:pPr>
            <w:r>
              <w:rPr>
                <w:rFonts w:ascii="Arial" w:cs="Arial" w:eastAsia="Arial" w:hAnsi="Arial"/>
                <w:sz w:val="18"/>
                <w:szCs w:val="18"/>
                <w:color w:val="auto"/>
              </w:rPr>
              <w:t>(i)   Brock Fiduciary - Delaware</w:t>
            </w:r>
          </w:p>
        </w:tc>
      </w:tr>
      <w:tr>
        <w:trPr>
          <w:trHeight w:val="297"/>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40" w:type="dxa"/>
            <w:vAlign w:val="bottom"/>
            <w:gridSpan w:val="2"/>
          </w:tcPr>
          <w:p>
            <w:pPr>
              <w:ind w:left="640"/>
              <w:spacing w:after="0"/>
              <w:rPr>
                <w:sz w:val="20"/>
                <w:szCs w:val="20"/>
                <w:color w:val="auto"/>
              </w:rPr>
            </w:pPr>
            <w:r>
              <w:rPr>
                <w:rFonts w:ascii="Arial" w:cs="Arial" w:eastAsia="Arial" w:hAnsi="Arial"/>
                <w:sz w:val="18"/>
                <w:szCs w:val="18"/>
                <w:color w:val="auto"/>
              </w:rPr>
              <w:t>(ii)  Brock Capital - Delaware</w:t>
            </w:r>
          </w:p>
        </w:tc>
      </w:tr>
      <w:tr>
        <w:trPr>
          <w:trHeight w:val="338"/>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(d).</w:t>
            </w:r>
          </w:p>
        </w:tc>
        <w:tc>
          <w:tcPr>
            <w:tcW w:w="2500" w:type="dxa"/>
            <w:vAlign w:val="bottom"/>
          </w:tcPr>
          <w:p>
            <w:pPr>
              <w:ind w:left="220"/>
              <w:spacing w:after="0"/>
              <w:rPr>
                <w:sz w:val="20"/>
                <w:szCs w:val="20"/>
                <w:color w:val="auto"/>
              </w:rPr>
            </w:pPr>
            <w:r>
              <w:rPr>
                <w:rFonts w:ascii="Arial" w:cs="Arial" w:eastAsia="Arial" w:hAnsi="Arial"/>
                <w:sz w:val="18"/>
                <w:szCs w:val="18"/>
                <w:b w:val="1"/>
                <w:bCs w:val="1"/>
                <w:color w:val="auto"/>
                <w:w w:val="97"/>
              </w:rPr>
              <w:t>Title of Class of Securities:</w:t>
            </w:r>
          </w:p>
        </w:tc>
        <w:tc>
          <w:tcPr>
            <w:tcW w:w="6540" w:type="dxa"/>
            <w:vAlign w:val="bottom"/>
          </w:tcPr>
          <w:p>
            <w:pPr>
              <w:spacing w:after="0"/>
              <w:rPr>
                <w:sz w:val="24"/>
                <w:szCs w:val="24"/>
                <w:color w:val="auto"/>
              </w:rPr>
            </w:pP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40" w:type="dxa"/>
            <w:vAlign w:val="bottom"/>
            <w:gridSpan w:val="2"/>
          </w:tcPr>
          <w:p>
            <w:pPr>
              <w:ind w:left="640"/>
              <w:spacing w:after="0"/>
              <w:rPr>
                <w:sz w:val="20"/>
                <w:szCs w:val="20"/>
                <w:color w:val="auto"/>
              </w:rPr>
            </w:pPr>
            <w:r>
              <w:rPr>
                <w:rFonts w:ascii="Arial" w:cs="Arial" w:eastAsia="Arial" w:hAnsi="Arial"/>
                <w:sz w:val="18"/>
                <w:szCs w:val="18"/>
                <w:color w:val="auto"/>
              </w:rPr>
              <w:t>Common Stock (“Common Stock”)</w:t>
            </w: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(e).</w:t>
            </w:r>
          </w:p>
        </w:tc>
        <w:tc>
          <w:tcPr>
            <w:tcW w:w="2500" w:type="dxa"/>
            <w:vAlign w:val="bottom"/>
          </w:tcPr>
          <w:p>
            <w:pPr>
              <w:ind w:left="220"/>
              <w:spacing w:after="0"/>
              <w:rPr>
                <w:sz w:val="20"/>
                <w:szCs w:val="20"/>
                <w:color w:val="auto"/>
              </w:rPr>
            </w:pPr>
            <w:r>
              <w:rPr>
                <w:rFonts w:ascii="Arial" w:cs="Arial" w:eastAsia="Arial" w:hAnsi="Arial"/>
                <w:sz w:val="18"/>
                <w:szCs w:val="18"/>
                <w:b w:val="1"/>
                <w:bCs w:val="1"/>
                <w:color w:val="auto"/>
              </w:rPr>
              <w:t>CUSIP Number:</w:t>
            </w:r>
          </w:p>
        </w:tc>
        <w:tc>
          <w:tcPr>
            <w:tcW w:w="6540" w:type="dxa"/>
            <w:vAlign w:val="bottom"/>
          </w:tcPr>
          <w:p>
            <w:pPr>
              <w:spacing w:after="0"/>
              <w:rPr>
                <w:sz w:val="24"/>
                <w:szCs w:val="24"/>
                <w:color w:val="auto"/>
              </w:rPr>
            </w:pP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00" w:type="dxa"/>
            <w:vAlign w:val="bottom"/>
          </w:tcPr>
          <w:p>
            <w:pPr>
              <w:ind w:left="640"/>
              <w:spacing w:after="0"/>
              <w:rPr>
                <w:sz w:val="20"/>
                <w:szCs w:val="20"/>
                <w:color w:val="auto"/>
              </w:rPr>
            </w:pPr>
            <w:r>
              <w:rPr>
                <w:rFonts w:ascii="Arial" w:cs="Arial" w:eastAsia="Arial" w:hAnsi="Arial"/>
                <w:sz w:val="18"/>
                <w:szCs w:val="18"/>
                <w:color w:val="auto"/>
              </w:rPr>
              <w:t>37045V100</w:t>
            </w:r>
          </w:p>
        </w:tc>
        <w:tc>
          <w:tcPr>
            <w:tcW w:w="6540" w:type="dxa"/>
            <w:vAlign w:val="bottom"/>
          </w:tcPr>
          <w:p>
            <w:pPr>
              <w:spacing w:after="0"/>
              <w:rPr>
                <w:sz w:val="24"/>
                <w:szCs w:val="24"/>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620" w:type="dxa"/>
            <w:vAlign w:val="bottom"/>
            <w:gridSpan w:val="3"/>
          </w:tcPr>
          <w:p>
            <w:pPr>
              <w:ind w:left="100"/>
              <w:spacing w:after="0"/>
              <w:rPr>
                <w:sz w:val="20"/>
                <w:szCs w:val="20"/>
                <w:color w:val="auto"/>
              </w:rPr>
            </w:pPr>
            <w:r>
              <w:rPr>
                <w:rFonts w:ascii="Arial" w:cs="Arial" w:eastAsia="Arial" w:hAnsi="Arial"/>
                <w:sz w:val="18"/>
                <w:szCs w:val="18"/>
                <w:b w:val="1"/>
                <w:bCs w:val="1"/>
                <w:color w:val="auto"/>
              </w:rPr>
              <w:t>If this Statement is Filed Pursuant to Rule 13d-1(b), or 13d-2(b) or (c), Check Whether the Person Filing is a:</w:t>
            </w:r>
          </w:p>
        </w:tc>
      </w:tr>
      <w:tr>
        <w:trPr>
          <w:trHeight w:val="34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(a)</w:t>
            </w:r>
          </w:p>
        </w:tc>
        <w:tc>
          <w:tcPr>
            <w:tcW w:w="9040" w:type="dxa"/>
            <w:vAlign w:val="bottom"/>
            <w:gridSpan w:val="2"/>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(b)</w:t>
            </w:r>
          </w:p>
        </w:tc>
        <w:tc>
          <w:tcPr>
            <w:tcW w:w="9040" w:type="dxa"/>
            <w:vAlign w:val="bottom"/>
            <w:gridSpan w:val="2"/>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(c)</w:t>
            </w:r>
          </w:p>
        </w:tc>
        <w:tc>
          <w:tcPr>
            <w:tcW w:w="9040" w:type="dxa"/>
            <w:vAlign w:val="bottom"/>
            <w:gridSpan w:val="2"/>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(d)</w:t>
            </w:r>
          </w:p>
        </w:tc>
        <w:tc>
          <w:tcPr>
            <w:tcW w:w="9040" w:type="dxa"/>
            <w:vAlign w:val="bottom"/>
            <w:gridSpan w:val="2"/>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(e)</w:t>
            </w:r>
          </w:p>
        </w:tc>
        <w:tc>
          <w:tcPr>
            <w:tcW w:w="9040" w:type="dxa"/>
            <w:vAlign w:val="bottom"/>
            <w:gridSpan w:val="2"/>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adviser in accordance with Rule 13d-1(b)(1)(ii)(E) of the Exchange Act.</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(f)</w:t>
            </w:r>
          </w:p>
        </w:tc>
        <w:tc>
          <w:tcPr>
            <w:tcW w:w="9040" w:type="dxa"/>
            <w:vAlign w:val="bottom"/>
            <w:gridSpan w:val="2"/>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or endowment fund in accordance with Rule 13d-1(b)(1)(ii)(F) of the Exchange Act.</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(g)</w:t>
            </w:r>
          </w:p>
        </w:tc>
        <w:tc>
          <w:tcPr>
            <w:tcW w:w="9040" w:type="dxa"/>
            <w:vAlign w:val="bottom"/>
            <w:gridSpan w:val="2"/>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or control person in accordance with Rule 13d-1(b)(1)(ii)(G) of the Exchange Act.</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(h)</w:t>
            </w:r>
          </w:p>
        </w:tc>
        <w:tc>
          <w:tcPr>
            <w:tcW w:w="9040" w:type="dxa"/>
            <w:vAlign w:val="bottom"/>
            <w:gridSpan w:val="2"/>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w:t>
            </w:r>
          </w:p>
        </w:tc>
      </w:tr>
      <w:tr>
        <w:trPr>
          <w:trHeight w:val="298"/>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(i)</w:t>
            </w:r>
          </w:p>
        </w:tc>
        <w:tc>
          <w:tcPr>
            <w:tcW w:w="9040" w:type="dxa"/>
            <w:vAlign w:val="bottom"/>
            <w:gridSpan w:val="2"/>
          </w:tcPr>
          <w:p>
            <w:pPr>
              <w:ind w:left="220"/>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Church plan that is excluded from the definition of an investment company under Section 3(c)(14) of the Investment</w:t>
            </w:r>
          </w:p>
        </w:tc>
      </w:tr>
      <w:tr>
        <w:trPr>
          <w:trHeight w:val="222"/>
        </w:trPr>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500" w:type="dxa"/>
            <w:vAlign w:val="bottom"/>
          </w:tcPr>
          <w:p>
            <w:pPr>
              <w:ind w:left="500"/>
              <w:spacing w:after="0"/>
              <w:rPr>
                <w:sz w:val="20"/>
                <w:szCs w:val="20"/>
                <w:color w:val="auto"/>
              </w:rPr>
            </w:pPr>
            <w:r>
              <w:rPr>
                <w:rFonts w:ascii="Arial" w:cs="Arial" w:eastAsia="Arial" w:hAnsi="Arial"/>
                <w:sz w:val="18"/>
                <w:szCs w:val="18"/>
                <w:color w:val="auto"/>
              </w:rPr>
              <w:t>Company Act.</w:t>
            </w:r>
          </w:p>
        </w:tc>
        <w:tc>
          <w:tcPr>
            <w:tcW w:w="6540" w:type="dxa"/>
            <w:vAlign w:val="bottom"/>
          </w:tcPr>
          <w:p>
            <w:pPr>
              <w:spacing w:after="0"/>
              <w:rPr>
                <w:sz w:val="19"/>
                <w:szCs w:val="19"/>
                <w:color w:val="auto"/>
              </w:rPr>
            </w:pPr>
          </w:p>
        </w:tc>
      </w:tr>
      <w:tr>
        <w:trPr>
          <w:trHeight w:val="34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(j)</w:t>
            </w:r>
          </w:p>
        </w:tc>
        <w:tc>
          <w:tcPr>
            <w:tcW w:w="9040" w:type="dxa"/>
            <w:vAlign w:val="bottom"/>
            <w:gridSpan w:val="2"/>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Non-U.S. institution in accordance with Rule 13d-1(b)(1)(ii)(J) of the Exchange Act.</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(k)</w:t>
            </w:r>
          </w:p>
        </w:tc>
        <w:tc>
          <w:tcPr>
            <w:tcW w:w="9040" w:type="dxa"/>
            <w:vAlign w:val="bottom"/>
            <w:gridSpan w:val="2"/>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 of the Exchange Act.</w:t>
            </w:r>
          </w:p>
        </w:tc>
      </w:tr>
      <w:tr>
        <w:trPr>
          <w:trHeight w:val="298"/>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40" w:type="dxa"/>
            <w:vAlign w:val="bottom"/>
            <w:gridSpan w:val="2"/>
          </w:tcPr>
          <w:p>
            <w:pPr>
              <w:ind w:left="640"/>
              <w:spacing w:after="0"/>
              <w:rPr>
                <w:sz w:val="20"/>
                <w:szCs w:val="20"/>
                <w:color w:val="auto"/>
              </w:rPr>
            </w:pPr>
            <w:r>
              <w:rPr>
                <w:rFonts w:ascii="Arial" w:cs="Arial" w:eastAsia="Arial" w:hAnsi="Arial"/>
                <w:sz w:val="18"/>
                <w:szCs w:val="18"/>
                <w:color w:val="auto"/>
                <w:w w:val="90"/>
              </w:rPr>
              <w:t>If filing as a non-U.S. institution in accordance with Rule 13d-1(b)(1)(ii)(J) of the Exchange Act, please specify type of</w:t>
            </w:r>
          </w:p>
        </w:tc>
      </w:tr>
      <w:tr>
        <w:trPr>
          <w:trHeight w:val="222"/>
        </w:trPr>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500" w:type="dxa"/>
            <w:vAlign w:val="bottom"/>
          </w:tcPr>
          <w:p>
            <w:pPr>
              <w:ind w:left="220"/>
              <w:spacing w:after="0"/>
              <w:rPr>
                <w:sz w:val="20"/>
                <w:szCs w:val="20"/>
                <w:color w:val="auto"/>
              </w:rPr>
            </w:pPr>
            <w:r>
              <w:rPr>
                <w:rFonts w:ascii="Arial" w:cs="Arial" w:eastAsia="Arial" w:hAnsi="Arial"/>
                <w:sz w:val="18"/>
                <w:szCs w:val="18"/>
                <w:color w:val="auto"/>
              </w:rPr>
              <w:t>institution:</w:t>
            </w:r>
          </w:p>
        </w:tc>
        <w:tc>
          <w:tcPr>
            <w:tcW w:w="6540" w:type="dxa"/>
            <w:vAlign w:val="bottom"/>
          </w:tcPr>
          <w:p>
            <w:pPr>
              <w:jc w:val="right"/>
              <w:ind w:right="6132"/>
              <w:spacing w:after="0"/>
              <w:rPr>
                <w:sz w:val="20"/>
                <w:szCs w:val="20"/>
                <w:color w:val="auto"/>
              </w:rPr>
            </w:pPr>
            <w:r>
              <w:rPr>
                <w:rFonts w:ascii="Arial" w:cs="Arial" w:eastAsia="Arial" w:hAnsi="Arial"/>
                <w:sz w:val="18"/>
                <w:szCs w:val="18"/>
                <w:color w:val="auto"/>
              </w:rPr>
              <w:t>.</w:t>
            </w:r>
          </w:p>
        </w:tc>
      </w:tr>
    </w:tbl>
    <w:p>
      <w:pPr>
        <w:jc w:val="right"/>
        <w:ind w:right="6132"/>
        <w:spacing w:after="0"/>
        <w:rPr>
          <w:sz w:val="20"/>
          <w:szCs w:val="20"/>
          <w:color w:val="auto"/>
        </w:rPr>
        <w:sectPr>
          <w:pgSz w:w="11900" w:h="16838" w:orient="portrait"/>
          <w:cols w:equalWidth="0" w:num="1">
            <w:col w:w="10240"/>
          </w:cols>
          <w:pgMar w:left="240" w:top="274" w:right="1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The Reporting Persons may be deemed to beneficially own 205,605,545 shares of Common Stock.</w:t>
      </w:r>
    </w:p>
    <w:p>
      <w:pPr>
        <w:spacing w:after="0" w:line="90" w:lineRule="exact"/>
        <w:rPr>
          <w:sz w:val="20"/>
          <w:szCs w:val="20"/>
          <w:color w:val="auto"/>
        </w:rPr>
      </w:pPr>
    </w:p>
    <w:p>
      <w:pPr>
        <w:ind w:left="1020" w:right="259" w:firstLine="432"/>
        <w:spacing w:after="0" w:line="255" w:lineRule="auto"/>
        <w:rPr>
          <w:sz w:val="20"/>
          <w:szCs w:val="20"/>
          <w:color w:val="auto"/>
        </w:rPr>
      </w:pPr>
      <w:r>
        <w:rPr>
          <w:rFonts w:ascii="Arial" w:cs="Arial" w:eastAsia="Arial" w:hAnsi="Arial"/>
          <w:sz w:val="18"/>
          <w:szCs w:val="18"/>
          <w:color w:val="auto"/>
        </w:rPr>
        <w:t>Brock Fiduciary is an independent fiduciary and investment adviser to the UAW Retiree Medical Benefits Trust (“UAW RMBT”). Pursuant to an Independent Fiduciary Agreement, dated August 8, 2011, between Brock Fiduciary and UAW RMBT, Brock Fiduciary has been given the power to vote and dispose of any securities of the Issuer held by UAW RMBT, including any Common Stock. As a result, the Reporting Persons may be deemed to beneficially own the Common Stock held by UAW RMBT.</w:t>
      </w:r>
    </w:p>
    <w:p>
      <w:pPr>
        <w:spacing w:after="0" w:line="62" w:lineRule="exact"/>
        <w:rPr>
          <w:sz w:val="20"/>
          <w:szCs w:val="20"/>
          <w:color w:val="auto"/>
        </w:rPr>
      </w:pPr>
    </w:p>
    <w:p>
      <w:pPr>
        <w:jc w:val="both"/>
        <w:ind w:left="1020" w:right="199" w:firstLine="432"/>
        <w:spacing w:after="0" w:line="259" w:lineRule="auto"/>
        <w:rPr>
          <w:sz w:val="20"/>
          <w:szCs w:val="20"/>
          <w:color w:val="auto"/>
        </w:rPr>
      </w:pPr>
      <w:r>
        <w:rPr>
          <w:rFonts w:ascii="Arial" w:cs="Arial" w:eastAsia="Arial" w:hAnsi="Arial"/>
          <w:sz w:val="18"/>
          <w:szCs w:val="18"/>
          <w:color w:val="auto"/>
        </w:rPr>
        <w:t>Based on information provided to the Reporting Persons by UAW RMBT, as of December 31, 2011, UAW RMBT owned 160,151,000 shares of Common Stock and 45,454,545 warrants (each, a “Warrant”), each immediately exercisable for one share of Common Stock.</w:t>
      </w:r>
    </w:p>
    <w:p>
      <w:pPr>
        <w:spacing w:after="0" w:line="10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 Percent of class:</w:t>
      </w:r>
    </w:p>
    <w:p>
      <w:pPr>
        <w:spacing w:after="0" w:line="117" w:lineRule="exact"/>
        <w:rPr>
          <w:sz w:val="20"/>
          <w:szCs w:val="20"/>
          <w:color w:val="auto"/>
        </w:rPr>
      </w:pPr>
    </w:p>
    <w:p>
      <w:pPr>
        <w:ind w:left="1020" w:right="339" w:firstLine="432"/>
        <w:spacing w:after="0" w:line="259" w:lineRule="auto"/>
        <w:rPr>
          <w:sz w:val="20"/>
          <w:szCs w:val="20"/>
          <w:color w:val="auto"/>
        </w:rPr>
      </w:pPr>
      <w:r>
        <w:rPr>
          <w:rFonts w:ascii="Arial" w:cs="Arial" w:eastAsia="Arial" w:hAnsi="Arial"/>
          <w:sz w:val="18"/>
          <w:szCs w:val="18"/>
          <w:color w:val="auto"/>
        </w:rPr>
        <w:t>12.8%. This percentage is based on a total of 1,564,561,877 shares of Common Stock outstanding as reported in the Issuer’s quarterly report on Form 10-Q filed on November 9, 2011, plus an additional 45,454,545 shares of unissued Common Stock for which the Warrants may be exchanged.</w:t>
      </w:r>
    </w:p>
    <w:p>
      <w:pPr>
        <w:spacing w:after="0" w:line="86" w:lineRule="exact"/>
        <w:rPr>
          <w:sz w:val="20"/>
          <w:szCs w:val="20"/>
          <w:color w:val="auto"/>
        </w:rPr>
      </w:pPr>
    </w:p>
    <w:p>
      <w:pPr>
        <w:ind w:left="1020" w:hanging="310"/>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1820" w:right="6039" w:hanging="799"/>
        <w:spacing w:after="0" w:line="375" w:lineRule="auto"/>
        <w:tabs>
          <w:tab w:leader="none" w:pos="1388"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 w:lineRule="exact"/>
        <w:rPr>
          <w:rFonts w:ascii="Arial" w:cs="Arial" w:eastAsia="Arial" w:hAnsi="Arial"/>
          <w:sz w:val="18"/>
          <w:szCs w:val="18"/>
          <w:color w:val="auto"/>
        </w:rPr>
      </w:pPr>
    </w:p>
    <w:p>
      <w:pPr>
        <w:ind w:left="1380" w:hanging="359"/>
        <w:spacing w:after="0"/>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17" w:lineRule="exact"/>
        <w:rPr>
          <w:sz w:val="20"/>
          <w:szCs w:val="20"/>
          <w:color w:val="auto"/>
        </w:rPr>
      </w:pPr>
    </w:p>
    <w:p>
      <w:pPr>
        <w:ind w:left="1380" w:right="259" w:firstLine="432"/>
        <w:spacing w:after="0" w:line="268" w:lineRule="auto"/>
        <w:rPr>
          <w:sz w:val="20"/>
          <w:szCs w:val="20"/>
          <w:color w:val="auto"/>
        </w:rPr>
      </w:pPr>
      <w:r>
        <w:rPr>
          <w:rFonts w:ascii="Arial" w:cs="Arial" w:eastAsia="Arial" w:hAnsi="Arial"/>
          <w:sz w:val="18"/>
          <w:szCs w:val="18"/>
          <w:color w:val="auto"/>
        </w:rPr>
        <w:t>205,605,545 shares of Common Stock. This amount is based on UAW RMBT’s ownership of 160,151,000 shares of Common Stock and 45,454,545 Warrants.</w:t>
      </w:r>
    </w:p>
    <w:p>
      <w:pPr>
        <w:spacing w:after="0" w:line="78" w:lineRule="exact"/>
        <w:rPr>
          <w:sz w:val="20"/>
          <w:szCs w:val="20"/>
          <w:color w:val="auto"/>
        </w:rPr>
      </w:pPr>
    </w:p>
    <w:p>
      <w:pPr>
        <w:ind w:left="1820" w:right="5159" w:hanging="799"/>
        <w:spacing w:after="0" w:line="375" w:lineRule="auto"/>
        <w:tabs>
          <w:tab w:leader="none" w:pos="1388"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 w:lineRule="exact"/>
        <w:rPr>
          <w:rFonts w:ascii="Arial" w:cs="Arial" w:eastAsia="Arial" w:hAnsi="Arial"/>
          <w:sz w:val="18"/>
          <w:szCs w:val="18"/>
          <w:color w:val="auto"/>
        </w:rPr>
      </w:pPr>
    </w:p>
    <w:p>
      <w:pPr>
        <w:ind w:left="1380" w:hanging="359"/>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17" w:lineRule="exact"/>
        <w:rPr>
          <w:sz w:val="20"/>
          <w:szCs w:val="20"/>
          <w:color w:val="auto"/>
        </w:rPr>
      </w:pPr>
    </w:p>
    <w:p>
      <w:pPr>
        <w:ind w:left="1380" w:right="259" w:firstLine="432"/>
        <w:spacing w:after="0" w:line="268" w:lineRule="auto"/>
        <w:rPr>
          <w:sz w:val="20"/>
          <w:szCs w:val="20"/>
          <w:color w:val="auto"/>
        </w:rPr>
      </w:pPr>
      <w:r>
        <w:rPr>
          <w:rFonts w:ascii="Arial" w:cs="Arial" w:eastAsia="Arial" w:hAnsi="Arial"/>
          <w:sz w:val="18"/>
          <w:szCs w:val="18"/>
          <w:color w:val="auto"/>
        </w:rPr>
        <w:t>205,605,545 shares of Common Stock. This amount is based on UAW RMBT’s ownership of 160,151,000 shares of Common Stock and 45,454,545 Warrants.</w:t>
      </w:r>
    </w:p>
    <w:p>
      <w:pPr>
        <w:spacing w:after="0" w:line="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left="720" w:right="359" w:firstLine="432"/>
        <w:spacing w:after="0" w:line="229"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ind w:left="720" w:right="399" w:hanging="701"/>
        <w:spacing w:after="0" w:line="275" w:lineRule="auto"/>
        <w:tabs>
          <w:tab w:leader="none" w:pos="7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w:t>
      </w:r>
    </w:p>
    <w:p>
      <w:pPr>
        <w:spacing w:after="0" w:line="7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23" w:lineRule="exact"/>
        <w:rPr>
          <w:sz w:val="20"/>
          <w:szCs w:val="20"/>
          <w:color w:val="auto"/>
        </w:rPr>
      </w:pPr>
    </w:p>
    <w:p>
      <w:pPr>
        <w:ind w:left="720" w:right="159" w:firstLine="432"/>
        <w:spacing w:after="0" w:line="298" w:lineRule="auto"/>
        <w:rPr>
          <w:sz w:val="20"/>
          <w:szCs w:val="20"/>
          <w:color w:val="auto"/>
        </w:rPr>
      </w:pPr>
      <w:r>
        <w:rPr>
          <w:rFonts w:ascii="Arial" w:cs="Arial" w:eastAsia="Arial" w:hAnsi="Arial"/>
          <w:sz w:val="16"/>
          <w:szCs w:val="16"/>
          <w:color w:val="auto"/>
        </w:rPr>
        <w:t>UAW RMBT is party to a Stockholders Agreement dated as of October 15, 2009 (the “Stockholders Agreement”), by and among the Issuer, United States Department of the Treasury (“UST”), 7176384 Canada Inc. (since renamed Canada GEN Investment Corporation, “Canada GEN”), UAW RMBT and, solely for the purposes of Section 6.20 thereof, General Motors LLC. The Stockholders Agreement was filed as Exhibit 10.8 to the Current Report on Form 8-K filed by the Issuer on November 16, 2009.</w:t>
      </w:r>
    </w:p>
    <w:p>
      <w:pPr>
        <w:spacing w:after="0" w:line="32" w:lineRule="exact"/>
        <w:rPr>
          <w:sz w:val="20"/>
          <w:szCs w:val="20"/>
          <w:color w:val="auto"/>
        </w:rPr>
      </w:pPr>
    </w:p>
    <w:p>
      <w:pPr>
        <w:ind w:left="720" w:right="219" w:firstLine="432"/>
        <w:spacing w:after="0" w:line="288" w:lineRule="auto"/>
        <w:rPr>
          <w:sz w:val="20"/>
          <w:szCs w:val="20"/>
          <w:color w:val="auto"/>
        </w:rPr>
      </w:pPr>
      <w:r>
        <w:rPr>
          <w:rFonts w:ascii="Arial" w:cs="Arial" w:eastAsia="Arial" w:hAnsi="Arial"/>
          <w:sz w:val="16"/>
          <w:szCs w:val="16"/>
          <w:color w:val="auto"/>
        </w:rPr>
        <w:t>The Stockholders Agreement provides UAW RMBT the right to designate one director to the board of directors of the Issuer (which designation is subject to the consent of the International Union, United Automobile, Aerospace and Agricultural Implement Workers of America and, if the designated nominee is not independent within the meaning of Rule 303A.02 of the New York Stock Exchange Listed Company Manual or any successor provision, to the consent of the UST, such consent not to be unreasonably withheld) so long as UAW RMBT holds at least 50% of the shares of Common Stock it held upon its initial investment in the Issuer. Canada GEN is required to vote in favor of UAW RMBT’s designee. The Stockholders Agreement prevents the shareholding parties thereto from transferring all or any portion of their Common Stock or Warrants without the consent of the Issuer’s board of directors, to either (i) any person or group who would thereafter beneficially own more than 10% of the Common Stock, or (ii) any automotive vehicle manufacturer or affiliate thereof.</w:t>
      </w:r>
    </w:p>
    <w:p>
      <w:pPr>
        <w:spacing w:after="0" w:line="39" w:lineRule="exact"/>
        <w:rPr>
          <w:sz w:val="20"/>
          <w:szCs w:val="20"/>
          <w:color w:val="auto"/>
        </w:rPr>
      </w:pPr>
    </w:p>
    <w:p>
      <w:pPr>
        <w:jc w:val="both"/>
        <w:ind w:left="720" w:right="299" w:firstLine="432"/>
        <w:spacing w:after="0" w:line="294" w:lineRule="auto"/>
        <w:rPr>
          <w:sz w:val="20"/>
          <w:szCs w:val="20"/>
          <w:color w:val="auto"/>
        </w:rPr>
      </w:pPr>
      <w:r>
        <w:rPr>
          <w:rFonts w:ascii="Arial" w:cs="Arial" w:eastAsia="Arial" w:hAnsi="Arial"/>
          <w:sz w:val="16"/>
          <w:szCs w:val="16"/>
          <w:color w:val="auto"/>
        </w:rPr>
        <w:t>UAW RMBT and Canada GEN collectively have beneficial ownership of 345,689,291 shares of Common Stock, including UAW RMBT’s ownership of 45,454,545 Warrants. As of December 31, 2011, this represented 21.5% of the outstanding Common Stock based on a total of 1,610,016,422 shares of Common Stock outstanding (including 45,454,545 unissued shares for which the Warrants are exchangeable). The share ownership reported by UAW RMBT does not include any shares owned by the other parties to the Shareholders’ Agreement, except to the extent already disclosed in this Schedule 13G.</w:t>
      </w:r>
    </w:p>
    <w:p>
      <w:pPr>
        <w:spacing w:after="0" w:line="35" w:lineRule="exact"/>
        <w:rPr>
          <w:sz w:val="20"/>
          <w:szCs w:val="20"/>
          <w:color w:val="auto"/>
        </w:rPr>
      </w:pPr>
    </w:p>
    <w:p>
      <w:pPr>
        <w:ind w:left="720" w:right="339" w:firstLine="432"/>
        <w:spacing w:after="0" w:line="268" w:lineRule="auto"/>
        <w:rPr>
          <w:sz w:val="20"/>
          <w:szCs w:val="20"/>
          <w:color w:val="auto"/>
        </w:rPr>
      </w:pPr>
      <w:r>
        <w:rPr>
          <w:rFonts w:ascii="Arial" w:cs="Arial" w:eastAsia="Arial" w:hAnsi="Arial"/>
          <w:sz w:val="18"/>
          <w:szCs w:val="18"/>
          <w:color w:val="auto"/>
        </w:rPr>
        <w:t>Because the Reporting Persons may be deemed a beneficial owner of the securities, the Reporting Persons may be deemed a member of any group that the parties to the Stockholders Agreement are deemed to be part of.</w:t>
      </w:r>
    </w:p>
    <w:p>
      <w:pPr>
        <w:spacing w:after="0" w:line="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219"/>
          </w:cols>
          <w:pgMar w:left="240" w:top="274" w:right="1440" w:bottom="445"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2012</w:t>
      </w:r>
    </w:p>
    <w:p>
      <w:pPr>
        <w:spacing w:after="0" w:line="200" w:lineRule="exact"/>
        <w:rPr>
          <w:sz w:val="20"/>
          <w:szCs w:val="20"/>
          <w:color w:val="auto"/>
        </w:rPr>
      </w:pPr>
    </w:p>
    <w:p>
      <w:pPr>
        <w:spacing w:after="0" w:line="228"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Brock Capital Group LLC</w:t>
      </w:r>
    </w:p>
    <w:p>
      <w:pPr>
        <w:spacing w:after="0" w:line="225" w:lineRule="exact"/>
        <w:rPr>
          <w:sz w:val="20"/>
          <w:szCs w:val="20"/>
          <w:color w:val="auto"/>
        </w:rPr>
      </w:pPr>
    </w:p>
    <w:tbl>
      <w:tblPr>
        <w:tblLayout w:type="fixed"/>
        <w:tblInd w:w="720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Brock</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spacing w:after="0"/>
              <w:rPr>
                <w:sz w:val="20"/>
                <w:szCs w:val="20"/>
                <w:color w:val="auto"/>
              </w:rPr>
            </w:pPr>
            <w:r>
              <w:rPr>
                <w:rFonts w:ascii="Arial" w:cs="Arial" w:eastAsia="Arial" w:hAnsi="Arial"/>
                <w:sz w:val="18"/>
                <w:szCs w:val="18"/>
                <w:color w:val="auto"/>
              </w:rPr>
              <w:t>Charles Brock</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Chairman and CEO</w:t>
            </w:r>
          </w:p>
        </w:tc>
      </w:tr>
    </w:tbl>
    <w:p>
      <w:pPr>
        <w:spacing w:after="0" w:line="21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Brock Fiduciary Services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Brock Capital Group LLC, as Managing Member</w:t>
      </w:r>
    </w:p>
    <w:p>
      <w:pPr>
        <w:spacing w:after="0" w:line="219" w:lineRule="exact"/>
        <w:rPr>
          <w:sz w:val="20"/>
          <w:szCs w:val="20"/>
          <w:color w:val="auto"/>
        </w:rPr>
      </w:pPr>
    </w:p>
    <w:tbl>
      <w:tblPr>
        <w:tblLayout w:type="fixed"/>
        <w:tblInd w:w="720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Brock</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spacing w:after="0"/>
              <w:rPr>
                <w:sz w:val="20"/>
                <w:szCs w:val="20"/>
                <w:color w:val="auto"/>
              </w:rPr>
            </w:pPr>
            <w:r>
              <w:rPr>
                <w:rFonts w:ascii="Arial" w:cs="Arial" w:eastAsia="Arial" w:hAnsi="Arial"/>
                <w:sz w:val="18"/>
                <w:szCs w:val="18"/>
                <w:color w:val="auto"/>
              </w:rPr>
              <w:t>Charles Brock</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Chairman and CEO</w:t>
            </w:r>
          </w:p>
        </w:tc>
      </w:tr>
    </w:tbl>
    <w:p>
      <w:pPr>
        <w:sectPr>
          <w:pgSz w:w="11900" w:h="16838" w:orient="portrait"/>
          <w:cols w:equalWidth="0" w:num="1">
            <w:col w:w="11420"/>
          </w:cols>
          <w:pgMar w:left="240" w:top="274" w:right="239" w:bottom="1440" w:gutter="0" w:footer="0" w:header="0"/>
        </w:sectPr>
      </w:pPr>
    </w:p>
    <w:bookmarkStart w:id="6" w:name="page7"/>
    <w:bookmarkEnd w:id="6"/>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32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5"/>
          <w:szCs w:val="15"/>
          <w:color w:val="auto"/>
        </w:rPr>
        <w:t>Joint Filing Agreement as required by Rule 13d-1(k)(1) under the Securities Exchange Act of 1934, as amended.</w:t>
      </w:r>
    </w:p>
    <w:p>
      <w:pPr>
        <w:sectPr>
          <w:pgSz w:w="11900" w:h="16838" w:orient="portrait"/>
          <w:cols w:equalWidth="0" w:num="1">
            <w:col w:w="10219"/>
          </w:cols>
          <w:pgMar w:left="240" w:top="274"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 PURSUANT TO RULE 13d-1(k)(1)</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it contained herein, but shall not be responsible for the completeness and accuracy of the information concerning the other entities or persons, except to the extent that it knows or has reason to believe that such information is inaccurate.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Dated as of February 10, 2012</w:t>
      </w:r>
    </w:p>
    <w:p>
      <w:pPr>
        <w:spacing w:after="0" w:line="21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Brock Fiduciary Services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Brock Capital Group LLC, as Managing Member</w:t>
      </w:r>
    </w:p>
    <w:p>
      <w:pPr>
        <w:spacing w:after="0" w:line="219" w:lineRule="exact"/>
        <w:rPr>
          <w:sz w:val="20"/>
          <w:szCs w:val="20"/>
          <w:color w:val="auto"/>
        </w:rPr>
      </w:pPr>
    </w:p>
    <w:tbl>
      <w:tblPr>
        <w:tblLayout w:type="fixed"/>
        <w:tblInd w:w="720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Brock</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spacing w:after="0"/>
              <w:rPr>
                <w:sz w:val="20"/>
                <w:szCs w:val="20"/>
                <w:color w:val="auto"/>
              </w:rPr>
            </w:pPr>
            <w:r>
              <w:rPr>
                <w:rFonts w:ascii="Arial" w:cs="Arial" w:eastAsia="Arial" w:hAnsi="Arial"/>
                <w:sz w:val="18"/>
                <w:szCs w:val="18"/>
                <w:color w:val="auto"/>
              </w:rPr>
              <w:t>Charles Brock</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Chairman and CEO</w:t>
            </w:r>
          </w:p>
        </w:tc>
      </w:tr>
      <w:tr>
        <w:trPr>
          <w:trHeight w:val="432"/>
        </w:trPr>
        <w:tc>
          <w:tcPr>
            <w:tcW w:w="4220" w:type="dxa"/>
            <w:vAlign w:val="bottom"/>
            <w:gridSpan w:val="2"/>
          </w:tcPr>
          <w:p>
            <w:pPr>
              <w:spacing w:after="0"/>
              <w:rPr>
                <w:sz w:val="20"/>
                <w:szCs w:val="20"/>
                <w:color w:val="auto"/>
              </w:rPr>
            </w:pPr>
            <w:r>
              <w:rPr>
                <w:rFonts w:ascii="Arial" w:cs="Arial" w:eastAsia="Arial" w:hAnsi="Arial"/>
                <w:sz w:val="18"/>
                <w:szCs w:val="18"/>
                <w:color w:val="auto"/>
              </w:rPr>
              <w:t>Brock Capital Group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Brock</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spacing w:after="0"/>
              <w:rPr>
                <w:sz w:val="20"/>
                <w:szCs w:val="20"/>
                <w:color w:val="auto"/>
              </w:rPr>
            </w:pPr>
            <w:r>
              <w:rPr>
                <w:rFonts w:ascii="Arial" w:cs="Arial" w:eastAsia="Arial" w:hAnsi="Arial"/>
                <w:sz w:val="18"/>
                <w:szCs w:val="18"/>
                <w:color w:val="auto"/>
              </w:rPr>
              <w:t>Charles Brock</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Chairman and CEO</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1)"/>
      <w:numFmt w:val="lowerLetter"/>
      <w:start w:val="3"/>
    </w:lvl>
    <w:lvl w:ilvl="1">
      <w:lvlJc w:val="left"/>
      <w:lvlText w:val="(%2)"/>
      <w:numFmt w:val="lowerRoman"/>
      <w:start w:val="1"/>
    </w:lvl>
  </w:abstractNum>
  <w:abstractNum w:abstractNumId="3">
    <w:nsid w:val="625558EC"/>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2019-12-09T19:32:48Z</dcterms:created>
  <dcterms:modified xsi:type="dcterms:W3CDTF">2019-12-09T19:32:48Z</dcterms:modified>
</cp:coreProperties>
</file>