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1,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October 1, 2015 a number of General Motors Company (GM) executives made a series of presentations at its 2015 Global Business Conference which focused on redefining the future of personal mobility. The event included reaffirmation of GM’s previously announced near-term financial targets and an update on the global vehicle portfolio, both of which contain certain information not previously publicly disclosed. In connection with the presentations GM also issued a press release. The press release related thereto is attached as Exhibit 99.1.</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 xml:space="preserve">Charts presented at GM's 2015 Global Business Conference are available on GM's website at </w:t>
      </w:r>
      <w:r>
        <w:rPr>
          <w:rFonts w:ascii="Arial" w:cs="Arial" w:eastAsia="Arial" w:hAnsi="Arial"/>
          <w:sz w:val="18"/>
          <w:szCs w:val="18"/>
          <w:color w:val="661DE8"/>
        </w:rPr>
        <w:t>http://www.gm.com/company/investors/announcements-events.html</w:t>
      </w:r>
      <w:r>
        <w:rPr>
          <w:rFonts w:ascii="Arial" w:cs="Arial" w:eastAsia="Arial" w:hAnsi="Arial"/>
          <w:sz w:val="18"/>
          <w:szCs w:val="18"/>
          <w:color w:val="0000FF"/>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5"/>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News release dated October 1, 2015</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color w:val="auto"/>
              </w:rPr>
              <w:t>Date: October 1, 2015</w:t>
            </w:r>
          </w:p>
        </w:tc>
        <w:tc>
          <w:tcPr>
            <w:tcW w:w="2600" w:type="dxa"/>
            <w:vAlign w:val="bottom"/>
            <w:vMerge w:val="restart"/>
          </w:tcPr>
          <w:p>
            <w:pPr>
              <w:ind w:left="19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40" w:type="dxa"/>
            <w:vAlign w:val="bottom"/>
            <w:vMerge w:val="continue"/>
          </w:tcPr>
          <w:p>
            <w:pPr>
              <w:spacing w:after="0"/>
              <w:rPr>
                <w:sz w:val="19"/>
                <w:szCs w:val="19"/>
                <w:color w:val="auto"/>
              </w:rPr>
            </w:pPr>
          </w:p>
        </w:tc>
        <w:tc>
          <w:tcPr>
            <w:tcW w:w="26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Oct. 1, 2015, 9 a.m. EDT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Outlines Plans to Capitalize on Future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 Personal Mobility</w:t>
      </w:r>
    </w:p>
    <w:p>
      <w:pPr>
        <w:spacing w:after="0" w:line="306" w:lineRule="exact"/>
        <w:rPr>
          <w:sz w:val="20"/>
          <w:szCs w:val="20"/>
          <w:color w:val="auto"/>
        </w:rPr>
      </w:pPr>
    </w:p>
    <w:p>
      <w:pPr>
        <w:ind w:right="460"/>
        <w:spacing w:after="0" w:line="253" w:lineRule="auto"/>
        <w:rPr>
          <w:sz w:val="20"/>
          <w:szCs w:val="20"/>
          <w:color w:val="auto"/>
        </w:rPr>
      </w:pPr>
      <w:r>
        <w:rPr>
          <w:rFonts w:ascii="Arial" w:cs="Arial" w:eastAsia="Arial" w:hAnsi="Arial"/>
          <w:sz w:val="20"/>
          <w:szCs w:val="20"/>
          <w:b w:val="1"/>
          <w:bCs w:val="1"/>
          <w:color w:val="auto"/>
        </w:rPr>
        <w:t xml:space="preserve">MILFORD, Mich. </w:t>
      </w:r>
      <w:r>
        <w:rPr>
          <w:rFonts w:ascii="Arial" w:cs="Arial" w:eastAsia="Arial" w:hAnsi="Arial"/>
          <w:sz w:val="20"/>
          <w:szCs w:val="20"/>
          <w:color w:val="auto"/>
        </w:rPr>
        <w:t>- General Motors Co. (NYSE: GM) CEO Mary Barra and her leadership team today outlined the company’s plans to</w:t>
      </w:r>
      <w:r>
        <w:rPr>
          <w:rFonts w:ascii="Arial" w:cs="Arial" w:eastAsia="Arial" w:hAnsi="Arial"/>
          <w:sz w:val="20"/>
          <w:szCs w:val="20"/>
          <w:b w:val="1"/>
          <w:bCs w:val="1"/>
          <w:color w:val="auto"/>
        </w:rPr>
        <w:t xml:space="preserve"> </w:t>
      </w:r>
      <w:r>
        <w:rPr>
          <w:rFonts w:ascii="Arial" w:cs="Arial" w:eastAsia="Arial" w:hAnsi="Arial"/>
          <w:sz w:val="20"/>
          <w:szCs w:val="20"/>
          <w:color w:val="auto"/>
        </w:rPr>
        <w:t>capitalize on the future of personal mobility by owning the customer relationship beyond the vehicle, building upon nearly two decades of connectivity leadership.</w:t>
      </w:r>
    </w:p>
    <w:p>
      <w:pPr>
        <w:spacing w:after="0" w:line="184" w:lineRule="exact"/>
        <w:rPr>
          <w:sz w:val="20"/>
          <w:szCs w:val="20"/>
          <w:color w:val="auto"/>
        </w:rPr>
      </w:pPr>
    </w:p>
    <w:p>
      <w:pPr>
        <w:ind w:right="420"/>
        <w:spacing w:after="0" w:line="291" w:lineRule="auto"/>
        <w:rPr>
          <w:sz w:val="20"/>
          <w:szCs w:val="20"/>
          <w:color w:val="auto"/>
        </w:rPr>
      </w:pPr>
      <w:r>
        <w:rPr>
          <w:rFonts w:ascii="Arial" w:cs="Arial" w:eastAsia="Arial" w:hAnsi="Arial"/>
          <w:sz w:val="18"/>
          <w:szCs w:val="18"/>
          <w:color w:val="auto"/>
        </w:rPr>
        <w:t>GM also said it plans to strengthen its core business through global growth initiatives and an aggressive product launch cadence, while continuing to focus on driving cost efficiencies. As a result, the company expects to increase its earnings per share and generate significant shareholder value. The company shared its plans with investors during a conference at its Milford Proving Ground.</w:t>
      </w:r>
    </w:p>
    <w:p>
      <w:pPr>
        <w:spacing w:after="0" w:line="15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convergence of rapidly improving technology and changing consumer preferences is creating an inflection point for the transportation industry not seen in decades,” said Barra. “Some might find this massive change to be daunting, but we look at it and see the opportunity to be a disruptor. We believe our decades of leadership in vehicle connectivity is fundamental to our quest to redefine the future of personal mobility.”</w:t>
      </w:r>
    </w:p>
    <w:p>
      <w:pPr>
        <w:spacing w:after="0" w:line="19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During the conference, company leaders announced several product-related initiatives focused on making GM’s vehicles more advanced, safer and more fuel efficient. They also outlined alternative transportation initiatives GM is exploring.</w:t>
      </w:r>
    </w:p>
    <w:p>
      <w:pPr>
        <w:spacing w:after="0" w:line="171" w:lineRule="exact"/>
        <w:rPr>
          <w:sz w:val="20"/>
          <w:szCs w:val="20"/>
          <w:color w:val="auto"/>
        </w:rPr>
      </w:pPr>
    </w:p>
    <w:p>
      <w:pPr>
        <w:ind w:left="340" w:right="40" w:hanging="332"/>
        <w:spacing w:after="0" w:line="24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 xml:space="preserve">Autonomous Vehicle Deployment: </w:t>
      </w:r>
      <w:r>
        <w:rPr>
          <w:rFonts w:ascii="Arial" w:cs="Arial" w:eastAsia="Arial" w:hAnsi="Arial"/>
          <w:sz w:val="20"/>
          <w:szCs w:val="20"/>
          <w:color w:val="auto"/>
        </w:rPr>
        <w:t>GM announced that late in 2016 it will add a fleet of 2017 Chevrolet Volts designed to drive</w:t>
      </w:r>
      <w:r>
        <w:rPr>
          <w:rFonts w:ascii="Arial" w:cs="Arial" w:eastAsia="Arial" w:hAnsi="Arial"/>
          <w:sz w:val="20"/>
          <w:szCs w:val="20"/>
          <w:b w:val="1"/>
          <w:bCs w:val="1"/>
          <w:color w:val="auto"/>
        </w:rPr>
        <w:t xml:space="preserve"> </w:t>
      </w:r>
      <w:r>
        <w:rPr>
          <w:rFonts w:ascii="Arial" w:cs="Arial" w:eastAsia="Arial" w:hAnsi="Arial"/>
          <w:sz w:val="20"/>
          <w:szCs w:val="20"/>
          <w:color w:val="auto"/>
        </w:rPr>
        <w:t>autonomously within its renovated Warren Technical Center campus. GM employees will reserve a Volt using a car-sharing app, then select a destination. GM’s autonomous technology will bring the vehicle to its destination and park it. The program will serve as a rapid-development laboratory to provide data and lessons to accelerate the company’s technical capabilities in autonomous vehicles. GM has been testing its “Super Cruise” autonomous driving technology since 2012, and confirmed today the feature will be available in the 2017 Cadillac CT6.</w:t>
      </w:r>
    </w:p>
    <w:p>
      <w:pPr>
        <w:spacing w:after="0" w:line="185" w:lineRule="exact"/>
        <w:rPr>
          <w:rFonts w:ascii="Arial" w:cs="Arial" w:eastAsia="Arial" w:hAnsi="Arial"/>
          <w:sz w:val="18"/>
          <w:szCs w:val="18"/>
          <w:color w:val="auto"/>
        </w:rPr>
      </w:pPr>
    </w:p>
    <w:p>
      <w:pPr>
        <w:ind w:left="340" w:hanging="332"/>
        <w:spacing w:after="0" w:line="27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 xml:space="preserve">Car Sharing: </w:t>
      </w:r>
      <w:r>
        <w:rPr>
          <w:rFonts w:ascii="Arial" w:cs="Arial" w:eastAsia="Arial" w:hAnsi="Arial"/>
          <w:sz w:val="18"/>
          <w:szCs w:val="18"/>
          <w:color w:val="auto"/>
        </w:rPr>
        <w:t>GM also announced two new car- and ride-sharing projects, one in New York City operating today and one to come in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next year in another U.S. city. Each project will further expand the company’s participation in alternate transportation models, which the company anticipates will generate additional revenue and profits. These will amplify the company’s recent car-sharing projects to test hardware and software systems and gain insights into car-sharing user experiences. For example, one of GM’s first mobility partnerships was with Google early last year, where it tested a commuter ride-sharing service using Chevrolet Spark EVs. Using an app, drivers and riders were matched based on trip patterns and schedules. The project demonstrated value and potential in creating automotive transportation services, leading to other initiatives like its New York City program announced today. In Europe the company’s Opel brand has also recently deployed a peer-to-peer sharing service called CarUnity, which incorporates dealers and their fleets to provide an array of available vehicles for sharing. In China earlier this year a fleet of EN-V 2.0 electric concept vehicles went into service at Jiao Tong University in Shanghai as part of a multi-modal campus transportation system alongside bicycles, cars and shuttle buses.</w:t>
      </w:r>
    </w:p>
    <w:p>
      <w:pPr>
        <w:sectPr>
          <w:pgSz w:w="11900" w:h="16838" w:orient="portrait"/>
          <w:cols w:equalWidth="0" w:num="1">
            <w:col w:w="11420"/>
          </w:cols>
          <w:pgMar w:left="240" w:top="568" w:right="239" w:bottom="1440" w:gutter="0" w:footer="0" w:header="0"/>
        </w:sectPr>
      </w:pPr>
    </w:p>
    <w:bookmarkStart w:id="4" w:name="page5"/>
    <w:bookmarkEnd w:id="4"/>
    <w:p>
      <w:pPr>
        <w:ind w:left="340" w:right="340" w:hanging="332"/>
        <w:spacing w:after="0" w:line="294"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eBike Concept</w:t>
      </w:r>
      <w:r>
        <w:rPr>
          <w:rFonts w:ascii="Arial" w:cs="Arial" w:eastAsia="Arial" w:hAnsi="Arial"/>
          <w:sz w:val="18"/>
          <w:szCs w:val="18"/>
          <w:color w:val="auto"/>
        </w:rPr>
        <w:t>: GM unveiled an electric bike, or eBike, concept during the conference, demonstrating the company’s evolving view of</w:t>
      </w:r>
      <w:r>
        <w:rPr>
          <w:rFonts w:ascii="Arial" w:cs="Arial" w:eastAsia="Arial" w:hAnsi="Arial"/>
          <w:sz w:val="18"/>
          <w:szCs w:val="18"/>
          <w:b w:val="1"/>
          <w:bCs w:val="1"/>
          <w:color w:val="auto"/>
        </w:rPr>
        <w:t xml:space="preserve"> </w:t>
      </w:r>
      <w:r>
        <w:rPr>
          <w:rFonts w:ascii="Arial" w:cs="Arial" w:eastAsia="Arial" w:hAnsi="Arial"/>
          <w:sz w:val="18"/>
          <w:szCs w:val="18"/>
          <w:color w:val="auto"/>
        </w:rPr>
        <w:t>“mobility” in an ever-changing, increasingly urban world. Designed and engineered at GM’s engineering and development center in Oshawa, Ontario, the eBike concept was designed to help people stay mobile in an increasingly difficult-to-navigate urban landscape.</w:t>
      </w:r>
    </w:p>
    <w:p>
      <w:pPr>
        <w:spacing w:after="0" w:line="144" w:lineRule="exact"/>
        <w:rPr>
          <w:rFonts w:ascii="Arial" w:cs="Arial" w:eastAsia="Arial" w:hAnsi="Arial"/>
          <w:sz w:val="16"/>
          <w:szCs w:val="16"/>
          <w:color w:val="auto"/>
        </w:rPr>
      </w:pPr>
    </w:p>
    <w:p>
      <w:pPr>
        <w:ind w:left="340" w:right="120" w:hanging="332"/>
        <w:spacing w:after="0" w:line="28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Fuel Cell Propulsion: </w:t>
      </w:r>
      <w:r>
        <w:rPr>
          <w:rFonts w:ascii="Arial" w:cs="Arial" w:eastAsia="Arial" w:hAnsi="Arial"/>
          <w:sz w:val="18"/>
          <w:szCs w:val="18"/>
          <w:color w:val="auto"/>
        </w:rPr>
        <w:t>Another technology helping GM set the pace in achieving zero emissions is fuel cell propulsion. GM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to advance hydrogen fuel cells for a decade, launching its first fuel cell electric vehicle in 2007. In collaboration with Honda, it is developing a next-generation hydrogen fuel cell stack and hydrogen storage systems. GM confirmed its plans to jointly develop a commercially viable fuel cell vehicle with Honda in the 2020 timeframe. Because the technology can also provide promising financial rewards, GM indicated it is pursuing non-automotive fuel cell applications for the aerospace and military industries.</w:t>
      </w:r>
    </w:p>
    <w:p>
      <w:pPr>
        <w:spacing w:after="0" w:line="156" w:lineRule="exact"/>
        <w:rPr>
          <w:rFonts w:ascii="Arial" w:cs="Arial" w:eastAsia="Arial" w:hAnsi="Arial"/>
          <w:sz w:val="16"/>
          <w:szCs w:val="16"/>
          <w:color w:val="auto"/>
        </w:rPr>
      </w:pPr>
    </w:p>
    <w:p>
      <w:pPr>
        <w:ind w:left="340" w:right="180" w:hanging="332"/>
        <w:spacing w:after="0" w:line="24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Mixed Materials: </w:t>
      </w:r>
      <w:r>
        <w:rPr>
          <w:rFonts w:ascii="Arial" w:cs="Arial" w:eastAsia="Arial" w:hAnsi="Arial"/>
          <w:sz w:val="20"/>
          <w:szCs w:val="20"/>
          <w:color w:val="auto"/>
        </w:rPr>
        <w:t>GM is intensely focused on reducing weight in every vehicle it develops, since lighter vehicles are better able to meet</w:t>
      </w:r>
      <w:r>
        <w:rPr>
          <w:rFonts w:ascii="Arial" w:cs="Arial" w:eastAsia="Arial" w:hAnsi="Arial"/>
          <w:sz w:val="20"/>
          <w:szCs w:val="20"/>
          <w:b w:val="1"/>
          <w:bCs w:val="1"/>
          <w:color w:val="auto"/>
        </w:rPr>
        <w:t xml:space="preserve"> </w:t>
      </w:r>
      <w:r>
        <w:rPr>
          <w:rFonts w:ascii="Arial" w:cs="Arial" w:eastAsia="Arial" w:hAnsi="Arial"/>
          <w:sz w:val="20"/>
          <w:szCs w:val="20"/>
          <w:color w:val="auto"/>
        </w:rPr>
        <w:t>increasingly stringent global CO</w:t>
      </w:r>
      <w:r>
        <w:rPr>
          <w:rFonts w:ascii="Arial" w:cs="Arial" w:eastAsia="Arial" w:hAnsi="Arial"/>
          <w:sz w:val="12"/>
          <w:szCs w:val="12"/>
          <w:color w:val="auto"/>
        </w:rPr>
        <w:t>2</w:t>
      </w:r>
      <w:r>
        <w:rPr>
          <w:rFonts w:ascii="Arial" w:cs="Arial" w:eastAsia="Arial" w:hAnsi="Arial"/>
          <w:sz w:val="20"/>
          <w:szCs w:val="20"/>
          <w:color w:val="auto"/>
        </w:rPr>
        <w:t xml:space="preserve"> standards and offer consumer benefits including efficiency and enhanced performance. The company is using an array of materials, including various grades of steel, aluminum and composites, to help make vehicles stronger, safer, more fuel efficient and fun to drive. Engineers are using a mix of materials more cost effectively than ever across all GM brands and making them accessible to customers at various price points. The 2016 Chevrolet Malibu, for example, incorporates 11 different materials and, as a result, is nearly 300 pounds lighter than its predecessor while the next-generation Camaro is almost 400 pounds lighter than the current model.</w:t>
      </w:r>
    </w:p>
    <w:p>
      <w:pPr>
        <w:spacing w:after="0" w:line="186" w:lineRule="exact"/>
        <w:rPr>
          <w:rFonts w:ascii="Arial" w:cs="Arial" w:eastAsia="Arial" w:hAnsi="Arial"/>
          <w:sz w:val="18"/>
          <w:szCs w:val="18"/>
          <w:color w:val="auto"/>
        </w:rPr>
      </w:pPr>
    </w:p>
    <w:p>
      <w:pPr>
        <w:ind w:left="340" w:right="140" w:hanging="332"/>
        <w:spacing w:after="0" w:line="24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Exclusive Mixed-Metal Manufacturing Techniques: </w:t>
      </w:r>
      <w:r>
        <w:rPr>
          <w:rFonts w:ascii="Arial" w:cs="Arial" w:eastAsia="Arial" w:hAnsi="Arial"/>
          <w:sz w:val="20"/>
          <w:szCs w:val="20"/>
          <w:color w:val="auto"/>
        </w:rPr>
        <w:t>GM’s R&amp;D team has invented another patented, industry-first welding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to allow the use of more lightweight metal on future vehicles. This resistance spot-welding process enables the welding of aluminum to steel, which helps make vehicles lighter and more structurally robust. The process will be adopted at the Detroit-Hamtramck plant on the Cadillac CT6 in the first half of 2016.</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Strengthening GM’s Core Business</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company expects to grow its business over the next five years through key initiatives including a $5 billion investment in an all-new Chevrolet growth market vehicle family; maintaining a strong market position in China by enhancing its presence in SUV and luxury segments; expanding Cadillac’s vehicle portfolio into growing luxury segments; continuing the growth of GM Financial through the expansion of services globally, and expanding aftersales and OnStar revenue opportunities globally.</w:t>
      </w:r>
    </w:p>
    <w:p>
      <w:pPr>
        <w:spacing w:after="0" w:line="195"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In the same timeframe, GM plans to introduce a large number of all-new or refreshed vehicles globally. In 2015, about 26 percent of GM’s global sales volume has come from vehicles new or refreshed within the previous 18 months. This percentage is projected to be 39 percent in 2016, 40 percent in 2017, 31 percent in 2018, and reach 40 percent in 2019 and 2020.</w:t>
      </w:r>
    </w:p>
    <w:p>
      <w:pPr>
        <w:spacing w:after="0" w:line="170" w:lineRule="exact"/>
        <w:rPr>
          <w:sz w:val="20"/>
          <w:szCs w:val="20"/>
          <w:color w:val="auto"/>
        </w:rPr>
      </w:pPr>
    </w:p>
    <w:p>
      <w:pPr>
        <w:ind w:right="360"/>
        <w:spacing w:after="0" w:line="291" w:lineRule="auto"/>
        <w:rPr>
          <w:sz w:val="20"/>
          <w:szCs w:val="20"/>
          <w:color w:val="auto"/>
        </w:rPr>
      </w:pPr>
      <w:r>
        <w:rPr>
          <w:rFonts w:ascii="Arial" w:cs="Arial" w:eastAsia="Arial" w:hAnsi="Arial"/>
          <w:sz w:val="18"/>
          <w:szCs w:val="18"/>
          <w:color w:val="auto"/>
        </w:rPr>
        <w:t>GM is also accelerating its efforts to drive further cost efficiencies across the value chain, with a focus on enhancing overall value for its customers. The company said it expects to generate benefits of approximately $5.5 billion in purchasing, manufacturing and administration expense between 2015 and 2018, more than offsetting increased investments in brand development and technology.</w:t>
      </w:r>
    </w:p>
    <w:p>
      <w:pPr>
        <w:spacing w:after="0" w:line="15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rPr>
          <w:sz w:val="20"/>
          <w:szCs w:val="20"/>
          <w:color w:val="auto"/>
        </w:rPr>
      </w:pPr>
      <w:r>
        <w:rPr>
          <w:rFonts w:ascii="Arial" w:cs="Arial" w:eastAsia="Arial" w:hAnsi="Arial"/>
          <w:sz w:val="20"/>
          <w:szCs w:val="20"/>
          <w:b w:val="1"/>
          <w:bCs w:val="1"/>
          <w:color w:val="auto"/>
        </w:rPr>
        <w:t>CONTACTS:</w:t>
      </w:r>
    </w:p>
    <w:p>
      <w:pPr>
        <w:sectPr>
          <w:pgSz w:w="11900" w:h="16838" w:orient="portrait"/>
          <w:cols w:equalWidth="0" w:num="1">
            <w:col w:w="11400"/>
          </w:cols>
          <w:pgMar w:left="240" w:top="576" w:right="259" w:bottom="1440" w:gutter="0" w:footer="0" w:header="0"/>
        </w:sectPr>
      </w:pPr>
    </w:p>
    <w:bookmarkStart w:id="5" w:name="page6"/>
    <w:bookmarkEnd w:id="5"/>
    <w:tbl>
      <w:tblPr>
        <w:tblLayout w:type="fixed"/>
        <w:tblInd w:w="540" w:type="dxa"/>
        <w:tblCellMar>
          <w:top w:w="0" w:type="dxa"/>
          <w:left w:w="0" w:type="dxa"/>
          <w:bottom w:w="0" w:type="dxa"/>
          <w:right w:w="0" w:type="dxa"/>
        </w:tblCellMar>
      </w:tblPr>
      <w:tr>
        <w:trPr>
          <w:trHeight w:val="236"/>
        </w:trPr>
        <w:tc>
          <w:tcPr>
            <w:tcW w:w="5200" w:type="dxa"/>
            <w:vAlign w:val="bottom"/>
            <w:gridSpan w:val="2"/>
          </w:tcPr>
          <w:p>
            <w:pPr>
              <w:spacing w:after="0"/>
              <w:rPr>
                <w:sz w:val="20"/>
                <w:szCs w:val="20"/>
                <w:color w:val="auto"/>
              </w:rPr>
            </w:pPr>
            <w:r>
              <w:rPr>
                <w:rFonts w:ascii="Arial" w:cs="Arial" w:eastAsia="Arial" w:hAnsi="Arial"/>
                <w:sz w:val="20"/>
                <w:szCs w:val="20"/>
                <w:b w:val="1"/>
                <w:bCs w:val="1"/>
                <w:color w:val="auto"/>
              </w:rPr>
              <w:t>Media:</w:t>
            </w:r>
          </w:p>
        </w:tc>
        <w:tc>
          <w:tcPr>
            <w:tcW w:w="1960" w:type="dxa"/>
            <w:vAlign w:val="bottom"/>
          </w:tcPr>
          <w:p>
            <w:pPr>
              <w:spacing w:after="0"/>
              <w:rPr>
                <w:sz w:val="20"/>
                <w:szCs w:val="20"/>
                <w:color w:val="auto"/>
              </w:rPr>
            </w:pPr>
            <w:r>
              <w:rPr>
                <w:rFonts w:ascii="Arial" w:cs="Arial" w:eastAsia="Arial" w:hAnsi="Arial"/>
                <w:sz w:val="20"/>
                <w:szCs w:val="20"/>
                <w:b w:val="1"/>
                <w:bCs w:val="1"/>
                <w:color w:val="auto"/>
              </w:rPr>
              <w:t>Investors:</w:t>
            </w:r>
          </w:p>
        </w:tc>
      </w:tr>
      <w:tr>
        <w:trPr>
          <w:trHeight w:val="230"/>
        </w:trPr>
        <w:tc>
          <w:tcPr>
            <w:tcW w:w="5200" w:type="dxa"/>
            <w:vAlign w:val="bottom"/>
            <w:gridSpan w:val="2"/>
          </w:tcPr>
          <w:p>
            <w:pPr>
              <w:spacing w:after="0"/>
              <w:rPr>
                <w:sz w:val="20"/>
                <w:szCs w:val="20"/>
                <w:color w:val="auto"/>
              </w:rPr>
            </w:pPr>
            <w:r>
              <w:rPr>
                <w:rFonts w:ascii="Arial" w:cs="Arial" w:eastAsia="Arial" w:hAnsi="Arial"/>
                <w:sz w:val="20"/>
                <w:szCs w:val="20"/>
                <w:color w:val="auto"/>
              </w:rPr>
              <w:t>Tom Henderson</w:t>
            </w:r>
          </w:p>
        </w:tc>
        <w:tc>
          <w:tcPr>
            <w:tcW w:w="1960" w:type="dxa"/>
            <w:vAlign w:val="bottom"/>
          </w:tcPr>
          <w:p>
            <w:pPr>
              <w:spacing w:after="0"/>
              <w:rPr>
                <w:sz w:val="20"/>
                <w:szCs w:val="20"/>
                <w:color w:val="auto"/>
              </w:rPr>
            </w:pPr>
            <w:r>
              <w:rPr>
                <w:rFonts w:ascii="Arial" w:cs="Arial" w:eastAsia="Arial" w:hAnsi="Arial"/>
                <w:sz w:val="20"/>
                <w:szCs w:val="20"/>
                <w:color w:val="auto"/>
              </w:rPr>
              <w:t>Randy Arickx</w:t>
            </w:r>
          </w:p>
        </w:tc>
      </w:tr>
      <w:tr>
        <w:trPr>
          <w:trHeight w:val="230"/>
        </w:trPr>
        <w:tc>
          <w:tcPr>
            <w:tcW w:w="5200" w:type="dxa"/>
            <w:vAlign w:val="bottom"/>
            <w:gridSpan w:val="2"/>
          </w:tcPr>
          <w:p>
            <w:pPr>
              <w:spacing w:after="0"/>
              <w:rPr>
                <w:sz w:val="20"/>
                <w:szCs w:val="20"/>
                <w:color w:val="auto"/>
              </w:rPr>
            </w:pPr>
            <w:r>
              <w:rPr>
                <w:rFonts w:ascii="Arial" w:cs="Arial" w:eastAsia="Arial" w:hAnsi="Arial"/>
                <w:sz w:val="20"/>
                <w:szCs w:val="20"/>
                <w:color w:val="auto"/>
              </w:rPr>
              <w:t>GM Finance Communications</w:t>
            </w:r>
          </w:p>
        </w:tc>
        <w:tc>
          <w:tcPr>
            <w:tcW w:w="1960" w:type="dxa"/>
            <w:vAlign w:val="bottom"/>
          </w:tcPr>
          <w:p>
            <w:pPr>
              <w:spacing w:after="0"/>
              <w:rPr>
                <w:sz w:val="20"/>
                <w:szCs w:val="20"/>
                <w:color w:val="auto"/>
              </w:rPr>
            </w:pPr>
            <w:r>
              <w:rPr>
                <w:rFonts w:ascii="Arial" w:cs="Arial" w:eastAsia="Arial" w:hAnsi="Arial"/>
                <w:sz w:val="20"/>
                <w:szCs w:val="20"/>
                <w:color w:val="auto"/>
                <w:w w:val="98"/>
              </w:rPr>
              <w:t>GM Investor Relations</w:t>
            </w:r>
          </w:p>
        </w:tc>
      </w:tr>
      <w:tr>
        <w:trPr>
          <w:trHeight w:val="230"/>
        </w:trPr>
        <w:tc>
          <w:tcPr>
            <w:tcW w:w="2140" w:type="dxa"/>
            <w:vAlign w:val="bottom"/>
          </w:tcPr>
          <w:p>
            <w:pPr>
              <w:spacing w:after="0"/>
              <w:rPr>
                <w:sz w:val="20"/>
                <w:szCs w:val="20"/>
                <w:color w:val="auto"/>
              </w:rPr>
            </w:pPr>
            <w:r>
              <w:rPr>
                <w:rFonts w:ascii="Arial" w:cs="Arial" w:eastAsia="Arial" w:hAnsi="Arial"/>
                <w:sz w:val="20"/>
                <w:szCs w:val="20"/>
                <w:color w:val="auto"/>
              </w:rPr>
              <w:t>313-410-2704</w:t>
            </w:r>
          </w:p>
        </w:tc>
        <w:tc>
          <w:tcPr>
            <w:tcW w:w="30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20"/>
                <w:szCs w:val="20"/>
                <w:color w:val="auto"/>
              </w:rPr>
              <w:t>313-268-7070</w:t>
            </w:r>
          </w:p>
        </w:tc>
      </w:tr>
      <w:tr>
        <w:trPr>
          <w:trHeight w:val="206"/>
        </w:trPr>
        <w:tc>
          <w:tcPr>
            <w:tcW w:w="5200" w:type="dxa"/>
            <w:vAlign w:val="bottom"/>
            <w:gridSpan w:val="2"/>
          </w:tcPr>
          <w:p>
            <w:pPr>
              <w:spacing w:after="0" w:line="206" w:lineRule="exact"/>
              <w:rPr>
                <w:sz w:val="20"/>
                <w:szCs w:val="20"/>
                <w:color w:val="auto"/>
              </w:rPr>
            </w:pPr>
            <w:r>
              <w:rPr>
                <w:rFonts w:ascii="Arial" w:cs="Arial" w:eastAsia="Arial" w:hAnsi="Arial"/>
                <w:sz w:val="20"/>
                <w:szCs w:val="20"/>
                <w:color w:val="0000FF"/>
              </w:rPr>
              <w:t>tom.e.henderson@gm.com</w:t>
            </w:r>
          </w:p>
        </w:tc>
        <w:tc>
          <w:tcPr>
            <w:tcW w:w="1960" w:type="dxa"/>
            <w:vAlign w:val="bottom"/>
          </w:tcPr>
          <w:p>
            <w:pPr>
              <w:spacing w:after="0" w:line="206" w:lineRule="exact"/>
              <w:rPr>
                <w:sz w:val="20"/>
                <w:szCs w:val="20"/>
                <w:color w:val="auto"/>
              </w:rPr>
            </w:pPr>
            <w:r>
              <w:rPr>
                <w:rFonts w:ascii="Arial" w:cs="Arial" w:eastAsia="Arial" w:hAnsi="Arial"/>
                <w:sz w:val="20"/>
                <w:szCs w:val="20"/>
                <w:color w:val="0000FF"/>
                <w:w w:val="90"/>
              </w:rPr>
              <w:t>randy.c.arickx@gm.com</w:t>
            </w:r>
          </w:p>
        </w:tc>
      </w:tr>
      <w:tr>
        <w:trPr>
          <w:trHeight w:val="20"/>
        </w:trPr>
        <w:tc>
          <w:tcPr>
            <w:tcW w:w="214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this press release, our use of the words “plans,” “anticipated,” “goals,” “expect,” “anticipate,” “possible,” “target,” “believe,” “commit,” “intend” “continue,” “may,” “would,” “could,” “should,” “project,” “appears,” “potential,” “projected,” “on track,”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various recalls; our ability to negotiate a successful new collective bargaining agreement with the UAW and avoid any costly work stoppage; our ability to remain competitive and our ability to continue to attract new customers, particularly for our new products. GM’s most recent reports on Form 10-K and Form 10-Q provide information about these and other factors, which we may revise or supplement in future reports to the Securities and Exchange Commission.</w:t>
      </w:r>
    </w:p>
    <w:sectPr>
      <w:pgSz w:w="11900" w:h="16838" w:orient="portrait"/>
      <w:cols w:equalWidth="0" w:num="1">
        <w:col w:w="11400"/>
      </w:cols>
      <w:pgMar w:left="240" w:top="73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2019-12-08T21:23:43Z</dcterms:created>
  <dcterms:modified xsi:type="dcterms:W3CDTF">2019-12-08T21:23:43Z</dcterms:modified>
</cp:coreProperties>
</file>