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93980</wp:posOffset>
            </wp:positionH>
            <wp:positionV relativeFrom="page">
              <wp:posOffset>480060</wp:posOffset>
            </wp:positionV>
            <wp:extent cx="73634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63460" cy="4254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3634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3634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3634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3634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ectPr>
          <w:pgSz w:w="11900" w:h="16838" w:orient="portrait"/>
          <w:cols w:equalWidth="0" w:num="1">
            <w:col w:w="11460"/>
          </w:cols>
          <w:pgMar w:left="160" w:top="977" w:right="27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81" w:lineRule="exact"/>
        <w:rPr>
          <w:sz w:val="24"/>
          <w:szCs w:val="24"/>
          <w:color w:val="auto"/>
        </w:rPr>
      </w:pPr>
    </w:p>
    <w:p>
      <w:pPr>
        <w:sectPr>
          <w:pgSz w:w="11900" w:h="16838" w:orient="portrait"/>
          <w:cols w:equalWidth="0" w:num="3">
            <w:col w:w="5620" w:space="720"/>
            <w:col w:w="2340" w:space="720"/>
            <w:col w:w="2060"/>
          </w:cols>
          <w:pgMar w:left="160" w:top="977" w:right="279" w:bottom="1440" w:gutter="0" w:footer="0" w:header="0"/>
          <w:type w:val="continuous"/>
        </w:sectPr>
      </w:pPr>
    </w:p>
    <w:p>
      <w:pPr>
        <w:jc w:val="center"/>
        <w:ind w:right="28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2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5600" w:space="720"/>
            <w:col w:w="2240" w:space="720"/>
            <w:col w:w="2180"/>
          </w:cols>
          <w:pgMar w:left="160" w:top="977" w:right="279" w:bottom="1440" w:gutter="0" w:footer="0" w:header="0"/>
          <w:type w:val="continuous"/>
        </w:sectPr>
      </w:pPr>
    </w:p>
    <w:p>
      <w:pPr>
        <w:spacing w:after="0" w:line="194" w:lineRule="exact"/>
        <w:rPr>
          <w:sz w:val="24"/>
          <w:szCs w:val="24"/>
          <w:color w:val="auto"/>
        </w:rPr>
      </w:pPr>
    </w:p>
    <w:p>
      <w:pPr>
        <w:ind w:left="2880"/>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82" w:lineRule="exact"/>
        <w:rPr>
          <w:sz w:val="24"/>
          <w:szCs w:val="24"/>
          <w:color w:val="auto"/>
        </w:rPr>
      </w:pPr>
    </w:p>
    <w:p>
      <w:pPr>
        <w:sectPr>
          <w:pgSz w:w="11900" w:h="16838" w:orient="portrait"/>
          <w:cols w:equalWidth="0" w:num="2">
            <w:col w:w="9200" w:space="720"/>
            <w:col w:w="1540"/>
          </w:cols>
          <w:pgMar w:left="160" w:top="977" w:right="279" w:bottom="1440" w:gutter="0" w:footer="0" w:header="0"/>
          <w:type w:val="continuous"/>
        </w:sectPr>
      </w:pPr>
    </w:p>
    <w:p>
      <w:pPr>
        <w:ind w:left="33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9300" w:space="720"/>
            <w:col w:w="1440"/>
          </w:cols>
          <w:pgMar w:left="160" w:top="977" w:right="279" w:bottom="1440" w:gutter="0" w:footer="0" w:header="0"/>
          <w:type w:val="continuous"/>
        </w:sectPr>
      </w:pPr>
    </w:p>
    <w:p>
      <w:pPr>
        <w:spacing w:after="0" w:line="11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Registrantâ€™s telephone number, including area code</w:t>
      </w:r>
    </w:p>
    <w:p>
      <w:pPr>
        <w:sectPr>
          <w:pgSz w:w="11900" w:h="16838" w:orient="portrait"/>
          <w:cols w:equalWidth="0" w:num="1">
            <w:col w:w="11460"/>
          </w:cols>
          <w:pgMar w:left="160" w:top="977" w:right="279" w:bottom="1440" w:gutter="0" w:footer="0" w:header="0"/>
          <w:type w:val="continuous"/>
        </w:sectPr>
      </w:pPr>
    </w:p>
    <w:p>
      <w:pPr>
        <w:spacing w:after="0" w:line="22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3634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pacing w:after="0" w:line="34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79" w:lineRule="exact"/>
        <w:rPr>
          <w:sz w:val="24"/>
          <w:szCs w:val="24"/>
          <w:color w:val="auto"/>
        </w:rPr>
      </w:pPr>
    </w:p>
    <w:p>
      <w:pPr>
        <w:ind w:left="40"/>
        <w:spacing w:after="0"/>
        <w:tabs>
          <w:tab w:leader="none" w:pos="480" w:val="left"/>
        </w:tabs>
        <w:rPr>
          <w:sz w:val="20"/>
          <w:szCs w:val="20"/>
          <w:color w:val="auto"/>
        </w:rPr>
      </w:pPr>
      <w:r>
        <w:rPr>
          <w:rFonts w:ascii="Arial" w:cs="Arial" w:eastAsia="Arial" w:hAnsi="Arial"/>
          <w:sz w:val="16"/>
          <w:szCs w:val="16"/>
          <w:color w:val="auto"/>
        </w:rPr>
        <w:t>â˜</w:t>
      </w:r>
      <w:r>
        <w:rPr>
          <w:sz w:val="20"/>
          <w:szCs w:val="20"/>
          <w:color w:val="auto"/>
        </w:rPr>
        <w:tab/>
      </w:r>
      <w:r>
        <w:rPr>
          <w:rFonts w:ascii="Arial" w:cs="Arial" w:eastAsia="Arial" w:hAnsi="Arial"/>
          <w:sz w:val="16"/>
          <w:szCs w:val="16"/>
          <w:color w:val="auto"/>
        </w:rPr>
        <w:t>Written communications pursuant to Rule 425 under the Securities Act (17 CFR 230.425)</w:t>
      </w:r>
    </w:p>
    <w:p>
      <w:pPr>
        <w:spacing w:after="0" w:line="397" w:lineRule="exact"/>
        <w:rPr>
          <w:sz w:val="24"/>
          <w:szCs w:val="24"/>
          <w:color w:val="auto"/>
        </w:rPr>
      </w:pPr>
    </w:p>
    <w:p>
      <w:pPr>
        <w:ind w:left="40"/>
        <w:spacing w:after="0"/>
        <w:tabs>
          <w:tab w:leader="none" w:pos="480" w:val="left"/>
        </w:tabs>
        <w:rPr>
          <w:sz w:val="20"/>
          <w:szCs w:val="20"/>
          <w:color w:val="auto"/>
        </w:rPr>
      </w:pPr>
      <w:r>
        <w:rPr>
          <w:rFonts w:ascii="Arial" w:cs="Arial" w:eastAsia="Arial" w:hAnsi="Arial"/>
          <w:sz w:val="16"/>
          <w:szCs w:val="16"/>
          <w:color w:val="auto"/>
        </w:rPr>
        <w:t>â˜</w:t>
      </w:r>
      <w:r>
        <w:rPr>
          <w:sz w:val="20"/>
          <w:szCs w:val="20"/>
          <w:color w:val="auto"/>
        </w:rPr>
        <w:tab/>
      </w:r>
      <w:r>
        <w:rPr>
          <w:rFonts w:ascii="Arial" w:cs="Arial" w:eastAsia="Arial" w:hAnsi="Arial"/>
          <w:sz w:val="16"/>
          <w:szCs w:val="16"/>
          <w:color w:val="auto"/>
        </w:rPr>
        <w:t>Soliciting material pursuant to Rule 14a-12 under the Exchange Act (17 CFR 240.14a-12)</w:t>
      </w:r>
    </w:p>
    <w:p>
      <w:pPr>
        <w:spacing w:after="0" w:line="208" w:lineRule="exact"/>
        <w:rPr>
          <w:sz w:val="24"/>
          <w:szCs w:val="24"/>
          <w:color w:val="auto"/>
        </w:rPr>
      </w:pPr>
    </w:p>
    <w:p>
      <w:pPr>
        <w:ind w:left="40"/>
        <w:spacing w:after="0"/>
        <w:tabs>
          <w:tab w:leader="none" w:pos="480" w:val="left"/>
        </w:tabs>
        <w:rPr>
          <w:sz w:val="20"/>
          <w:szCs w:val="20"/>
          <w:color w:val="auto"/>
        </w:rPr>
      </w:pPr>
      <w:r>
        <w:rPr>
          <w:rFonts w:ascii="Arial" w:cs="Arial" w:eastAsia="Arial" w:hAnsi="Arial"/>
          <w:sz w:val="16"/>
          <w:szCs w:val="16"/>
          <w:color w:val="auto"/>
        </w:rPr>
        <w:t>â˜</w:t>
      </w:r>
      <w:r>
        <w:rPr>
          <w:sz w:val="20"/>
          <w:szCs w:val="20"/>
          <w:color w:val="auto"/>
        </w:rPr>
        <w:tab/>
      </w:r>
      <w:r>
        <w:rPr>
          <w:rFonts w:ascii="Arial" w:cs="Arial" w:eastAsia="Arial" w:hAnsi="Arial"/>
          <w:sz w:val="16"/>
          <w:szCs w:val="16"/>
          <w:color w:val="auto"/>
        </w:rPr>
        <w:t>Pre-commencement communications pursuant to Rule 14d-2(b) under the Exchange Act (17 CFR 240.14d-2(b))</w:t>
      </w:r>
    </w:p>
    <w:p>
      <w:pPr>
        <w:spacing w:after="0" w:line="208" w:lineRule="exact"/>
        <w:rPr>
          <w:sz w:val="24"/>
          <w:szCs w:val="24"/>
          <w:color w:val="auto"/>
        </w:rPr>
      </w:pPr>
    </w:p>
    <w:p>
      <w:pPr>
        <w:ind w:left="40"/>
        <w:spacing w:after="0"/>
        <w:tabs>
          <w:tab w:leader="none" w:pos="480" w:val="left"/>
        </w:tabs>
        <w:rPr>
          <w:sz w:val="20"/>
          <w:szCs w:val="20"/>
          <w:color w:val="auto"/>
        </w:rPr>
      </w:pPr>
      <w:r>
        <w:rPr>
          <w:rFonts w:ascii="Arial" w:cs="Arial" w:eastAsia="Arial" w:hAnsi="Arial"/>
          <w:sz w:val="16"/>
          <w:szCs w:val="16"/>
          <w:color w:val="auto"/>
        </w:rPr>
        <w:t>â˜</w:t>
      </w:r>
      <w:r>
        <w:rPr>
          <w:sz w:val="20"/>
          <w:szCs w:val="20"/>
          <w:color w:val="auto"/>
        </w:rPr>
        <w:tab/>
      </w: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â˜</w:t>
      </w:r>
    </w:p>
    <w:p>
      <w:pPr>
        <w:spacing w:after="0" w:line="221" w:lineRule="exact"/>
        <w:rPr>
          <w:sz w:val="24"/>
          <w:szCs w:val="24"/>
          <w:color w:val="auto"/>
        </w:rPr>
      </w:pPr>
    </w:p>
    <w:p>
      <w:pPr>
        <w:ind w:right="20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â˜</w:t>
      </w:r>
    </w:p>
    <w:p>
      <w:pPr>
        <w:sectPr>
          <w:pgSz w:w="11900" w:h="16838" w:orient="portrait"/>
          <w:cols w:equalWidth="0" w:num="1">
            <w:col w:w="11460"/>
          </w:cols>
          <w:pgMar w:left="160" w:top="977" w:right="279" w:bottom="1440" w:gutter="0" w:footer="0" w:header="0"/>
          <w:type w:val="continuous"/>
        </w:sectPr>
      </w:pPr>
    </w:p>
    <w:bookmarkStart w:id="1" w:name="page2"/>
    <w:bookmarkEnd w:id="1"/>
    <w:p>
      <w:pPr>
        <w:ind w:left="1540" w:right="320" w:hanging="1484"/>
        <w:spacing w:after="0" w:line="267" w:lineRule="auto"/>
        <w:tabs>
          <w:tab w:leader="none" w:pos="152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318" w:lineRule="exact"/>
        <w:rPr>
          <w:sz w:val="20"/>
          <w:szCs w:val="20"/>
          <w:color w:val="auto"/>
        </w:rPr>
      </w:pPr>
    </w:p>
    <w:p>
      <w:pPr>
        <w:jc w:val="both"/>
        <w:ind w:firstLine="8"/>
        <w:spacing w:after="0" w:line="337" w:lineRule="auto"/>
        <w:tabs>
          <w:tab w:leader="none" w:pos="28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of General Motors Company has elected Mark L. Reuss, 55, to succeed Daniel L. Ammann as President, General Motors Company (â€œGMâ€ ), effective January 3, 2019. As President, Mr. Reuss will continue to report to Mary T. Barra, GMâ€™s Chairman of the Board and Chief Executive Officer, and will continue as a member of GMâ€™s senior leadership team. He will continue to lead GMâ€™s Global Product Group and Cadillac, and he will now also assume responsibility for GMâ€™s Quality organization. Prior to his election as President, Mr. Reuss served as Executive Vice President and President, Global Product Group and Cadillac (2018 to 2019) and, before then, Executive Vice President, Global Product Development, Purchasing and Supply Chain (2013 to 2018) and President, GM North America (2009 to 2013). He has held many other executive and management-level positions since joining GM in 1986.</w:t>
      </w:r>
    </w:p>
    <w:p>
      <w:pPr>
        <w:spacing w:after="0" w:line="234"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Mr. Reuss will continue to participate in GMâ€™s incentive compensation plans that have been previously disclosed or filed by GM. Other than his employment with GM, he has no other reportable relationships with GM or its affiliates.</w:t>
      </w:r>
    </w:p>
    <w:p>
      <w:pPr>
        <w:sectPr>
          <w:pgSz w:w="11900" w:h="16838" w:orient="portrait"/>
          <w:cols w:equalWidth="0" w:num="1">
            <w:col w:w="11560"/>
          </w:cols>
          <w:pgMar w:left="160" w:top="698" w:right="17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2"/>
          <w:szCs w:val="22"/>
          <w:b w:val="1"/>
          <w:bCs w:val="1"/>
          <w:color w:val="auto"/>
        </w:rPr>
        <w:t>SIGNATURE</w:t>
      </w:r>
    </w:p>
    <w:p>
      <w:pPr>
        <w:spacing w:after="0" w:line="21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740"/>
        <w:spacing w:after="0"/>
        <w:rPr>
          <w:sz w:val="20"/>
          <w:szCs w:val="20"/>
          <w:color w:val="auto"/>
        </w:rPr>
      </w:pPr>
      <w:r>
        <w:rPr>
          <w:rFonts w:ascii="Arial" w:cs="Arial" w:eastAsia="Arial" w:hAnsi="Arial"/>
          <w:sz w:val="20"/>
          <w:szCs w:val="20"/>
          <w:u w:val="single" w:color="auto"/>
          <w:color w:val="auto"/>
        </w:rPr>
        <w:t>GENERAL MOTORS COMPANY</w:t>
      </w:r>
    </w:p>
    <w:p>
      <w:pPr>
        <w:spacing w:after="0" w:line="54"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(Registrant)</w:t>
      </w:r>
    </w:p>
    <w:p>
      <w:pPr>
        <w:spacing w:after="0" w:line="324" w:lineRule="exact"/>
        <w:rPr>
          <w:sz w:val="20"/>
          <w:szCs w:val="20"/>
          <w:color w:val="auto"/>
        </w:rPr>
      </w:pPr>
    </w:p>
    <w:p>
      <w:pPr>
        <w:ind w:left="5940"/>
        <w:spacing w:after="0"/>
        <w:tabs>
          <w:tab w:leader="none" w:pos="6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27305</wp:posOffset>
            </wp:positionV>
            <wp:extent cx="314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47"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Rick E. Hansen</w:t>
      </w:r>
    </w:p>
    <w:p>
      <w:pPr>
        <w:spacing w:after="0" w:line="54"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Assistant General Counsel and Corporate Secretary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 January 3, 2019</w:t>
      </w:r>
    </w:p>
    <w:sectPr>
      <w:pgSz w:w="11900" w:h="16838" w:orient="portrait"/>
      <w:cols w:equalWidth="0" w:num="1">
        <w:col w:w="11380"/>
      </w:cols>
      <w:pgMar w:left="160" w:top="54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2019-12-15T17:45:31Z</dcterms:created>
  <dcterms:modified xsi:type="dcterms:W3CDTF">2019-12-15T17:45:31Z</dcterms:modified>
</cp:coreProperties>
</file>