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Davlin James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Vice President &amp; Treasurer</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90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600" w:type="dxa"/>
            <w:vAlign w:val="bottom"/>
            <w:gridSpan w:val="8"/>
          </w:tcPr>
          <w:p>
            <w:pPr>
              <w:ind w:left="2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12/31/2011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3"/>
              </w:rPr>
              <w:t>32,843</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4"/>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71,328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December 31, 2011 pursuant to the GMSSP and were fully vested upon grant. The SSUs will be delivered in the form of shares of Common Stock in three equal, annual installments beginning on December 31, 2012.</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Mr. Davlin</w:t>
            </w:r>
          </w:p>
        </w:tc>
        <w:tc>
          <w:tcPr>
            <w:tcW w:w="8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118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2019-12-17T01:15:39Z</dcterms:created>
  <dcterms:modified xsi:type="dcterms:W3CDTF">2019-12-17T01:15:39Z</dcterms:modified>
</cp:coreProperties>
</file>