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9"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6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Company as Specified in its Charter)</w:t>
      </w:r>
    </w:p>
    <w:p>
      <w:pPr>
        <w:sectPr>
          <w:pgSz w:w="11900" w:h="16838" w:orient="portrait"/>
          <w:cols w:equalWidth="0" w:num="1">
            <w:col w:w="11000"/>
          </w:cols>
          <w:pgMar w:left="240" w:top="226" w:right="659" w:bottom="1440" w:gutter="0" w:footer="0" w:header="0"/>
        </w:sectPr>
      </w:pPr>
    </w:p>
    <w:p>
      <w:pPr>
        <w:spacing w:after="0" w:line="19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27-0383222</w:t>
      </w:r>
    </w:p>
    <w:p>
      <w:pPr>
        <w:spacing w:after="0" w:line="37" w:lineRule="exact"/>
        <w:rPr>
          <w:sz w:val="24"/>
          <w:szCs w:val="24"/>
          <w:color w:val="auto"/>
        </w:rPr>
      </w:pPr>
    </w:p>
    <w:p>
      <w:pPr>
        <w:sectPr>
          <w:pgSz w:w="11900" w:h="16838" w:orient="portrait"/>
          <w:cols w:equalWidth="0" w:num="3">
            <w:col w:w="4720" w:space="720"/>
            <w:col w:w="3600" w:space="720"/>
            <w:col w:w="1240"/>
          </w:cols>
          <w:pgMar w:left="240" w:top="226" w:right="659" w:bottom="1440" w:gutter="0" w:footer="0" w:header="0"/>
          <w:type w:val="continuous"/>
        </w:sectPr>
      </w:pP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380" w:space="720"/>
            <w:col w:w="3820" w:space="720"/>
            <w:col w:w="1360"/>
          </w:cols>
          <w:pgMar w:left="240" w:top="226" w:right="65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8400" w:space="720"/>
            <w:col w:w="1880"/>
          </w:cols>
          <w:pgMar w:left="240" w:top="226" w:right="65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72" w:lineRule="exact"/>
        <w:rPr>
          <w:sz w:val="24"/>
          <w:szCs w:val="24"/>
          <w:color w:val="auto"/>
        </w:rPr>
      </w:pPr>
    </w:p>
    <w:p>
      <w:pPr>
        <w:sectPr>
          <w:pgSz w:w="11900" w:h="16838" w:orient="portrait"/>
          <w:cols w:equalWidth="0" w:num="2">
            <w:col w:w="8500" w:space="720"/>
            <w:col w:w="1780"/>
          </w:cols>
          <w:pgMar w:left="240" w:top="226" w:right="65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556-5000</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(Company’s telephone number, including area code)</w:t>
      </w:r>
    </w:p>
    <w:p>
      <w:pPr>
        <w:spacing w:after="0" w:line="13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26" w:right="6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Times New Roman" w:cs="Times New Roman" w:eastAsia="Times New Roman" w:hAnsi="Times New Roman"/>
          <w:sz w:val="16"/>
          <w:szCs w:val="16"/>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ITEM 8.01</w:t>
        </w:r>
      </w:hyperlink>
      <w:r>
        <w:rPr>
          <w:rFonts w:ascii="Times New Roman" w:cs="Times New Roman" w:eastAsia="Times New Roman" w:hAnsi="Times New Roman"/>
          <w:sz w:val="18"/>
          <w:szCs w:val="18"/>
          <w:b w:val="1"/>
          <w:bCs w:val="1"/>
          <w:u w:val="single" w:color="auto"/>
          <w:color w:val="0000EE"/>
        </w:rPr>
        <w:tab/>
      </w:r>
      <w:hyperlink w:anchor="page3">
        <w:r>
          <w:rPr>
            <w:rFonts w:ascii="Times New Roman" w:cs="Times New Roman" w:eastAsia="Times New Roman" w:hAnsi="Times New Roman"/>
            <w:sz w:val="16"/>
            <w:szCs w:val="16"/>
            <w:b w:val="1"/>
            <w:bCs w:val="1"/>
            <w:u w:val="single" w:color="auto"/>
            <w:color w:val="0000EE"/>
          </w:rPr>
          <w:t>Other Events</w:t>
        </w:r>
      </w:hyperlink>
    </w:p>
    <w:p>
      <w:pPr>
        <w:spacing w:after="0" w:line="23"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Sales Release and Charts Dated December 1, 2009</w:t>
        </w:r>
      </w:hyperlink>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December 1, 2009, General Motors Company (GM) issued a news release announcing November sales. The release and charts are attached as Exhibit 99.1.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7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8"/>
              </w:rPr>
              <w:t>Method of Filing</w:t>
            </w:r>
          </w:p>
        </w:tc>
        <w:tc>
          <w:tcPr>
            <w:tcW w:w="80" w:type="dxa"/>
            <w:vAlign w:val="bottom"/>
          </w:tcPr>
          <w:p>
            <w:pPr>
              <w:spacing w:after="0"/>
              <w:rPr>
                <w:sz w:val="24"/>
                <w:szCs w:val="24"/>
                <w:color w:val="auto"/>
              </w:rPr>
            </w:pPr>
          </w:p>
        </w:tc>
      </w:tr>
      <w:tr>
        <w:trPr>
          <w:trHeight w:val="316"/>
        </w:trPr>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99.1   Sales Release and Charts Dated December 1, 2009</w:t>
            </w:r>
          </w:p>
        </w:tc>
        <w:tc>
          <w:tcPr>
            <w:tcW w:w="740" w:type="dxa"/>
            <w:vAlign w:val="bottom"/>
          </w:tcPr>
          <w:p>
            <w:pPr>
              <w:spacing w:after="0"/>
              <w:rPr>
                <w:sz w:val="24"/>
                <w:szCs w:val="24"/>
                <w:color w:val="auto"/>
              </w:rPr>
            </w:pPr>
          </w:p>
        </w:tc>
        <w:tc>
          <w:tcPr>
            <w:tcW w:w="5100" w:type="dxa"/>
            <w:vAlign w:val="bottom"/>
            <w:gridSpan w:val="3"/>
          </w:tcPr>
          <w:p>
            <w:pPr>
              <w:ind w:left="3720"/>
              <w:spacing w:after="0"/>
              <w:rPr>
                <w:sz w:val="20"/>
                <w:szCs w:val="20"/>
                <w:color w:val="auto"/>
              </w:rPr>
            </w:pPr>
            <w:r>
              <w:rPr>
                <w:rFonts w:ascii="Times New Roman" w:cs="Times New Roman" w:eastAsia="Times New Roman" w:hAnsi="Times New Roman"/>
                <w:sz w:val="18"/>
                <w:szCs w:val="18"/>
                <w:color w:val="auto"/>
                <w:w w:val="95"/>
              </w:rPr>
              <w:t>Attached as Exhibit</w:t>
            </w:r>
          </w:p>
        </w:tc>
      </w:tr>
    </w:tbl>
    <w:p>
      <w:pPr>
        <w:sectPr>
          <w:pgSz w:w="11900" w:h="16838" w:orient="portrait"/>
          <w:cols w:equalWidth="0" w:num="1">
            <w:col w:w="11180"/>
          </w:cols>
          <w:pgMar w:left="24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6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u w:val="single" w:color="auto"/>
          <w:color w:val="auto"/>
        </w:rPr>
        <w:t>GENERAL MOTORS COMPANY</w:t>
      </w:r>
    </w:p>
    <w:p>
      <w:pPr>
        <w:spacing w:after="0" w:line="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(Company)</w:t>
      </w:r>
    </w:p>
    <w:p>
      <w:pPr>
        <w:spacing w:after="0" w:line="368"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Times New Roman" w:cs="Times New Roman" w:eastAsia="Times New Roman" w:hAnsi="Times New Roman"/>
          <w:sz w:val="18"/>
          <w:szCs w:val="18"/>
          <w:color w:val="auto"/>
        </w:rPr>
        <w:t>Date: December 2, 2009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5"/>
          <w:szCs w:val="15"/>
          <w:color w:val="auto"/>
        </w:rPr>
        <w:t>N</w:t>
      </w:r>
      <w:r>
        <w:rPr>
          <w:rFonts w:ascii="Times New Roman" w:cs="Times New Roman" w:eastAsia="Times New Roman" w:hAnsi="Times New Roman"/>
          <w:sz w:val="24"/>
          <w:szCs w:val="24"/>
          <w:color w:val="auto"/>
          <w:vertAlign w:val="superscript"/>
        </w:rPr>
        <w:t>ICK</w:t>
      </w:r>
      <w:r>
        <w:rPr>
          <w:rFonts w:ascii="Times New Roman" w:cs="Times New Roman" w:eastAsia="Times New Roman" w:hAnsi="Times New Roman"/>
          <w:sz w:val="15"/>
          <w:szCs w:val="15"/>
          <w:color w:val="auto"/>
        </w:rPr>
        <w:t xml:space="preserve"> S. C</w:t>
      </w:r>
      <w:r>
        <w:rPr>
          <w:rFonts w:ascii="Times New Roman" w:cs="Times New Roman" w:eastAsia="Times New Roman" w:hAnsi="Times New Roman"/>
          <w:sz w:val="24"/>
          <w:szCs w:val="24"/>
          <w:color w:val="auto"/>
          <w:vertAlign w:val="superscript"/>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6300"/>
        <w:spacing w:after="0" w:line="221" w:lineRule="auto"/>
        <w:rPr>
          <w:sz w:val="20"/>
          <w:szCs w:val="20"/>
          <w:color w:val="auto"/>
        </w:rPr>
      </w:pPr>
      <w:r>
        <w:rPr>
          <w:rFonts w:ascii="Times New Roman" w:cs="Times New Roman" w:eastAsia="Times New Roman" w:hAnsi="Times New Roman"/>
          <w:sz w:val="14"/>
          <w:szCs w:val="14"/>
          <w:b w:val="1"/>
          <w:bCs w:val="1"/>
          <w:color w:val="auto"/>
        </w:rPr>
        <w:t>Nick S. Cyprus</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Vice President, Controller and Chief Accounting Officer</w:t>
      </w:r>
    </w:p>
    <w:p>
      <w:pPr>
        <w:sectPr>
          <w:pgSz w:w="11900" w:h="16838" w:orient="portrait"/>
          <w:cols w:equalWidth="0" w:num="1">
            <w:col w:w="10960"/>
          </w:cols>
          <w:pgMar w:left="240" w:top="455"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187960</wp:posOffset>
            </wp:positionV>
            <wp:extent cx="3249930" cy="943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993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Release: 1:45 p.m. 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2009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Reports 151,427 Total Sales in November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Retail Sales for Buick, Cadillac, Chevrolet and GMC Up 10 Percent</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GM dealers in the U.S. delivered 151,427 vehicles in November. While this represents a decline of 2 percent compared with November 2008, GM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sales were up 1 percent for the month. Total sales for Chevrolet, Buick, GMC and Cadillac were up 6 percent vs. the prior year. Retail sales for these brands were up 10 percent vs. the prior year, and currently represent 94 percent of GM’s retail sales performance.</w:t>
      </w:r>
    </w:p>
    <w:p>
      <w:pPr>
        <w:spacing w:after="0" w:line="12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“Consumer interest in our launch vehicles remains solid,” said Susan Docherty, GM vice president, U.S. Sales. “We’re working to strengthen our Chevrolet, Buick, GMC and Cadillac brands by providing cars, crossovers and trucks with the sales and service experience that our customers deserve. We have more to do, but we’re committed to earning consideration and future sales by delivering great products in every segment.”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quick facts:</w:t>
      </w:r>
    </w:p>
    <w:p>
      <w:pPr>
        <w:spacing w:after="0" w:line="21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Combined retail sales of Buick, Cadillac, Chevrolet and GMC represented 94 percent of GM retail sales, up from 86 percent in November 2008</w:t>
      </w:r>
    </w:p>
    <w:p>
      <w:pPr>
        <w:spacing w:after="0" w:line="21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GM retail sales increased 1 percent when compared with the prior year</w:t>
      </w:r>
    </w:p>
    <w:p>
      <w:pPr>
        <w:spacing w:after="0" w:line="21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Retail sales for Buick, Cadillac, Chevrolet and GMC increased 10 percent for the month compared with November 2008</w:t>
      </w:r>
    </w:p>
    <w:p>
      <w:pPr>
        <w:spacing w:after="0" w:line="211" w:lineRule="exact"/>
        <w:rPr>
          <w:rFonts w:ascii="Times New Roman" w:cs="Times New Roman" w:eastAsia="Times New Roman" w:hAnsi="Times New Roman"/>
          <w:sz w:val="18"/>
          <w:szCs w:val="18"/>
          <w:i w:val="1"/>
          <w:iCs w:val="1"/>
          <w:color w:val="auto"/>
        </w:rPr>
      </w:pPr>
    </w:p>
    <w:p>
      <w:pPr>
        <w:ind w:left="460" w:hanging="452"/>
        <w:spacing w:after="0" w:line="277" w:lineRule="auto"/>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Retail sales of our six launch vehicles comprised 22 percent of total GM retail sales, more than one out of five retail sales, and volume was 6 percent higher than last month</w:t>
      </w:r>
    </w:p>
    <w:p>
      <w:pPr>
        <w:spacing w:after="0" w:line="156"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Retail sales of Buick, Cadillac, Chevrolet and GMC Crossover launch vehicles were up 140 percent vs. a year ago compared with the vehicles they replace</w:t>
      </w:r>
    </w:p>
    <w:p>
      <w:pPr>
        <w:spacing w:after="0" w:line="234" w:lineRule="exact"/>
        <w:rPr>
          <w:rFonts w:ascii="Times New Roman" w:cs="Times New Roman" w:eastAsia="Times New Roman" w:hAnsi="Times New Roman"/>
          <w:sz w:val="16"/>
          <w:szCs w:val="16"/>
          <w:i w:val="1"/>
          <w:iCs w:val="1"/>
          <w:color w:val="auto"/>
        </w:rPr>
      </w:pPr>
    </w:p>
    <w:p>
      <w:pPr>
        <w:ind w:left="460" w:right="220" w:hanging="452"/>
        <w:spacing w:after="0" w:line="277" w:lineRule="auto"/>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Combined retail sales of crossovers and cars were 60 percent of GM retail sales for the month, compared with 46 percent in November 2008 – the eighth month at this level in 2009</w:t>
      </w:r>
    </w:p>
    <w:p>
      <w:pPr>
        <w:spacing w:after="0" w:line="156"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sales for GM full-size pickup trucks were down 24 percent for the month, compared to November 2008</w:t>
      </w:r>
    </w:p>
    <w:p>
      <w:pPr>
        <w:spacing w:after="0" w:line="21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Fleet sales declined 9 percent vs. November 2008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420"/>
          </w:cols>
          <w:pgMar w:left="240" w:top="12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Chevrolet key facts:</w:t>
      </w:r>
    </w:p>
    <w:p>
      <w:pPr>
        <w:spacing w:after="0" w:line="212"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Chevrolet </w:t>
      </w:r>
      <w:r>
        <w:rPr>
          <w:rFonts w:ascii="Times New Roman" w:cs="Times New Roman" w:eastAsia="Times New Roman" w:hAnsi="Times New Roman"/>
          <w:sz w:val="18"/>
          <w:szCs w:val="18"/>
          <w:color w:val="auto"/>
        </w:rPr>
        <w:t>retail sales were up 10 percent for the month compared with a year ago – the second consecutive monthly retail sales gain</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Chevrolet </w:t>
      </w:r>
      <w:r>
        <w:rPr>
          <w:rFonts w:ascii="Times New Roman" w:cs="Times New Roman" w:eastAsia="Times New Roman" w:hAnsi="Times New Roman"/>
          <w:sz w:val="18"/>
          <w:szCs w:val="18"/>
          <w:color w:val="auto"/>
        </w:rPr>
        <w:t>passenger car retail sales were up 41 percent vs. November 2008, led by Aveo (up 94 percent), and Malibu (up 34 percent)</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Traverse </w:t>
      </w:r>
      <w:r>
        <w:rPr>
          <w:rFonts w:ascii="Times New Roman" w:cs="Times New Roman" w:eastAsia="Times New Roman" w:hAnsi="Times New Roman"/>
          <w:sz w:val="18"/>
          <w:szCs w:val="18"/>
          <w:color w:val="auto"/>
        </w:rPr>
        <w:t>retail sales were up 154 percent compared with November 2008</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Equinox </w:t>
      </w:r>
      <w:r>
        <w:rPr>
          <w:rFonts w:ascii="Times New Roman" w:cs="Times New Roman" w:eastAsia="Times New Roman" w:hAnsi="Times New Roman"/>
          <w:sz w:val="18"/>
          <w:szCs w:val="18"/>
          <w:color w:val="auto"/>
        </w:rPr>
        <w:t>retail sales were up 247 percent compared with last year, and up 27 percent calendar year-to-date</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Camaro </w:t>
      </w:r>
      <w:r>
        <w:rPr>
          <w:rFonts w:ascii="Times New Roman" w:cs="Times New Roman" w:eastAsia="Times New Roman" w:hAnsi="Times New Roman"/>
          <w:sz w:val="18"/>
          <w:szCs w:val="18"/>
          <w:color w:val="auto"/>
        </w:rPr>
        <w:t>retail sales were 6,827 – the sixth consecutive month above 6,000 and higher than Ford Mustang</w:t>
      </w:r>
    </w:p>
    <w:p>
      <w:pPr>
        <w:spacing w:after="0" w:line="200" w:lineRule="exact"/>
        <w:rPr>
          <w:sz w:val="20"/>
          <w:szCs w:val="20"/>
          <w:color w:val="auto"/>
        </w:rPr>
      </w:pPr>
    </w:p>
    <w:p>
      <w:pPr>
        <w:spacing w:after="0" w:line="390"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Buick </w:t>
      </w:r>
      <w:r>
        <w:rPr>
          <w:rFonts w:ascii="Times New Roman" w:cs="Times New Roman" w:eastAsia="Times New Roman" w:hAnsi="Times New Roman"/>
          <w:sz w:val="18"/>
          <w:szCs w:val="18"/>
          <w:color w:val="auto"/>
        </w:rPr>
        <w:t>retail sales were up 33 percent compared with a year ago</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LaCrosse </w:t>
      </w:r>
      <w:r>
        <w:rPr>
          <w:rFonts w:ascii="Times New Roman" w:cs="Times New Roman" w:eastAsia="Times New Roman" w:hAnsi="Times New Roman"/>
          <w:sz w:val="18"/>
          <w:szCs w:val="18"/>
          <w:color w:val="auto"/>
        </w:rPr>
        <w:t>retail sales were up 238 percent compared with November 2008</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Enclave </w:t>
      </w:r>
      <w:r>
        <w:rPr>
          <w:rFonts w:ascii="Times New Roman" w:cs="Times New Roman" w:eastAsia="Times New Roman" w:hAnsi="Times New Roman"/>
          <w:sz w:val="18"/>
          <w:szCs w:val="18"/>
          <w:color w:val="auto"/>
        </w:rPr>
        <w:t>retail sales were up 33 percent compared with November 2008</w:t>
      </w:r>
    </w:p>
    <w:p>
      <w:pPr>
        <w:spacing w:after="0" w:line="200" w:lineRule="exact"/>
        <w:rPr>
          <w:sz w:val="20"/>
          <w:szCs w:val="20"/>
          <w:color w:val="auto"/>
        </w:rPr>
      </w:pPr>
    </w:p>
    <w:p>
      <w:pPr>
        <w:spacing w:after="0" w:line="39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GMC </w:t>
      </w:r>
      <w:r>
        <w:rPr>
          <w:rFonts w:ascii="Times New Roman" w:cs="Times New Roman" w:eastAsia="Times New Roman" w:hAnsi="Times New Roman"/>
          <w:sz w:val="18"/>
          <w:szCs w:val="18"/>
          <w:color w:val="auto"/>
        </w:rPr>
        <w:t>retail sales were up 6 percent vs. November 2008</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Terrain </w:t>
      </w:r>
      <w:r>
        <w:rPr>
          <w:rFonts w:ascii="Times New Roman" w:cs="Times New Roman" w:eastAsia="Times New Roman" w:hAnsi="Times New Roman"/>
          <w:sz w:val="18"/>
          <w:szCs w:val="18"/>
          <w:color w:val="auto"/>
        </w:rPr>
        <w:t>retail sales of 3,514 were 418 percent higher compared with last year for the vehicle it replaces (Pontiac Torrent)</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Acadia </w:t>
      </w:r>
      <w:r>
        <w:rPr>
          <w:rFonts w:ascii="Times New Roman" w:cs="Times New Roman" w:eastAsia="Times New Roman" w:hAnsi="Times New Roman"/>
          <w:sz w:val="18"/>
          <w:szCs w:val="18"/>
          <w:color w:val="auto"/>
        </w:rPr>
        <w:t>retail sales were up 17 percent compared with November 2008</w:t>
      </w:r>
    </w:p>
    <w:p>
      <w:pPr>
        <w:spacing w:after="0" w:line="200" w:lineRule="exact"/>
        <w:rPr>
          <w:sz w:val="20"/>
          <w:szCs w:val="20"/>
          <w:color w:val="auto"/>
        </w:rPr>
      </w:pPr>
    </w:p>
    <w:p>
      <w:pPr>
        <w:spacing w:after="0" w:line="390" w:lineRule="exact"/>
        <w:rPr>
          <w:sz w:val="20"/>
          <w:szCs w:val="20"/>
          <w:color w:val="auto"/>
        </w:rPr>
      </w:pPr>
    </w:p>
    <w:p>
      <w:pPr>
        <w:ind w:left="460" w:hanging="452"/>
        <w:spacing w:after="0" w:line="277"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Cadillac </w:t>
      </w:r>
      <w:r>
        <w:rPr>
          <w:rFonts w:ascii="Times New Roman" w:cs="Times New Roman" w:eastAsia="Times New Roman" w:hAnsi="Times New Roman"/>
          <w:sz w:val="18"/>
          <w:szCs w:val="18"/>
          <w:color w:val="auto"/>
        </w:rPr>
        <w:t>retail sales were up 2 percent and total sales were up 10 percent compared with November 2008—the second consecutive month of retail and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gains</w:t>
      </w:r>
    </w:p>
    <w:p>
      <w:pPr>
        <w:spacing w:after="0" w:line="15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SRX </w:t>
      </w:r>
      <w:r>
        <w:rPr>
          <w:rFonts w:ascii="Times New Roman" w:cs="Times New Roman" w:eastAsia="Times New Roman" w:hAnsi="Times New Roman"/>
          <w:sz w:val="18"/>
          <w:szCs w:val="18"/>
          <w:color w:val="auto"/>
        </w:rPr>
        <w:t>retail sales were 361 percent higher vs. the prior year</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SRX </w:t>
      </w:r>
      <w:r>
        <w:rPr>
          <w:rFonts w:ascii="Times New Roman" w:cs="Times New Roman" w:eastAsia="Times New Roman" w:hAnsi="Times New Roman"/>
          <w:sz w:val="18"/>
          <w:szCs w:val="18"/>
          <w:color w:val="auto"/>
        </w:rPr>
        <w:t>retail sales are up 5 percent calendar year-to-date through November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Brands Sold 11,755 Total Vehicles in November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 of total GM sales, these brands represented 8 percent of sales, compared with 15 percent in November 2008.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400"/>
          </w:cols>
          <w:pgMar w:left="240" w:top="272"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Discussion of November Sales Results</w:t>
      </w:r>
    </w:p>
    <w:p>
      <w:pPr>
        <w:spacing w:after="0" w:line="1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continue to be encouraged by the latest information which shows the U.S. economy strengthening,” said Mike DiGiovanni, executive director, Global Market and Industry Analysis. “For example, we estimate that housing starts will probably rise to about 600,000 to 650,000 by the end of 2010, which will have a positive effect on the economy and will also help support improvement in light-duty pickup truck sales.”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Economy</w:t>
      </w:r>
    </w:p>
    <w:p>
      <w:pPr>
        <w:spacing w:after="0" w:line="293" w:lineRule="exact"/>
        <w:rPr>
          <w:sz w:val="20"/>
          <w:szCs w:val="20"/>
          <w:color w:val="auto"/>
        </w:rPr>
      </w:pPr>
    </w:p>
    <w:p>
      <w:pPr>
        <w:ind w:left="460" w:right="48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spread has returned to normal levels. However, consumer credit continues to contract – reflecting both weak credit demand and cautious bank lending</w:t>
      </w:r>
    </w:p>
    <w:p>
      <w:pPr>
        <w:spacing w:after="0" w:line="1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fell slightly in November, but remains much improved from the trough in February</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sector is increasing output due to depleted current inventories</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 losses continue to slow, however employment levels continue to be a concern</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starts, new and existing home sales, and home prices are beginning to stabilize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 S. Auto Industry</w:t>
      </w:r>
    </w:p>
    <w:p>
      <w:pPr>
        <w:spacing w:after="0" w:line="212"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November 2009 SAAR is estimated to be slightly higher than October – approximately 11.0 million (total industry estimate)</w:t>
      </w:r>
    </w:p>
    <w:p>
      <w:pPr>
        <w:spacing w:after="0" w:line="21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inventory levels are anticipated to increase moderately through Q4 to support modestly rising industry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North America Production</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520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color w:val="auto"/>
              </w:rPr>
              <w:t>Units 000s</w:t>
            </w:r>
          </w:p>
        </w:tc>
        <w:tc>
          <w:tcPr>
            <w:tcW w:w="300" w:type="dxa"/>
            <w:vAlign w:val="bottom"/>
          </w:tcPr>
          <w:p>
            <w:pPr>
              <w:spacing w:after="0"/>
              <w:rPr>
                <w:sz w:val="17"/>
                <w:szCs w:val="17"/>
                <w:color w:val="auto"/>
              </w:rPr>
            </w:pPr>
          </w:p>
        </w:tc>
        <w:tc>
          <w:tcPr>
            <w:tcW w:w="1860" w:type="dxa"/>
            <w:vAlign w:val="bottom"/>
            <w:tcBorders>
              <w:top w:val="single" w:sz="8" w:color="auto"/>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Car</w:t>
            </w:r>
          </w:p>
        </w:tc>
        <w:tc>
          <w:tcPr>
            <w:tcW w:w="2040" w:type="dxa"/>
            <w:vAlign w:val="bottom"/>
            <w:tcBorders>
              <w:top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Truck</w:t>
            </w:r>
          </w:p>
        </w:tc>
        <w:tc>
          <w:tcPr>
            <w:tcW w:w="202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20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2009 November</w:t>
            </w:r>
          </w:p>
        </w:tc>
        <w:tc>
          <w:tcPr>
            <w:tcW w:w="300" w:type="dxa"/>
            <w:vAlign w:val="bottom"/>
            <w:vMerge w:val="continue"/>
          </w:tcPr>
          <w:p>
            <w:pPr>
              <w:spacing w:after="0"/>
              <w:rPr>
                <w:sz w:val="16"/>
                <w:szCs w:val="16"/>
                <w:color w:val="auto"/>
              </w:rPr>
            </w:pPr>
          </w:p>
        </w:tc>
        <w:tc>
          <w:tcPr>
            <w:tcW w:w="1860" w:type="dxa"/>
            <w:vAlign w:val="bottom"/>
            <w:tcBorders>
              <w:left w:val="single" w:sz="8" w:color="auto"/>
              <w:right w:val="single" w:sz="8" w:color="auto"/>
            </w:tcBorders>
          </w:tcPr>
          <w:p>
            <w:pPr>
              <w:jc w:val="center"/>
              <w:ind w:left="134"/>
              <w:spacing w:after="0" w:line="194" w:lineRule="exact"/>
              <w:rPr>
                <w:sz w:val="20"/>
                <w:szCs w:val="20"/>
                <w:color w:val="auto"/>
              </w:rPr>
            </w:pPr>
            <w:r>
              <w:rPr>
                <w:rFonts w:ascii="Times New Roman" w:cs="Times New Roman" w:eastAsia="Times New Roman" w:hAnsi="Times New Roman"/>
                <w:sz w:val="18"/>
                <w:szCs w:val="18"/>
                <w:color w:val="auto"/>
                <w:w w:val="88"/>
              </w:rPr>
              <w:t>75</w:t>
            </w:r>
          </w:p>
        </w:tc>
        <w:tc>
          <w:tcPr>
            <w:tcW w:w="2040" w:type="dxa"/>
            <w:vAlign w:val="bottom"/>
            <w:tcBorders>
              <w:right w:val="single" w:sz="8" w:color="auto"/>
            </w:tcBorders>
          </w:tcPr>
          <w:p>
            <w:pPr>
              <w:jc w:val="center"/>
              <w:ind w:left="214"/>
              <w:spacing w:after="0" w:line="194" w:lineRule="exact"/>
              <w:rPr>
                <w:sz w:val="20"/>
                <w:szCs w:val="20"/>
                <w:color w:val="auto"/>
              </w:rPr>
            </w:pPr>
            <w:r>
              <w:rPr>
                <w:rFonts w:ascii="Times New Roman" w:cs="Times New Roman" w:eastAsia="Times New Roman" w:hAnsi="Times New Roman"/>
                <w:sz w:val="18"/>
                <w:szCs w:val="18"/>
                <w:color w:val="auto"/>
                <w:w w:val="96"/>
              </w:rPr>
              <w:t>133</w:t>
            </w:r>
          </w:p>
        </w:tc>
        <w:tc>
          <w:tcPr>
            <w:tcW w:w="2020" w:type="dxa"/>
            <w:vAlign w:val="bottom"/>
            <w:tcBorders>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b w:val="1"/>
                <w:bCs w:val="1"/>
                <w:color w:val="auto"/>
                <w:w w:val="96"/>
              </w:rPr>
              <w:t>208</w:t>
            </w:r>
          </w:p>
        </w:tc>
        <w:tc>
          <w:tcPr>
            <w:tcW w:w="0" w:type="dxa"/>
            <w:vAlign w:val="bottom"/>
          </w:tcPr>
          <w:p>
            <w:pPr>
              <w:spacing w:after="0"/>
              <w:rPr>
                <w:sz w:val="1"/>
                <w:szCs w:val="1"/>
                <w:color w:val="auto"/>
              </w:rPr>
            </w:pPr>
          </w:p>
        </w:tc>
      </w:tr>
      <w:tr>
        <w:trPr>
          <w:trHeight w:val="214"/>
        </w:trPr>
        <w:tc>
          <w:tcPr>
            <w:tcW w:w="52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Units O/(U) prior year</w:t>
            </w:r>
          </w:p>
        </w:tc>
        <w:tc>
          <w:tcPr>
            <w:tcW w:w="300" w:type="dxa"/>
            <w:vAlign w:val="bottom"/>
          </w:tcPr>
          <w:p>
            <w:pPr>
              <w:spacing w:after="0"/>
              <w:rPr>
                <w:sz w:val="18"/>
                <w:szCs w:val="18"/>
                <w:color w:val="auto"/>
              </w:rPr>
            </w:pPr>
          </w:p>
        </w:tc>
        <w:tc>
          <w:tcPr>
            <w:tcW w:w="1860" w:type="dxa"/>
            <w:vAlign w:val="bottom"/>
            <w:tcBorders>
              <w:left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3"/>
              </w:rPr>
              <w:t>(34)</w:t>
            </w:r>
          </w:p>
        </w:tc>
        <w:tc>
          <w:tcPr>
            <w:tcW w:w="2040" w:type="dxa"/>
            <w:vAlign w:val="bottom"/>
            <w:tcBorders>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rPr>
              <w:t>(7)</w:t>
            </w:r>
          </w:p>
        </w:tc>
        <w:tc>
          <w:tcPr>
            <w:tcW w:w="2020" w:type="dxa"/>
            <w:vAlign w:val="bottom"/>
            <w:tcBorders>
              <w:right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0" w:type="dxa"/>
            <w:vAlign w:val="bottom"/>
          </w:tcPr>
          <w:p>
            <w:pPr>
              <w:spacing w:after="0"/>
              <w:rPr>
                <w:sz w:val="1"/>
                <w:szCs w:val="1"/>
                <w:color w:val="auto"/>
              </w:rPr>
            </w:pPr>
          </w:p>
        </w:tc>
      </w:tr>
      <w:tr>
        <w:trPr>
          <w:trHeight w:val="233"/>
        </w:trPr>
        <w:tc>
          <w:tcPr>
            <w:tcW w:w="5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 change O/(U) prior year</w:t>
            </w:r>
          </w:p>
        </w:tc>
        <w:tc>
          <w:tcPr>
            <w:tcW w:w="300" w:type="dxa"/>
            <w:vAlign w:val="bottom"/>
          </w:tcPr>
          <w:p>
            <w:pPr>
              <w:spacing w:after="0"/>
              <w:rPr>
                <w:sz w:val="20"/>
                <w:szCs w:val="20"/>
                <w:color w:val="auto"/>
              </w:rPr>
            </w:pPr>
          </w:p>
        </w:tc>
        <w:tc>
          <w:tcPr>
            <w:tcW w:w="1860" w:type="dxa"/>
            <w:vAlign w:val="bottom"/>
            <w:tcBorders>
              <w:left w:val="single" w:sz="8" w:color="auto"/>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i w:val="1"/>
                <w:iCs w:val="1"/>
                <w:color w:val="auto"/>
                <w:w w:val="97"/>
              </w:rPr>
              <w:t>(31%)</w:t>
            </w:r>
          </w:p>
        </w:tc>
        <w:tc>
          <w:tcPr>
            <w:tcW w:w="204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i w:val="1"/>
                <w:iCs w:val="1"/>
                <w:color w:val="auto"/>
                <w:w w:val="94"/>
              </w:rPr>
              <w:t>(5%)</w:t>
            </w:r>
          </w:p>
        </w:tc>
        <w:tc>
          <w:tcPr>
            <w:tcW w:w="202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b w:val="1"/>
                <w:bCs w:val="1"/>
                <w:i w:val="1"/>
                <w:iCs w:val="1"/>
                <w:color w:val="auto"/>
                <w:w w:val="97"/>
              </w:rPr>
              <w:t>(16%)</w:t>
            </w:r>
          </w:p>
        </w:tc>
        <w:tc>
          <w:tcPr>
            <w:tcW w:w="0" w:type="dxa"/>
            <w:vAlign w:val="bottom"/>
          </w:tcPr>
          <w:p>
            <w:pPr>
              <w:spacing w:after="0"/>
              <w:rPr>
                <w:sz w:val="1"/>
                <w:szCs w:val="1"/>
                <w:color w:val="auto"/>
              </w:rPr>
            </w:pPr>
          </w:p>
        </w:tc>
      </w:tr>
      <w:tr>
        <w:trPr>
          <w:trHeight w:val="143"/>
        </w:trPr>
        <w:tc>
          <w:tcPr>
            <w:tcW w:w="5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20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2009 Q4</w:t>
            </w:r>
          </w:p>
        </w:tc>
        <w:tc>
          <w:tcPr>
            <w:tcW w:w="300" w:type="dxa"/>
            <w:vAlign w:val="bottom"/>
            <w:vMerge w:val="continue"/>
          </w:tcPr>
          <w:p>
            <w:pPr>
              <w:spacing w:after="0"/>
              <w:rPr>
                <w:sz w:val="16"/>
                <w:szCs w:val="16"/>
                <w:color w:val="auto"/>
              </w:rPr>
            </w:pPr>
          </w:p>
        </w:tc>
        <w:tc>
          <w:tcPr>
            <w:tcW w:w="1860" w:type="dxa"/>
            <w:vAlign w:val="bottom"/>
            <w:tcBorders>
              <w:left w:val="single" w:sz="8" w:color="auto"/>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color w:val="auto"/>
                <w:w w:val="96"/>
              </w:rPr>
              <w:t>239</w:t>
            </w:r>
          </w:p>
        </w:tc>
        <w:tc>
          <w:tcPr>
            <w:tcW w:w="2040" w:type="dxa"/>
            <w:vAlign w:val="bottom"/>
            <w:tcBorders>
              <w:right w:val="single" w:sz="8" w:color="auto"/>
            </w:tcBorders>
          </w:tcPr>
          <w:p>
            <w:pPr>
              <w:jc w:val="center"/>
              <w:ind w:left="214"/>
              <w:spacing w:after="0" w:line="194" w:lineRule="exact"/>
              <w:rPr>
                <w:sz w:val="20"/>
                <w:szCs w:val="20"/>
                <w:color w:val="auto"/>
              </w:rPr>
            </w:pPr>
            <w:r>
              <w:rPr>
                <w:rFonts w:ascii="Times New Roman" w:cs="Times New Roman" w:eastAsia="Times New Roman" w:hAnsi="Times New Roman"/>
                <w:sz w:val="18"/>
                <w:szCs w:val="18"/>
                <w:color w:val="auto"/>
                <w:w w:val="96"/>
              </w:rPr>
              <w:t>381</w:t>
            </w:r>
          </w:p>
        </w:tc>
        <w:tc>
          <w:tcPr>
            <w:tcW w:w="2020" w:type="dxa"/>
            <w:vAlign w:val="bottom"/>
            <w:tcBorders>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b w:val="1"/>
                <w:bCs w:val="1"/>
                <w:color w:val="auto"/>
                <w:w w:val="96"/>
              </w:rPr>
              <w:t>620</w:t>
            </w:r>
          </w:p>
        </w:tc>
        <w:tc>
          <w:tcPr>
            <w:tcW w:w="0" w:type="dxa"/>
            <w:vAlign w:val="bottom"/>
          </w:tcPr>
          <w:p>
            <w:pPr>
              <w:spacing w:after="0"/>
              <w:rPr>
                <w:sz w:val="1"/>
                <w:szCs w:val="1"/>
                <w:color w:val="auto"/>
              </w:rPr>
            </w:pPr>
          </w:p>
        </w:tc>
      </w:tr>
      <w:tr>
        <w:trPr>
          <w:trHeight w:val="214"/>
        </w:trPr>
        <w:tc>
          <w:tcPr>
            <w:tcW w:w="52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Units O/(U) prior year</w:t>
            </w:r>
          </w:p>
        </w:tc>
        <w:tc>
          <w:tcPr>
            <w:tcW w:w="300" w:type="dxa"/>
            <w:vAlign w:val="bottom"/>
          </w:tcPr>
          <w:p>
            <w:pPr>
              <w:spacing w:after="0"/>
              <w:rPr>
                <w:sz w:val="18"/>
                <w:szCs w:val="18"/>
                <w:color w:val="auto"/>
              </w:rPr>
            </w:pPr>
          </w:p>
        </w:tc>
        <w:tc>
          <w:tcPr>
            <w:tcW w:w="1860" w:type="dxa"/>
            <w:vAlign w:val="bottom"/>
            <w:tcBorders>
              <w:left w:val="single" w:sz="8" w:color="auto"/>
              <w:right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color w:val="auto"/>
                <w:w w:val="97"/>
              </w:rPr>
              <w:t>(126)</w:t>
            </w:r>
          </w:p>
        </w:tc>
        <w:tc>
          <w:tcPr>
            <w:tcW w:w="2040" w:type="dxa"/>
            <w:vAlign w:val="bottom"/>
            <w:tcBorders>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w w:val="99"/>
              </w:rPr>
              <w:t>(69)</w:t>
            </w:r>
          </w:p>
        </w:tc>
        <w:tc>
          <w:tcPr>
            <w:tcW w:w="2020" w:type="dxa"/>
            <w:vAlign w:val="bottom"/>
            <w:tcBorders>
              <w:right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7"/>
              </w:rPr>
              <w:t>(195)</w:t>
            </w:r>
          </w:p>
        </w:tc>
        <w:tc>
          <w:tcPr>
            <w:tcW w:w="0" w:type="dxa"/>
            <w:vAlign w:val="bottom"/>
          </w:tcPr>
          <w:p>
            <w:pPr>
              <w:spacing w:after="0"/>
              <w:rPr>
                <w:sz w:val="1"/>
                <w:szCs w:val="1"/>
                <w:color w:val="auto"/>
              </w:rPr>
            </w:pPr>
          </w:p>
        </w:tc>
      </w:tr>
      <w:tr>
        <w:trPr>
          <w:trHeight w:val="233"/>
        </w:trPr>
        <w:tc>
          <w:tcPr>
            <w:tcW w:w="5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 change O/(U) prior year</w:t>
            </w:r>
          </w:p>
        </w:tc>
        <w:tc>
          <w:tcPr>
            <w:tcW w:w="300" w:type="dxa"/>
            <w:vAlign w:val="bottom"/>
          </w:tcPr>
          <w:p>
            <w:pPr>
              <w:spacing w:after="0"/>
              <w:rPr>
                <w:sz w:val="20"/>
                <w:szCs w:val="20"/>
                <w:color w:val="auto"/>
              </w:rPr>
            </w:pPr>
          </w:p>
        </w:tc>
        <w:tc>
          <w:tcPr>
            <w:tcW w:w="1860" w:type="dxa"/>
            <w:vAlign w:val="bottom"/>
            <w:tcBorders>
              <w:left w:val="single" w:sz="8" w:color="auto"/>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i w:val="1"/>
                <w:iCs w:val="1"/>
                <w:color w:val="auto"/>
                <w:w w:val="97"/>
              </w:rPr>
              <w:t>(35%)</w:t>
            </w:r>
          </w:p>
        </w:tc>
        <w:tc>
          <w:tcPr>
            <w:tcW w:w="204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i w:val="1"/>
                <w:iCs w:val="1"/>
                <w:color w:val="auto"/>
                <w:w w:val="93"/>
              </w:rPr>
              <w:t>(15%)</w:t>
            </w:r>
          </w:p>
        </w:tc>
        <w:tc>
          <w:tcPr>
            <w:tcW w:w="202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b w:val="1"/>
                <w:bCs w:val="1"/>
                <w:i w:val="1"/>
                <w:iCs w:val="1"/>
                <w:color w:val="auto"/>
                <w:w w:val="97"/>
              </w:rPr>
              <w:t>(24%)</w:t>
            </w:r>
          </w:p>
        </w:tc>
        <w:tc>
          <w:tcPr>
            <w:tcW w:w="0" w:type="dxa"/>
            <w:vAlign w:val="bottom"/>
          </w:tcPr>
          <w:p>
            <w:pPr>
              <w:spacing w:after="0"/>
              <w:rPr>
                <w:sz w:val="1"/>
                <w:szCs w:val="1"/>
                <w:color w:val="auto"/>
              </w:rPr>
            </w:pPr>
          </w:p>
        </w:tc>
      </w:tr>
      <w:tr>
        <w:trPr>
          <w:trHeight w:val="143"/>
        </w:trPr>
        <w:tc>
          <w:tcPr>
            <w:tcW w:w="5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20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2010 Q1</w:t>
            </w:r>
          </w:p>
        </w:tc>
        <w:tc>
          <w:tcPr>
            <w:tcW w:w="300" w:type="dxa"/>
            <w:vAlign w:val="bottom"/>
            <w:vMerge w:val="continue"/>
          </w:tcPr>
          <w:p>
            <w:pPr>
              <w:spacing w:after="0"/>
              <w:rPr>
                <w:sz w:val="16"/>
                <w:szCs w:val="16"/>
                <w:color w:val="auto"/>
              </w:rPr>
            </w:pPr>
          </w:p>
        </w:tc>
        <w:tc>
          <w:tcPr>
            <w:tcW w:w="1860" w:type="dxa"/>
            <w:vAlign w:val="bottom"/>
            <w:tcBorders>
              <w:left w:val="single" w:sz="8" w:color="auto"/>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color w:val="auto"/>
                <w:w w:val="96"/>
              </w:rPr>
              <w:t>237</w:t>
            </w:r>
          </w:p>
        </w:tc>
        <w:tc>
          <w:tcPr>
            <w:tcW w:w="2040" w:type="dxa"/>
            <w:vAlign w:val="bottom"/>
            <w:tcBorders>
              <w:right w:val="single" w:sz="8" w:color="auto"/>
            </w:tcBorders>
          </w:tcPr>
          <w:p>
            <w:pPr>
              <w:jc w:val="center"/>
              <w:ind w:left="214"/>
              <w:spacing w:after="0" w:line="194" w:lineRule="exact"/>
              <w:rPr>
                <w:sz w:val="20"/>
                <w:szCs w:val="20"/>
                <w:color w:val="auto"/>
              </w:rPr>
            </w:pPr>
            <w:r>
              <w:rPr>
                <w:rFonts w:ascii="Times New Roman" w:cs="Times New Roman" w:eastAsia="Times New Roman" w:hAnsi="Times New Roman"/>
                <w:sz w:val="18"/>
                <w:szCs w:val="18"/>
                <w:color w:val="auto"/>
                <w:w w:val="96"/>
              </w:rPr>
              <w:t>413</w:t>
            </w:r>
          </w:p>
        </w:tc>
        <w:tc>
          <w:tcPr>
            <w:tcW w:w="2020" w:type="dxa"/>
            <w:vAlign w:val="bottom"/>
            <w:tcBorders>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b w:val="1"/>
                <w:bCs w:val="1"/>
                <w:color w:val="auto"/>
                <w:w w:val="96"/>
              </w:rPr>
              <w:t>650</w:t>
            </w:r>
          </w:p>
        </w:tc>
        <w:tc>
          <w:tcPr>
            <w:tcW w:w="0" w:type="dxa"/>
            <w:vAlign w:val="bottom"/>
          </w:tcPr>
          <w:p>
            <w:pPr>
              <w:spacing w:after="0"/>
              <w:rPr>
                <w:sz w:val="1"/>
                <w:szCs w:val="1"/>
                <w:color w:val="auto"/>
              </w:rPr>
            </w:pPr>
          </w:p>
        </w:tc>
      </w:tr>
      <w:tr>
        <w:trPr>
          <w:trHeight w:val="214"/>
        </w:trPr>
        <w:tc>
          <w:tcPr>
            <w:tcW w:w="52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Units O/(U) prior year</w:t>
            </w:r>
          </w:p>
        </w:tc>
        <w:tc>
          <w:tcPr>
            <w:tcW w:w="300" w:type="dxa"/>
            <w:vAlign w:val="bottom"/>
          </w:tcPr>
          <w:p>
            <w:pPr>
              <w:spacing w:after="0"/>
              <w:rPr>
                <w:sz w:val="18"/>
                <w:szCs w:val="18"/>
                <w:color w:val="auto"/>
              </w:rPr>
            </w:pPr>
          </w:p>
        </w:tc>
        <w:tc>
          <w:tcPr>
            <w:tcW w:w="1860" w:type="dxa"/>
            <w:vAlign w:val="bottom"/>
            <w:tcBorders>
              <w:left w:val="single" w:sz="8" w:color="auto"/>
              <w:right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color w:val="auto"/>
                <w:w w:val="96"/>
              </w:rPr>
              <w:t>121</w:t>
            </w:r>
          </w:p>
        </w:tc>
        <w:tc>
          <w:tcPr>
            <w:tcW w:w="2040" w:type="dxa"/>
            <w:vAlign w:val="bottom"/>
            <w:tcBorders>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w w:val="96"/>
              </w:rPr>
              <w:t>158</w:t>
            </w:r>
          </w:p>
        </w:tc>
        <w:tc>
          <w:tcPr>
            <w:tcW w:w="2020" w:type="dxa"/>
            <w:vAlign w:val="bottom"/>
            <w:tcBorders>
              <w:right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6"/>
              </w:rPr>
              <w:t>279</w:t>
            </w:r>
          </w:p>
        </w:tc>
        <w:tc>
          <w:tcPr>
            <w:tcW w:w="0" w:type="dxa"/>
            <w:vAlign w:val="bottom"/>
          </w:tcPr>
          <w:p>
            <w:pPr>
              <w:spacing w:after="0"/>
              <w:rPr>
                <w:sz w:val="1"/>
                <w:szCs w:val="1"/>
                <w:color w:val="auto"/>
              </w:rPr>
            </w:pPr>
          </w:p>
        </w:tc>
      </w:tr>
      <w:tr>
        <w:trPr>
          <w:trHeight w:val="233"/>
        </w:trPr>
        <w:tc>
          <w:tcPr>
            <w:tcW w:w="5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 change O/(U) prior year</w:t>
            </w:r>
          </w:p>
        </w:tc>
        <w:tc>
          <w:tcPr>
            <w:tcW w:w="300" w:type="dxa"/>
            <w:vAlign w:val="bottom"/>
          </w:tcPr>
          <w:p>
            <w:pPr>
              <w:spacing w:after="0"/>
              <w:rPr>
                <w:sz w:val="20"/>
                <w:szCs w:val="20"/>
                <w:color w:val="auto"/>
              </w:rPr>
            </w:pPr>
          </w:p>
        </w:tc>
        <w:tc>
          <w:tcPr>
            <w:tcW w:w="1860" w:type="dxa"/>
            <w:vAlign w:val="bottom"/>
            <w:tcBorders>
              <w:left w:val="single" w:sz="8" w:color="auto"/>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i w:val="1"/>
                <w:iCs w:val="1"/>
                <w:color w:val="auto"/>
                <w:w w:val="95"/>
              </w:rPr>
              <w:t>104%</w:t>
            </w:r>
          </w:p>
        </w:tc>
        <w:tc>
          <w:tcPr>
            <w:tcW w:w="204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i w:val="1"/>
                <w:iCs w:val="1"/>
                <w:color w:val="auto"/>
              </w:rPr>
              <w:t>62%</w:t>
            </w:r>
          </w:p>
        </w:tc>
        <w:tc>
          <w:tcPr>
            <w:tcW w:w="202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b w:val="1"/>
                <w:bCs w:val="1"/>
                <w:i w:val="1"/>
                <w:iCs w:val="1"/>
                <w:color w:val="auto"/>
                <w:w w:val="96"/>
              </w:rPr>
              <w:t>75%</w:t>
            </w:r>
          </w:p>
        </w:tc>
        <w:tc>
          <w:tcPr>
            <w:tcW w:w="0" w:type="dxa"/>
            <w:vAlign w:val="bottom"/>
          </w:tcPr>
          <w:p>
            <w:pPr>
              <w:spacing w:after="0"/>
              <w:rPr>
                <w:sz w:val="1"/>
                <w:szCs w:val="1"/>
                <w:color w:val="auto"/>
              </w:rPr>
            </w:pPr>
          </w:p>
        </w:tc>
      </w:tr>
      <w:tr>
        <w:trPr>
          <w:trHeight w:val="35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GM U.S. Dealer Inventory</w:t>
            </w:r>
          </w:p>
        </w:tc>
        <w:tc>
          <w:tcPr>
            <w:tcW w:w="30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color w:val="auto"/>
              </w:rPr>
              <w:t>Units 000s</w:t>
            </w:r>
          </w:p>
        </w:tc>
        <w:tc>
          <w:tcPr>
            <w:tcW w:w="300" w:type="dxa"/>
            <w:vAlign w:val="bottom"/>
          </w:tcPr>
          <w:p>
            <w:pPr>
              <w:spacing w:after="0"/>
              <w:rPr>
                <w:sz w:val="17"/>
                <w:szCs w:val="17"/>
                <w:color w:val="auto"/>
              </w:rPr>
            </w:pPr>
          </w:p>
        </w:tc>
        <w:tc>
          <w:tcPr>
            <w:tcW w:w="1860" w:type="dxa"/>
            <w:vAlign w:val="bottom"/>
            <w:tcBorders>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Car</w:t>
            </w:r>
          </w:p>
        </w:tc>
        <w:tc>
          <w:tcPr>
            <w:tcW w:w="204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Truck</w:t>
            </w:r>
          </w:p>
        </w:tc>
        <w:tc>
          <w:tcPr>
            <w:tcW w:w="202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vMerge w:val="restart"/>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20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2009 November 30</w:t>
            </w:r>
          </w:p>
        </w:tc>
        <w:tc>
          <w:tcPr>
            <w:tcW w:w="300" w:type="dxa"/>
            <w:vAlign w:val="bottom"/>
            <w:vMerge w:val="continue"/>
          </w:tcPr>
          <w:p>
            <w:pPr>
              <w:spacing w:after="0"/>
              <w:rPr>
                <w:sz w:val="16"/>
                <w:szCs w:val="16"/>
                <w:color w:val="auto"/>
              </w:rPr>
            </w:pPr>
          </w:p>
        </w:tc>
        <w:tc>
          <w:tcPr>
            <w:tcW w:w="1860" w:type="dxa"/>
            <w:vAlign w:val="bottom"/>
            <w:tcBorders>
              <w:left w:val="single" w:sz="8" w:color="auto"/>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color w:val="auto"/>
                <w:w w:val="96"/>
              </w:rPr>
              <w:t>168</w:t>
            </w:r>
          </w:p>
        </w:tc>
        <w:tc>
          <w:tcPr>
            <w:tcW w:w="2040" w:type="dxa"/>
            <w:vAlign w:val="bottom"/>
            <w:tcBorders>
              <w:right w:val="single" w:sz="8" w:color="auto"/>
            </w:tcBorders>
          </w:tcPr>
          <w:p>
            <w:pPr>
              <w:jc w:val="center"/>
              <w:ind w:left="214"/>
              <w:spacing w:after="0" w:line="194" w:lineRule="exact"/>
              <w:rPr>
                <w:sz w:val="20"/>
                <w:szCs w:val="20"/>
                <w:color w:val="auto"/>
              </w:rPr>
            </w:pPr>
            <w:r>
              <w:rPr>
                <w:rFonts w:ascii="Times New Roman" w:cs="Times New Roman" w:eastAsia="Times New Roman" w:hAnsi="Times New Roman"/>
                <w:sz w:val="18"/>
                <w:szCs w:val="18"/>
                <w:color w:val="auto"/>
                <w:w w:val="96"/>
              </w:rPr>
              <w:t>270</w:t>
            </w:r>
          </w:p>
        </w:tc>
        <w:tc>
          <w:tcPr>
            <w:tcW w:w="2020" w:type="dxa"/>
            <w:vAlign w:val="bottom"/>
            <w:tcBorders>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b w:val="1"/>
                <w:bCs w:val="1"/>
                <w:color w:val="auto"/>
                <w:w w:val="96"/>
              </w:rPr>
              <w:t>438</w:t>
            </w:r>
          </w:p>
        </w:tc>
        <w:tc>
          <w:tcPr>
            <w:tcW w:w="0" w:type="dxa"/>
            <w:vAlign w:val="bottom"/>
          </w:tcPr>
          <w:p>
            <w:pPr>
              <w:spacing w:after="0"/>
              <w:rPr>
                <w:sz w:val="1"/>
                <w:szCs w:val="1"/>
                <w:color w:val="auto"/>
              </w:rPr>
            </w:pPr>
          </w:p>
        </w:tc>
      </w:tr>
      <w:tr>
        <w:trPr>
          <w:trHeight w:val="214"/>
        </w:trPr>
        <w:tc>
          <w:tcPr>
            <w:tcW w:w="52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Units O/(U) prior year</w:t>
            </w:r>
          </w:p>
        </w:tc>
        <w:tc>
          <w:tcPr>
            <w:tcW w:w="300" w:type="dxa"/>
            <w:vAlign w:val="bottom"/>
          </w:tcPr>
          <w:p>
            <w:pPr>
              <w:spacing w:after="0"/>
              <w:rPr>
                <w:sz w:val="18"/>
                <w:szCs w:val="18"/>
                <w:color w:val="auto"/>
              </w:rPr>
            </w:pPr>
          </w:p>
        </w:tc>
        <w:tc>
          <w:tcPr>
            <w:tcW w:w="1860" w:type="dxa"/>
            <w:vAlign w:val="bottom"/>
            <w:tcBorders>
              <w:left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2"/>
              </w:rPr>
              <w:t>(211)</w:t>
            </w:r>
          </w:p>
        </w:tc>
        <w:tc>
          <w:tcPr>
            <w:tcW w:w="2040" w:type="dxa"/>
            <w:vAlign w:val="bottom"/>
            <w:tcBorders>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color w:val="auto"/>
                <w:w w:val="97"/>
              </w:rPr>
              <w:t>(213)</w:t>
            </w:r>
          </w:p>
        </w:tc>
        <w:tc>
          <w:tcPr>
            <w:tcW w:w="2020" w:type="dxa"/>
            <w:vAlign w:val="bottom"/>
            <w:tcBorders>
              <w:right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7"/>
              </w:rPr>
              <w:t>(424)</w:t>
            </w:r>
          </w:p>
        </w:tc>
        <w:tc>
          <w:tcPr>
            <w:tcW w:w="0" w:type="dxa"/>
            <w:vAlign w:val="bottom"/>
          </w:tcPr>
          <w:p>
            <w:pPr>
              <w:spacing w:after="0"/>
              <w:rPr>
                <w:sz w:val="1"/>
                <w:szCs w:val="1"/>
                <w:color w:val="auto"/>
              </w:rPr>
            </w:pPr>
          </w:p>
        </w:tc>
      </w:tr>
      <w:tr>
        <w:trPr>
          <w:trHeight w:val="232"/>
        </w:trPr>
        <w:tc>
          <w:tcPr>
            <w:tcW w:w="5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 change O/(U) prior year</w:t>
            </w:r>
          </w:p>
        </w:tc>
        <w:tc>
          <w:tcPr>
            <w:tcW w:w="300" w:type="dxa"/>
            <w:vAlign w:val="bottom"/>
          </w:tcPr>
          <w:p>
            <w:pPr>
              <w:spacing w:after="0"/>
              <w:rPr>
                <w:sz w:val="20"/>
                <w:szCs w:val="20"/>
                <w:color w:val="auto"/>
              </w:rPr>
            </w:pPr>
          </w:p>
        </w:tc>
        <w:tc>
          <w:tcPr>
            <w:tcW w:w="1860" w:type="dxa"/>
            <w:vAlign w:val="bottom"/>
            <w:tcBorders>
              <w:left w:val="single" w:sz="8" w:color="auto"/>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i w:val="1"/>
                <w:iCs w:val="1"/>
                <w:color w:val="auto"/>
                <w:w w:val="97"/>
              </w:rPr>
              <w:t>(56%)</w:t>
            </w:r>
          </w:p>
        </w:tc>
        <w:tc>
          <w:tcPr>
            <w:tcW w:w="204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i w:val="1"/>
                <w:iCs w:val="1"/>
                <w:color w:val="auto"/>
                <w:w w:val="93"/>
              </w:rPr>
              <w:t>(44%)</w:t>
            </w:r>
          </w:p>
        </w:tc>
        <w:tc>
          <w:tcPr>
            <w:tcW w:w="202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b w:val="1"/>
                <w:bCs w:val="1"/>
                <w:i w:val="1"/>
                <w:iCs w:val="1"/>
                <w:color w:val="auto"/>
                <w:w w:val="97"/>
              </w:rPr>
              <w:t>(49%)</w:t>
            </w:r>
          </w:p>
        </w:tc>
        <w:tc>
          <w:tcPr>
            <w:tcW w:w="0" w:type="dxa"/>
            <w:vAlign w:val="bottom"/>
          </w:tcPr>
          <w:p>
            <w:pPr>
              <w:spacing w:after="0"/>
              <w:rPr>
                <w:sz w:val="1"/>
                <w:szCs w:val="1"/>
                <w:color w:val="auto"/>
              </w:rPr>
            </w:pPr>
          </w:p>
        </w:tc>
      </w:tr>
      <w:tr>
        <w:trPr>
          <w:trHeight w:val="193"/>
        </w:trPr>
        <w:tc>
          <w:tcPr>
            <w:tcW w:w="5200" w:type="dxa"/>
            <w:vAlign w:val="bottom"/>
            <w:tcBorders>
              <w:left w:val="single" w:sz="8" w:color="auto"/>
              <w:right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i w:val="1"/>
                <w:iCs w:val="1"/>
                <w:color w:val="auto"/>
                <w:w w:val="98"/>
              </w:rPr>
              <w:t>Units O/(U) prior month</w:t>
            </w:r>
          </w:p>
        </w:tc>
        <w:tc>
          <w:tcPr>
            <w:tcW w:w="300" w:type="dxa"/>
            <w:vAlign w:val="bottom"/>
          </w:tcPr>
          <w:p>
            <w:pPr>
              <w:spacing w:after="0"/>
              <w:rPr>
                <w:sz w:val="16"/>
                <w:szCs w:val="16"/>
                <w:color w:val="auto"/>
              </w:rPr>
            </w:pPr>
          </w:p>
        </w:tc>
        <w:tc>
          <w:tcPr>
            <w:tcW w:w="1860" w:type="dxa"/>
            <w:vAlign w:val="bottom"/>
            <w:tcBorders>
              <w:left w:val="single" w:sz="8" w:color="auto"/>
              <w:right w:val="single" w:sz="8" w:color="auto"/>
            </w:tcBorders>
          </w:tcPr>
          <w:p>
            <w:pPr>
              <w:jc w:val="center"/>
              <w:ind w:left="134"/>
              <w:spacing w:after="0" w:line="194" w:lineRule="exact"/>
              <w:rPr>
                <w:sz w:val="20"/>
                <w:szCs w:val="20"/>
                <w:color w:val="auto"/>
              </w:rPr>
            </w:pPr>
            <w:r>
              <w:rPr>
                <w:rFonts w:ascii="Times New Roman" w:cs="Times New Roman" w:eastAsia="Times New Roman" w:hAnsi="Times New Roman"/>
                <w:sz w:val="18"/>
                <w:szCs w:val="18"/>
                <w:color w:val="auto"/>
                <w:w w:val="95"/>
              </w:rPr>
              <w:t>(4)</w:t>
            </w:r>
          </w:p>
        </w:tc>
        <w:tc>
          <w:tcPr>
            <w:tcW w:w="2040" w:type="dxa"/>
            <w:vAlign w:val="bottom"/>
            <w:tcBorders>
              <w:right w:val="single" w:sz="8" w:color="auto"/>
            </w:tcBorders>
          </w:tcPr>
          <w:p>
            <w:pPr>
              <w:jc w:val="center"/>
              <w:ind w:left="214"/>
              <w:spacing w:after="0" w:line="194" w:lineRule="exact"/>
              <w:rPr>
                <w:sz w:val="20"/>
                <w:szCs w:val="20"/>
                <w:color w:val="auto"/>
              </w:rPr>
            </w:pPr>
            <w:r>
              <w:rPr>
                <w:rFonts w:ascii="Times New Roman" w:cs="Times New Roman" w:eastAsia="Times New Roman" w:hAnsi="Times New Roman"/>
                <w:sz w:val="18"/>
                <w:szCs w:val="18"/>
                <w:color w:val="auto"/>
              </w:rPr>
              <w:t>(2)</w:t>
            </w:r>
          </w:p>
        </w:tc>
        <w:tc>
          <w:tcPr>
            <w:tcW w:w="2020" w:type="dxa"/>
            <w:vAlign w:val="bottom"/>
            <w:tcBorders>
              <w:right w:val="single" w:sz="8" w:color="auto"/>
            </w:tcBorders>
          </w:tcPr>
          <w:p>
            <w:pPr>
              <w:jc w:val="center"/>
              <w:ind w:left="114"/>
              <w:spacing w:after="0" w:line="194" w:lineRule="exact"/>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3"/>
        </w:trPr>
        <w:tc>
          <w:tcPr>
            <w:tcW w:w="52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 change O/(U) prior month</w:t>
            </w:r>
          </w:p>
        </w:tc>
        <w:tc>
          <w:tcPr>
            <w:tcW w:w="300" w:type="dxa"/>
            <w:vAlign w:val="bottom"/>
          </w:tcPr>
          <w:p>
            <w:pPr>
              <w:spacing w:after="0"/>
              <w:rPr>
                <w:sz w:val="20"/>
                <w:szCs w:val="20"/>
                <w:color w:val="auto"/>
              </w:rPr>
            </w:pPr>
          </w:p>
        </w:tc>
        <w:tc>
          <w:tcPr>
            <w:tcW w:w="1860" w:type="dxa"/>
            <w:vAlign w:val="bottom"/>
            <w:tcBorders>
              <w:left w:val="single" w:sz="8" w:color="auto"/>
              <w:bottom w:val="single" w:sz="8" w:color="auto"/>
              <w:right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i w:val="1"/>
                <w:iCs w:val="1"/>
                <w:color w:val="auto"/>
                <w:w w:val="99"/>
              </w:rPr>
              <w:t>(2%)</w:t>
            </w:r>
          </w:p>
        </w:tc>
        <w:tc>
          <w:tcPr>
            <w:tcW w:w="2040" w:type="dxa"/>
            <w:vAlign w:val="bottom"/>
            <w:tcBorders>
              <w:bottom w:val="single" w:sz="8" w:color="auto"/>
              <w:right w:val="single" w:sz="8" w:color="auto"/>
            </w:tcBorders>
          </w:tcPr>
          <w:p>
            <w:pPr>
              <w:jc w:val="center"/>
              <w:ind w:left="214"/>
              <w:spacing w:after="0"/>
              <w:rPr>
                <w:sz w:val="20"/>
                <w:szCs w:val="20"/>
                <w:color w:val="auto"/>
              </w:rPr>
            </w:pPr>
            <w:r>
              <w:rPr>
                <w:rFonts w:ascii="Times New Roman" w:cs="Times New Roman" w:eastAsia="Times New Roman" w:hAnsi="Times New Roman"/>
                <w:sz w:val="18"/>
                <w:szCs w:val="18"/>
                <w:i w:val="1"/>
                <w:iCs w:val="1"/>
                <w:color w:val="auto"/>
                <w:w w:val="94"/>
              </w:rPr>
              <w:t>(1%)</w:t>
            </w:r>
          </w:p>
        </w:tc>
        <w:tc>
          <w:tcPr>
            <w:tcW w:w="2020" w:type="dxa"/>
            <w:vAlign w:val="bottom"/>
            <w:tcBorders>
              <w:bottom w:val="single" w:sz="8" w:color="auto"/>
              <w:right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b w:val="1"/>
                <w:bCs w:val="1"/>
                <w:i w:val="1"/>
                <w:iCs w:val="1"/>
                <w:color w:val="auto"/>
                <w:w w:val="94"/>
              </w:rPr>
              <w:t>(1%)</w:t>
            </w: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gridSpan w:val="2"/>
          </w:tcPr>
          <w:p>
            <w:pPr>
              <w:spacing w:after="0"/>
              <w:rPr>
                <w:sz w:val="13"/>
                <w:szCs w:val="13"/>
                <w:color w:val="auto"/>
              </w:rPr>
            </w:pPr>
          </w:p>
        </w:tc>
        <w:tc>
          <w:tcPr>
            <w:tcW w:w="20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auto"/>
              <w:left w:val="single" w:sz="8" w:color="auto"/>
              <w:bottom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2008 November 30</w:t>
            </w:r>
          </w:p>
        </w:tc>
        <w:tc>
          <w:tcPr>
            <w:tcW w:w="60" w:type="dxa"/>
            <w:vAlign w:val="bottom"/>
            <w:tcBorders>
              <w:top w:val="single" w:sz="8" w:color="auto"/>
              <w:bottom w:val="single" w:sz="8" w:color="auto"/>
              <w:right w:val="single" w:sz="8" w:color="auto"/>
            </w:tcBorders>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Borders>
              <w:top w:val="single" w:sz="8" w:color="auto"/>
              <w:left w:val="single" w:sz="8" w:color="auto"/>
              <w:bottom w:val="single" w:sz="8" w:color="auto"/>
              <w:right w:val="single" w:sz="8" w:color="auto"/>
            </w:tcBorders>
          </w:tcPr>
          <w:p>
            <w:pPr>
              <w:jc w:val="center"/>
              <w:ind w:left="114"/>
              <w:spacing w:after="0" w:line="189" w:lineRule="exact"/>
              <w:rPr>
                <w:sz w:val="20"/>
                <w:szCs w:val="20"/>
                <w:color w:val="auto"/>
              </w:rPr>
            </w:pPr>
            <w:r>
              <w:rPr>
                <w:rFonts w:ascii="Times New Roman" w:cs="Times New Roman" w:eastAsia="Times New Roman" w:hAnsi="Times New Roman"/>
                <w:sz w:val="18"/>
                <w:szCs w:val="18"/>
                <w:color w:val="auto"/>
                <w:w w:val="96"/>
              </w:rPr>
              <w:t>379</w:t>
            </w:r>
          </w:p>
        </w:tc>
        <w:tc>
          <w:tcPr>
            <w:tcW w:w="2040" w:type="dxa"/>
            <w:vAlign w:val="bottom"/>
            <w:tcBorders>
              <w:top w:val="single" w:sz="8" w:color="auto"/>
              <w:bottom w:val="single" w:sz="8" w:color="auto"/>
              <w:right w:val="single" w:sz="8" w:color="auto"/>
            </w:tcBorders>
          </w:tcPr>
          <w:p>
            <w:pPr>
              <w:jc w:val="center"/>
              <w:ind w:left="214"/>
              <w:spacing w:after="0" w:line="189" w:lineRule="exact"/>
              <w:rPr>
                <w:sz w:val="20"/>
                <w:szCs w:val="20"/>
                <w:color w:val="auto"/>
              </w:rPr>
            </w:pPr>
            <w:r>
              <w:rPr>
                <w:rFonts w:ascii="Times New Roman" w:cs="Times New Roman" w:eastAsia="Times New Roman" w:hAnsi="Times New Roman"/>
                <w:sz w:val="18"/>
                <w:szCs w:val="18"/>
                <w:color w:val="auto"/>
                <w:w w:val="96"/>
              </w:rPr>
              <w:t>483</w:t>
            </w:r>
          </w:p>
        </w:tc>
        <w:tc>
          <w:tcPr>
            <w:tcW w:w="2020" w:type="dxa"/>
            <w:vAlign w:val="bottom"/>
            <w:tcBorders>
              <w:top w:val="single" w:sz="8" w:color="auto"/>
              <w:bottom w:val="single" w:sz="8" w:color="auto"/>
              <w:right w:val="single" w:sz="8" w:color="auto"/>
            </w:tcBorders>
          </w:tcPr>
          <w:p>
            <w:pPr>
              <w:jc w:val="center"/>
              <w:ind w:left="114"/>
              <w:spacing w:after="0" w:line="189" w:lineRule="exact"/>
              <w:rPr>
                <w:sz w:val="20"/>
                <w:szCs w:val="20"/>
                <w:color w:val="auto"/>
              </w:rPr>
            </w:pPr>
            <w:r>
              <w:rPr>
                <w:rFonts w:ascii="Times New Roman" w:cs="Times New Roman" w:eastAsia="Times New Roman" w:hAnsi="Times New Roman"/>
                <w:sz w:val="18"/>
                <w:szCs w:val="18"/>
                <w:b w:val="1"/>
                <w:bCs w:val="1"/>
                <w:color w:val="auto"/>
                <w:w w:val="96"/>
              </w:rPr>
              <w:t>862</w:t>
            </w:r>
          </w:p>
        </w:tc>
        <w:tc>
          <w:tcPr>
            <w:tcW w:w="0" w:type="dxa"/>
            <w:vAlign w:val="bottom"/>
          </w:tcPr>
          <w:p>
            <w:pPr>
              <w:spacing w:after="0"/>
              <w:rPr>
                <w:sz w:val="1"/>
                <w:szCs w:val="1"/>
                <w:color w:val="auto"/>
              </w:rPr>
            </w:pPr>
          </w:p>
        </w:tc>
      </w:tr>
      <w:tr>
        <w:trPr>
          <w:trHeight w:val="193"/>
        </w:trPr>
        <w:tc>
          <w:tcPr>
            <w:tcW w:w="5140" w:type="dxa"/>
            <w:vAlign w:val="bottom"/>
            <w:tcBorders>
              <w:left w:val="single" w:sz="8" w:color="auto"/>
              <w:bottom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color w:val="auto"/>
              </w:rPr>
              <w:t>2009 October 31</w:t>
            </w:r>
          </w:p>
        </w:tc>
        <w:tc>
          <w:tcPr>
            <w:tcW w:w="60" w:type="dxa"/>
            <w:vAlign w:val="bottom"/>
            <w:tcBorders>
              <w:bottom w:val="single" w:sz="8" w:color="auto"/>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Borders>
              <w:left w:val="single" w:sz="8" w:color="auto"/>
              <w:bottom w:val="single" w:sz="8" w:color="auto"/>
              <w:right w:val="single" w:sz="8" w:color="auto"/>
            </w:tcBorders>
          </w:tcPr>
          <w:p>
            <w:pPr>
              <w:jc w:val="center"/>
              <w:ind w:left="114"/>
              <w:spacing w:after="0" w:line="193" w:lineRule="exact"/>
              <w:rPr>
                <w:sz w:val="20"/>
                <w:szCs w:val="20"/>
                <w:color w:val="auto"/>
              </w:rPr>
            </w:pPr>
            <w:r>
              <w:rPr>
                <w:rFonts w:ascii="Times New Roman" w:cs="Times New Roman" w:eastAsia="Times New Roman" w:hAnsi="Times New Roman"/>
                <w:sz w:val="18"/>
                <w:szCs w:val="18"/>
                <w:color w:val="auto"/>
                <w:w w:val="96"/>
              </w:rPr>
              <w:t>172</w:t>
            </w:r>
          </w:p>
        </w:tc>
        <w:tc>
          <w:tcPr>
            <w:tcW w:w="2040" w:type="dxa"/>
            <w:vAlign w:val="bottom"/>
            <w:tcBorders>
              <w:bottom w:val="single" w:sz="8" w:color="auto"/>
              <w:right w:val="single" w:sz="8" w:color="auto"/>
            </w:tcBorders>
          </w:tcPr>
          <w:p>
            <w:pPr>
              <w:jc w:val="center"/>
              <w:ind w:left="214"/>
              <w:spacing w:after="0" w:line="193" w:lineRule="exact"/>
              <w:rPr>
                <w:sz w:val="20"/>
                <w:szCs w:val="20"/>
                <w:color w:val="auto"/>
              </w:rPr>
            </w:pPr>
            <w:r>
              <w:rPr>
                <w:rFonts w:ascii="Times New Roman" w:cs="Times New Roman" w:eastAsia="Times New Roman" w:hAnsi="Times New Roman"/>
                <w:sz w:val="18"/>
                <w:szCs w:val="18"/>
                <w:color w:val="auto"/>
                <w:w w:val="96"/>
              </w:rPr>
              <w:t>272</w:t>
            </w:r>
          </w:p>
        </w:tc>
        <w:tc>
          <w:tcPr>
            <w:tcW w:w="2020" w:type="dxa"/>
            <w:vAlign w:val="bottom"/>
            <w:tcBorders>
              <w:bottom w:val="single" w:sz="8" w:color="auto"/>
              <w:right w:val="single" w:sz="8" w:color="auto"/>
            </w:tcBorders>
          </w:tcPr>
          <w:p>
            <w:pPr>
              <w:jc w:val="center"/>
              <w:ind w:left="114"/>
              <w:spacing w:after="0" w:line="193" w:lineRule="exact"/>
              <w:rPr>
                <w:sz w:val="20"/>
                <w:szCs w:val="20"/>
                <w:color w:val="auto"/>
              </w:rPr>
            </w:pPr>
            <w:r>
              <w:rPr>
                <w:rFonts w:ascii="Times New Roman" w:cs="Times New Roman" w:eastAsia="Times New Roman" w:hAnsi="Times New Roman"/>
                <w:sz w:val="18"/>
                <w:szCs w:val="18"/>
                <w:b w:val="1"/>
                <w:bCs w:val="1"/>
                <w:color w:val="auto"/>
                <w:w w:val="96"/>
              </w:rPr>
              <w:t>444</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About General Motors: </w:t>
      </w:r>
      <w:r>
        <w:rPr>
          <w:rFonts w:ascii="Times New Roman" w:cs="Times New Roman" w:eastAsia="Times New Roman" w:hAnsi="Times New Roman"/>
          <w:sz w:val="18"/>
          <w:szCs w:val="18"/>
          <w:color w:val="auto"/>
        </w:rPr>
        <w:t>General Motors, one of the world’s largest automakers, traces its roots back to 1908. With its global headquarters in Detroit, GM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209,000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www.gm.com.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Henderson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tom.e.henderson@gm.com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313-410-2704 cell</w:t>
      </w:r>
    </w:p>
    <w:p>
      <w:pPr>
        <w:sectPr>
          <w:pgSz w:w="11900" w:h="16838" w:orient="portrait"/>
          <w:cols w:equalWidth="0" w:num="1">
            <w:col w:w="11420"/>
          </w:cols>
          <w:pgMar w:left="240" w:top="47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dealers in the United States reported the following deliveries: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Borders>
              <w:right w:val="single" w:sz="8" w:color="auto"/>
            </w:tcBorders>
          </w:tcPr>
          <w:p>
            <w:pPr>
              <w:spacing w:after="0"/>
              <w:rPr>
                <w:sz w:val="12"/>
                <w:szCs w:val="12"/>
                <w:color w:val="auto"/>
              </w:rPr>
            </w:pPr>
          </w:p>
        </w:tc>
        <w:tc>
          <w:tcPr>
            <w:tcW w:w="57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vMerge w:val="restart"/>
          </w:tcPr>
          <w:p>
            <w:pPr>
              <w:jc w:val="right"/>
              <w:ind w:right="316"/>
              <w:spacing w:after="0"/>
              <w:rPr>
                <w:sz w:val="20"/>
                <w:szCs w:val="20"/>
                <w:color w:val="auto"/>
              </w:rPr>
            </w:pPr>
            <w:r>
              <w:rPr>
                <w:rFonts w:ascii="Times New Roman" w:cs="Times New Roman" w:eastAsia="Times New Roman" w:hAnsi="Times New Roman"/>
                <w:sz w:val="14"/>
                <w:szCs w:val="14"/>
                <w:color w:val="auto"/>
              </w:rPr>
              <w:t>November</w:t>
            </w:r>
          </w:p>
        </w:tc>
        <w:tc>
          <w:tcPr>
            <w:tcW w:w="780" w:type="dxa"/>
            <w:vAlign w:val="bottom"/>
            <w:tcBorders>
              <w:top w:val="single" w:sz="8" w:color="auto"/>
              <w:right w:val="single" w:sz="8" w:color="auto"/>
            </w:tcBorders>
          </w:tcPr>
          <w:p>
            <w:pPr>
              <w:spacing w:after="0"/>
              <w:rPr>
                <w:sz w:val="12"/>
                <w:szCs w:val="12"/>
                <w:color w:val="auto"/>
              </w:rPr>
            </w:pPr>
          </w:p>
        </w:tc>
        <w:tc>
          <w:tcPr>
            <w:tcW w:w="202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(Calendar Year-to-Date)</w:t>
            </w:r>
          </w:p>
        </w:tc>
        <w:tc>
          <w:tcPr>
            <w:tcW w:w="5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5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*S/D Curr: 23</w:t>
            </w:r>
          </w:p>
        </w:tc>
        <w:tc>
          <w:tcPr>
            <w:tcW w:w="8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02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January - November</w:t>
            </w: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574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gridSpan w:val="2"/>
            <w:vMerge w:val="continue"/>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574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 Chg</w:t>
            </w:r>
          </w:p>
        </w:tc>
        <w:tc>
          <w:tcPr>
            <w:tcW w:w="780" w:type="dxa"/>
            <w:vAlign w:val="bottom"/>
            <w:tcBorders>
              <w:right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 Chg per</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Borders>
              <w:right w:val="single" w:sz="8" w:color="auto"/>
            </w:tcBorders>
          </w:tcPr>
          <w:p>
            <w:pPr>
              <w:jc w:val="center"/>
              <w:ind w:right="16"/>
              <w:spacing w:after="0" w:line="129" w:lineRule="exact"/>
              <w:rPr>
                <w:sz w:val="20"/>
                <w:szCs w:val="20"/>
                <w:color w:val="auto"/>
              </w:rPr>
            </w:pPr>
            <w:r>
              <w:rPr>
                <w:rFonts w:ascii="Times New Roman" w:cs="Times New Roman" w:eastAsia="Times New Roman" w:hAnsi="Times New Roman"/>
                <w:sz w:val="14"/>
                <w:szCs w:val="14"/>
                <w:color w:val="auto"/>
                <w:w w:val="93"/>
              </w:rPr>
              <w:t>% Chg</w:t>
            </w:r>
          </w:p>
        </w:tc>
        <w:tc>
          <w:tcPr>
            <w:tcW w:w="0" w:type="dxa"/>
            <w:vAlign w:val="bottom"/>
          </w:tcPr>
          <w:p>
            <w:pPr>
              <w:spacing w:after="0"/>
              <w:rPr>
                <w:sz w:val="1"/>
                <w:szCs w:val="1"/>
                <w:color w:val="auto"/>
              </w:rPr>
            </w:pPr>
          </w:p>
        </w:tc>
      </w:tr>
      <w:tr>
        <w:trPr>
          <w:trHeight w:val="161"/>
        </w:trPr>
        <w:tc>
          <w:tcPr>
            <w:tcW w:w="40" w:type="dxa"/>
            <w:vAlign w:val="bottom"/>
            <w:tcBorders>
              <w:right w:val="single" w:sz="8" w:color="auto"/>
            </w:tcBorders>
          </w:tcPr>
          <w:p>
            <w:pPr>
              <w:spacing w:after="0"/>
              <w:rPr>
                <w:sz w:val="14"/>
                <w:szCs w:val="14"/>
                <w:color w:val="auto"/>
              </w:rPr>
            </w:pPr>
          </w:p>
        </w:tc>
        <w:tc>
          <w:tcPr>
            <w:tcW w:w="5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*S/D Prev: 25</w:t>
            </w: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2009</w:t>
            </w: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2008</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Volume</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S/D</w:t>
            </w:r>
          </w:p>
        </w:tc>
        <w:tc>
          <w:tcPr>
            <w:tcW w:w="10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2009</w:t>
            </w: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2008</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Volume</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Vehicle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151,427</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154,877</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1,875,981</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2,758,705</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Core Brand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139,672</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132,301</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1,621,982</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2,286,865</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Non-Core Brand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11,755</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22,576</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-47.9</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-43.4</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253,999</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471,840</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Light Vehicle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150,676</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153,404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6.8</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1,864,211</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2,734,789</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Car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58,036</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58,786</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794,853</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1,169,975</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Light Truck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92,640</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94,618</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1,069,358</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1,564,814</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Truck Total **</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93,391</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96,091</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1,081,128</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1,588,730</w:t>
            </w:r>
          </w:p>
        </w:tc>
        <w:tc>
          <w:tcPr>
            <w:tcW w:w="5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6"/>
        </w:trPr>
        <w:tc>
          <w:tcPr>
            <w:tcW w:w="4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GM Vehicle Deliveries by Marketing Division</w:t>
            </w: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74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 Chg</w:t>
            </w:r>
          </w:p>
        </w:tc>
        <w:tc>
          <w:tcPr>
            <w:tcW w:w="780" w:type="dxa"/>
            <w:vAlign w:val="bottom"/>
            <w:tcBorders>
              <w:right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 Chg per</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ind w:left="120"/>
              <w:spacing w:after="0" w:line="113" w:lineRule="exact"/>
              <w:rPr>
                <w:sz w:val="20"/>
                <w:szCs w:val="20"/>
                <w:color w:val="auto"/>
              </w:rPr>
            </w:pPr>
            <w:r>
              <w:rPr>
                <w:rFonts w:ascii="Times New Roman" w:cs="Times New Roman" w:eastAsia="Times New Roman" w:hAnsi="Times New Roman"/>
                <w:sz w:val="12"/>
                <w:szCs w:val="12"/>
                <w:color w:val="auto"/>
              </w:rPr>
              <w:t>% Chg</w:t>
            </w:r>
          </w:p>
        </w:tc>
        <w:tc>
          <w:tcPr>
            <w:tcW w:w="0" w:type="dxa"/>
            <w:vAlign w:val="bottom"/>
          </w:tcPr>
          <w:p>
            <w:pPr>
              <w:spacing w:after="0"/>
              <w:rPr>
                <w:sz w:val="1"/>
                <w:szCs w:val="1"/>
                <w:color w:val="auto"/>
              </w:rPr>
            </w:pP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57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jc w:val="right"/>
              <w:ind w:right="194"/>
              <w:spacing w:after="0" w:line="158" w:lineRule="exact"/>
              <w:rPr>
                <w:sz w:val="20"/>
                <w:szCs w:val="20"/>
                <w:color w:val="auto"/>
              </w:rPr>
            </w:pPr>
            <w:r>
              <w:rPr>
                <w:rFonts w:ascii="Times New Roman" w:cs="Times New Roman" w:eastAsia="Times New Roman" w:hAnsi="Times New Roman"/>
                <w:sz w:val="14"/>
                <w:szCs w:val="14"/>
                <w:color w:val="auto"/>
              </w:rPr>
              <w:t>2009</w:t>
            </w:r>
          </w:p>
        </w:tc>
        <w:tc>
          <w:tcPr>
            <w:tcW w:w="780" w:type="dxa"/>
            <w:vAlign w:val="bottom"/>
            <w:tcBorders>
              <w:bottom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4"/>
                <w:szCs w:val="14"/>
                <w:color w:val="auto"/>
              </w:rPr>
              <w:t>2008</w:t>
            </w:r>
          </w:p>
        </w:tc>
        <w:tc>
          <w:tcPr>
            <w:tcW w:w="64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2"/>
              </w:rPr>
              <w:t>Volume</w:t>
            </w:r>
          </w:p>
        </w:tc>
        <w:tc>
          <w:tcPr>
            <w:tcW w:w="780" w:type="dxa"/>
            <w:vAlign w:val="bottom"/>
            <w:tcBorders>
              <w:bottom w:val="single" w:sz="8" w:color="auto"/>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S/D</w:t>
            </w:r>
          </w:p>
        </w:tc>
        <w:tc>
          <w:tcPr>
            <w:tcW w:w="1020" w:type="dxa"/>
            <w:vAlign w:val="bottom"/>
            <w:tcBorders>
              <w:bottom w:val="single" w:sz="8" w:color="auto"/>
            </w:tcBorders>
          </w:tcPr>
          <w:p>
            <w:pPr>
              <w:jc w:val="right"/>
              <w:ind w:right="255"/>
              <w:spacing w:after="0" w:line="158" w:lineRule="exact"/>
              <w:rPr>
                <w:sz w:val="20"/>
                <w:szCs w:val="20"/>
                <w:color w:val="auto"/>
              </w:rPr>
            </w:pPr>
            <w:r>
              <w:rPr>
                <w:rFonts w:ascii="Times New Roman" w:cs="Times New Roman" w:eastAsia="Times New Roman" w:hAnsi="Times New Roman"/>
                <w:sz w:val="14"/>
                <w:szCs w:val="14"/>
                <w:color w:val="auto"/>
              </w:rPr>
              <w:t>2009</w:t>
            </w:r>
          </w:p>
        </w:tc>
        <w:tc>
          <w:tcPr>
            <w:tcW w:w="1000" w:type="dxa"/>
            <w:vAlign w:val="bottom"/>
            <w:tcBorders>
              <w:bottom w:val="single" w:sz="8" w:color="auto"/>
            </w:tcBorders>
          </w:tcPr>
          <w:p>
            <w:pPr>
              <w:jc w:val="right"/>
              <w:ind w:right="334"/>
              <w:spacing w:after="0" w:line="158" w:lineRule="exact"/>
              <w:rPr>
                <w:sz w:val="20"/>
                <w:szCs w:val="20"/>
                <w:color w:val="auto"/>
              </w:rPr>
            </w:pPr>
            <w:r>
              <w:rPr>
                <w:rFonts w:ascii="Times New Roman" w:cs="Times New Roman" w:eastAsia="Times New Roman" w:hAnsi="Times New Roman"/>
                <w:sz w:val="14"/>
                <w:szCs w:val="14"/>
                <w:color w:val="auto"/>
              </w:rPr>
              <w:t>2008</w:t>
            </w:r>
          </w:p>
        </w:tc>
        <w:tc>
          <w:tcPr>
            <w:tcW w:w="580" w:type="dxa"/>
            <w:vAlign w:val="bottom"/>
            <w:tcBorders>
              <w:bottom w:val="single" w:sz="8" w:color="auto"/>
            </w:tcBorders>
          </w:tcPr>
          <w:p>
            <w:pPr>
              <w:ind w:left="100"/>
              <w:spacing w:after="0" w:line="158" w:lineRule="exact"/>
              <w:rPr>
                <w:sz w:val="20"/>
                <w:szCs w:val="20"/>
                <w:color w:val="auto"/>
              </w:rPr>
            </w:pPr>
            <w:r>
              <w:rPr>
                <w:rFonts w:ascii="Times New Roman" w:cs="Times New Roman" w:eastAsia="Times New Roman" w:hAnsi="Times New Roman"/>
                <w:sz w:val="14"/>
                <w:szCs w:val="14"/>
                <w:color w:val="auto"/>
                <w:w w:val="97"/>
              </w:rPr>
              <w:t>Volume</w:t>
            </w:r>
          </w:p>
        </w:tc>
        <w:tc>
          <w:tcPr>
            <w:tcW w:w="0" w:type="dxa"/>
            <w:vAlign w:val="bottom"/>
          </w:tcPr>
          <w:p>
            <w:pPr>
              <w:spacing w:after="0"/>
              <w:rPr>
                <w:sz w:val="1"/>
                <w:szCs w:val="1"/>
                <w:color w:val="auto"/>
              </w:rPr>
            </w:pPr>
          </w:p>
        </w:tc>
      </w:tr>
      <w:tr>
        <w:trPr>
          <w:trHeight w:val="193"/>
        </w:trPr>
        <w:tc>
          <w:tcPr>
            <w:tcW w:w="40" w:type="dxa"/>
            <w:vAlign w:val="bottom"/>
            <w:tcBorders>
              <w:top w:val="single" w:sz="8" w:color="auto"/>
              <w:right w:val="single" w:sz="8" w:color="auto"/>
            </w:tcBorders>
          </w:tcPr>
          <w:p>
            <w:pPr>
              <w:spacing w:after="0"/>
              <w:rPr>
                <w:sz w:val="16"/>
                <w:szCs w:val="16"/>
                <w:color w:val="auto"/>
              </w:rPr>
            </w:pPr>
          </w:p>
        </w:tc>
        <w:tc>
          <w:tcPr>
            <w:tcW w:w="5740" w:type="dxa"/>
            <w:vAlign w:val="bottom"/>
            <w:tcBorders>
              <w:top w:val="single" w:sz="8" w:color="auto"/>
              <w:right w:val="single" w:sz="8" w:color="auto"/>
            </w:tcBorders>
            <w:shd w:val="clear" w:color="auto" w:fill="CCEEFF"/>
          </w:tcPr>
          <w:p>
            <w:pPr>
              <w:ind w:left="80"/>
              <w:spacing w:after="0" w:line="193" w:lineRule="exact"/>
              <w:rPr>
                <w:sz w:val="20"/>
                <w:szCs w:val="20"/>
                <w:color w:val="auto"/>
              </w:rPr>
            </w:pPr>
            <w:r>
              <w:rPr>
                <w:rFonts w:ascii="Times New Roman" w:cs="Times New Roman" w:eastAsia="Times New Roman" w:hAnsi="Times New Roman"/>
                <w:sz w:val="18"/>
                <w:szCs w:val="18"/>
                <w:color w:val="auto"/>
              </w:rPr>
              <w:t>Buick Total</w:t>
            </w:r>
          </w:p>
        </w:tc>
        <w:tc>
          <w:tcPr>
            <w:tcW w:w="84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Times New Roman" w:cs="Times New Roman" w:eastAsia="Times New Roman" w:hAnsi="Times New Roman"/>
                <w:sz w:val="18"/>
                <w:szCs w:val="18"/>
                <w:color w:val="auto"/>
              </w:rPr>
              <w:t>8,627</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Times New Roman" w:cs="Times New Roman" w:eastAsia="Times New Roman" w:hAnsi="Times New Roman"/>
                <w:sz w:val="18"/>
                <w:szCs w:val="18"/>
                <w:color w:val="auto"/>
              </w:rPr>
              <w:t>7,516</w:t>
            </w:r>
          </w:p>
        </w:tc>
        <w:tc>
          <w:tcPr>
            <w:tcW w:w="64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Times New Roman" w:cs="Times New Roman" w:eastAsia="Times New Roman" w:hAnsi="Times New Roman"/>
                <w:sz w:val="18"/>
                <w:szCs w:val="18"/>
                <w:color w:val="auto"/>
              </w:rPr>
              <w:t>14.8</w:t>
            </w:r>
          </w:p>
        </w:tc>
        <w:tc>
          <w:tcPr>
            <w:tcW w:w="780" w:type="dxa"/>
            <w:vAlign w:val="bottom"/>
            <w:tcBorders>
              <w:top w:val="single" w:sz="8" w:color="CCEEFF"/>
              <w:right w:val="single" w:sz="8" w:color="auto"/>
            </w:tcBorders>
            <w:shd w:val="clear" w:color="auto" w:fill="CCEEFF"/>
          </w:tcPr>
          <w:p>
            <w:pPr>
              <w:jc w:val="right"/>
              <w:ind w:right="16"/>
              <w:spacing w:after="0" w:line="193" w:lineRule="exact"/>
              <w:rPr>
                <w:sz w:val="20"/>
                <w:szCs w:val="20"/>
                <w:color w:val="auto"/>
              </w:rPr>
            </w:pPr>
            <w:r>
              <w:rPr>
                <w:rFonts w:ascii="Times New Roman" w:cs="Times New Roman" w:eastAsia="Times New Roman" w:hAnsi="Times New Roman"/>
                <w:sz w:val="18"/>
                <w:szCs w:val="18"/>
                <w:color w:val="auto"/>
              </w:rPr>
              <w:t>24.8</w:t>
            </w:r>
          </w:p>
        </w:tc>
        <w:tc>
          <w:tcPr>
            <w:tcW w:w="1020" w:type="dxa"/>
            <w:vAlign w:val="bottom"/>
            <w:tcBorders>
              <w:top w:val="single" w:sz="8" w:color="CCEEFF"/>
            </w:tcBorders>
            <w:shd w:val="clear" w:color="auto" w:fill="CCEEFF"/>
          </w:tcPr>
          <w:p>
            <w:pPr>
              <w:jc w:val="right"/>
              <w:ind w:right="35"/>
              <w:spacing w:after="0" w:line="193" w:lineRule="exact"/>
              <w:rPr>
                <w:sz w:val="20"/>
                <w:szCs w:val="20"/>
                <w:color w:val="auto"/>
              </w:rPr>
            </w:pPr>
            <w:r>
              <w:rPr>
                <w:rFonts w:ascii="Times New Roman" w:cs="Times New Roman" w:eastAsia="Times New Roman" w:hAnsi="Times New Roman"/>
                <w:sz w:val="18"/>
                <w:szCs w:val="18"/>
                <w:color w:val="auto"/>
              </w:rPr>
              <w:t>90,069</w:t>
            </w:r>
          </w:p>
        </w:tc>
        <w:tc>
          <w:tcPr>
            <w:tcW w:w="1000" w:type="dxa"/>
            <w:vAlign w:val="bottom"/>
            <w:tcBorders>
              <w:top w:val="single" w:sz="8" w:color="CCEEFF"/>
            </w:tcBorders>
            <w:shd w:val="clear" w:color="auto" w:fill="CCEEFF"/>
          </w:tcPr>
          <w:p>
            <w:pPr>
              <w:jc w:val="right"/>
              <w:ind w:right="94"/>
              <w:spacing w:after="0" w:line="193" w:lineRule="exact"/>
              <w:rPr>
                <w:sz w:val="20"/>
                <w:szCs w:val="20"/>
                <w:color w:val="auto"/>
              </w:rPr>
            </w:pPr>
            <w:r>
              <w:rPr>
                <w:rFonts w:ascii="Times New Roman" w:cs="Times New Roman" w:eastAsia="Times New Roman" w:hAnsi="Times New Roman"/>
                <w:sz w:val="18"/>
                <w:szCs w:val="18"/>
                <w:color w:val="auto"/>
              </w:rPr>
              <w:t>128,288</w:t>
            </w:r>
          </w:p>
        </w:tc>
        <w:tc>
          <w:tcPr>
            <w:tcW w:w="580" w:type="dxa"/>
            <w:vAlign w:val="bottom"/>
            <w:tcBorders>
              <w:top w:val="single" w:sz="8" w:color="CCEEFF"/>
              <w:right w:val="single" w:sz="8" w:color="auto"/>
            </w:tcBorders>
            <w:shd w:val="clear" w:color="auto" w:fill="CCEEFF"/>
          </w:tcPr>
          <w:p>
            <w:pPr>
              <w:ind w:left="100"/>
              <w:spacing w:after="0" w:line="193" w:lineRule="exact"/>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Cadillac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9,721</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8,815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19.9</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94,347</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147,924</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Chevrolet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100,023</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95,756</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1,209,007</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1,663,440</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GMC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21,301</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20,214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228,559</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347,213</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Core Brand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139,672</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132,301</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1,621,982</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2,286,865</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HUMMER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-84.8</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-83.5</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8,721</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25,315</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Pontiac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7,426</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12,140</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-38.8</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-33.5</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169,890</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250,902</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Saab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371</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-56.5</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-52.7</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7,812</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20,189</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Saturn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3,737</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8,130</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-54.0</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67,576</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175,434</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Non-Core Brand Total</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11,755</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22,576</w:t>
            </w: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-47.9</w:t>
            </w:r>
          </w:p>
        </w:tc>
        <w:tc>
          <w:tcPr>
            <w:tcW w:w="7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-43.4</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253,999</w:t>
            </w: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471,840</w:t>
            </w:r>
          </w:p>
        </w:tc>
        <w:tc>
          <w:tcPr>
            <w:tcW w:w="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GM Vehicle Total</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151,427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154,877</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1,875,981</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2,758,705</w:t>
            </w:r>
          </w:p>
        </w:tc>
        <w:tc>
          <w:tcPr>
            <w:tcW w:w="5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6"/>
        </w:trPr>
        <w:tc>
          <w:tcPr>
            <w:tcW w:w="4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GM Car Deliveries by Marketing Division</w:t>
            </w: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74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 Chg</w:t>
            </w:r>
          </w:p>
        </w:tc>
        <w:tc>
          <w:tcPr>
            <w:tcW w:w="780" w:type="dxa"/>
            <w:vAlign w:val="bottom"/>
            <w:tcBorders>
              <w:right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 Chg per</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center"/>
              <w:ind w:right="16"/>
              <w:spacing w:after="0" w:line="113" w:lineRule="exact"/>
              <w:rPr>
                <w:sz w:val="20"/>
                <w:szCs w:val="20"/>
                <w:color w:val="auto"/>
              </w:rPr>
            </w:pPr>
            <w:r>
              <w:rPr>
                <w:rFonts w:ascii="Times New Roman" w:cs="Times New Roman" w:eastAsia="Times New Roman" w:hAnsi="Times New Roman"/>
                <w:sz w:val="12"/>
                <w:szCs w:val="12"/>
                <w:color w:val="auto"/>
              </w:rPr>
              <w:t>% Chg</w:t>
            </w:r>
          </w:p>
        </w:tc>
        <w:tc>
          <w:tcPr>
            <w:tcW w:w="0" w:type="dxa"/>
            <w:vAlign w:val="bottom"/>
          </w:tcPr>
          <w:p>
            <w:pPr>
              <w:spacing w:after="0"/>
              <w:rPr>
                <w:sz w:val="1"/>
                <w:szCs w:val="1"/>
                <w:color w:val="auto"/>
              </w:rPr>
            </w:pP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57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jc w:val="right"/>
              <w:ind w:right="194"/>
              <w:spacing w:after="0" w:line="158" w:lineRule="exact"/>
              <w:rPr>
                <w:sz w:val="20"/>
                <w:szCs w:val="20"/>
                <w:color w:val="auto"/>
              </w:rPr>
            </w:pPr>
            <w:r>
              <w:rPr>
                <w:rFonts w:ascii="Times New Roman" w:cs="Times New Roman" w:eastAsia="Times New Roman" w:hAnsi="Times New Roman"/>
                <w:sz w:val="14"/>
                <w:szCs w:val="14"/>
                <w:color w:val="auto"/>
              </w:rPr>
              <w:t>2009</w:t>
            </w:r>
          </w:p>
        </w:tc>
        <w:tc>
          <w:tcPr>
            <w:tcW w:w="780" w:type="dxa"/>
            <w:vAlign w:val="bottom"/>
            <w:tcBorders>
              <w:bottom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4"/>
                <w:szCs w:val="14"/>
                <w:color w:val="auto"/>
              </w:rPr>
              <w:t>2008</w:t>
            </w:r>
          </w:p>
        </w:tc>
        <w:tc>
          <w:tcPr>
            <w:tcW w:w="64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2"/>
              </w:rPr>
              <w:t>Volume</w:t>
            </w:r>
          </w:p>
        </w:tc>
        <w:tc>
          <w:tcPr>
            <w:tcW w:w="780" w:type="dxa"/>
            <w:vAlign w:val="bottom"/>
            <w:tcBorders>
              <w:bottom w:val="single" w:sz="8" w:color="auto"/>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S/D</w:t>
            </w:r>
          </w:p>
        </w:tc>
        <w:tc>
          <w:tcPr>
            <w:tcW w:w="1020" w:type="dxa"/>
            <w:vAlign w:val="bottom"/>
            <w:tcBorders>
              <w:bottom w:val="single" w:sz="8" w:color="auto"/>
            </w:tcBorders>
          </w:tcPr>
          <w:p>
            <w:pPr>
              <w:jc w:val="right"/>
              <w:ind w:right="255"/>
              <w:spacing w:after="0" w:line="158" w:lineRule="exact"/>
              <w:rPr>
                <w:sz w:val="20"/>
                <w:szCs w:val="20"/>
                <w:color w:val="auto"/>
              </w:rPr>
            </w:pPr>
            <w:r>
              <w:rPr>
                <w:rFonts w:ascii="Times New Roman" w:cs="Times New Roman" w:eastAsia="Times New Roman" w:hAnsi="Times New Roman"/>
                <w:sz w:val="14"/>
                <w:szCs w:val="14"/>
                <w:color w:val="auto"/>
              </w:rPr>
              <w:t>2009</w:t>
            </w:r>
          </w:p>
        </w:tc>
        <w:tc>
          <w:tcPr>
            <w:tcW w:w="1000" w:type="dxa"/>
            <w:vAlign w:val="bottom"/>
            <w:tcBorders>
              <w:bottom w:val="single" w:sz="8" w:color="auto"/>
            </w:tcBorders>
          </w:tcPr>
          <w:p>
            <w:pPr>
              <w:jc w:val="right"/>
              <w:ind w:right="334"/>
              <w:spacing w:after="0" w:line="158" w:lineRule="exact"/>
              <w:rPr>
                <w:sz w:val="20"/>
                <w:szCs w:val="20"/>
                <w:color w:val="auto"/>
              </w:rPr>
            </w:pPr>
            <w:r>
              <w:rPr>
                <w:rFonts w:ascii="Times New Roman" w:cs="Times New Roman" w:eastAsia="Times New Roman" w:hAnsi="Times New Roman"/>
                <w:sz w:val="14"/>
                <w:szCs w:val="14"/>
                <w:color w:val="auto"/>
              </w:rPr>
              <w:t>2008</w:t>
            </w:r>
          </w:p>
        </w:tc>
        <w:tc>
          <w:tcPr>
            <w:tcW w:w="580" w:type="dxa"/>
            <w:vAlign w:val="bottom"/>
            <w:tcBorders>
              <w:bottom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2"/>
              </w:rPr>
              <w:t>Volume</w:t>
            </w:r>
          </w:p>
        </w:tc>
        <w:tc>
          <w:tcPr>
            <w:tcW w:w="0" w:type="dxa"/>
            <w:vAlign w:val="bottom"/>
          </w:tcPr>
          <w:p>
            <w:pPr>
              <w:spacing w:after="0"/>
              <w:rPr>
                <w:sz w:val="1"/>
                <w:szCs w:val="1"/>
                <w:color w:val="auto"/>
              </w:rPr>
            </w:pPr>
          </w:p>
        </w:tc>
      </w:tr>
      <w:tr>
        <w:trPr>
          <w:trHeight w:val="193"/>
        </w:trPr>
        <w:tc>
          <w:tcPr>
            <w:tcW w:w="40" w:type="dxa"/>
            <w:vAlign w:val="bottom"/>
            <w:tcBorders>
              <w:top w:val="single" w:sz="8" w:color="auto"/>
              <w:right w:val="single" w:sz="8" w:color="auto"/>
            </w:tcBorders>
          </w:tcPr>
          <w:p>
            <w:pPr>
              <w:spacing w:after="0"/>
              <w:rPr>
                <w:sz w:val="16"/>
                <w:szCs w:val="16"/>
                <w:color w:val="auto"/>
              </w:rPr>
            </w:pPr>
          </w:p>
        </w:tc>
        <w:tc>
          <w:tcPr>
            <w:tcW w:w="5740" w:type="dxa"/>
            <w:vAlign w:val="bottom"/>
            <w:tcBorders>
              <w:top w:val="single" w:sz="8" w:color="auto"/>
              <w:right w:val="single" w:sz="8" w:color="auto"/>
            </w:tcBorders>
            <w:shd w:val="clear" w:color="auto" w:fill="CCEEFF"/>
          </w:tcPr>
          <w:p>
            <w:pPr>
              <w:ind w:left="80"/>
              <w:spacing w:after="0" w:line="193" w:lineRule="exact"/>
              <w:rPr>
                <w:sz w:val="20"/>
                <w:szCs w:val="20"/>
                <w:color w:val="auto"/>
              </w:rPr>
            </w:pPr>
            <w:r>
              <w:rPr>
                <w:rFonts w:ascii="Times New Roman" w:cs="Times New Roman" w:eastAsia="Times New Roman" w:hAnsi="Times New Roman"/>
                <w:sz w:val="18"/>
                <w:szCs w:val="18"/>
                <w:color w:val="auto"/>
              </w:rPr>
              <w:t>Buick Total</w:t>
            </w:r>
          </w:p>
        </w:tc>
        <w:tc>
          <w:tcPr>
            <w:tcW w:w="84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Times New Roman" w:cs="Times New Roman" w:eastAsia="Times New Roman" w:hAnsi="Times New Roman"/>
                <w:sz w:val="18"/>
                <w:szCs w:val="18"/>
                <w:color w:val="auto"/>
              </w:rPr>
              <w:t>5,571</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Times New Roman" w:cs="Times New Roman" w:eastAsia="Times New Roman" w:hAnsi="Times New Roman"/>
                <w:sz w:val="18"/>
                <w:szCs w:val="18"/>
                <w:color w:val="auto"/>
              </w:rPr>
              <w:t>5,220</w:t>
            </w:r>
          </w:p>
        </w:tc>
        <w:tc>
          <w:tcPr>
            <w:tcW w:w="64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Times New Roman" w:cs="Times New Roman" w:eastAsia="Times New Roman" w:hAnsi="Times New Roman"/>
                <w:sz w:val="18"/>
                <w:szCs w:val="18"/>
                <w:color w:val="auto"/>
              </w:rPr>
              <w:t>6.7</w:t>
            </w:r>
          </w:p>
        </w:tc>
        <w:tc>
          <w:tcPr>
            <w:tcW w:w="780" w:type="dxa"/>
            <w:vAlign w:val="bottom"/>
            <w:tcBorders>
              <w:top w:val="single" w:sz="8" w:color="CCEEFF"/>
              <w:right w:val="single" w:sz="8" w:color="auto"/>
            </w:tcBorders>
            <w:shd w:val="clear" w:color="auto" w:fill="CCEEFF"/>
          </w:tcPr>
          <w:p>
            <w:pPr>
              <w:jc w:val="right"/>
              <w:ind w:right="16"/>
              <w:spacing w:after="0" w:line="193" w:lineRule="exact"/>
              <w:rPr>
                <w:sz w:val="20"/>
                <w:szCs w:val="20"/>
                <w:color w:val="auto"/>
              </w:rPr>
            </w:pPr>
            <w:r>
              <w:rPr>
                <w:rFonts w:ascii="Times New Roman" w:cs="Times New Roman" w:eastAsia="Times New Roman" w:hAnsi="Times New Roman"/>
                <w:sz w:val="18"/>
                <w:szCs w:val="18"/>
                <w:color w:val="auto"/>
              </w:rPr>
              <w:t>16.0</w:t>
            </w:r>
          </w:p>
        </w:tc>
        <w:tc>
          <w:tcPr>
            <w:tcW w:w="1020" w:type="dxa"/>
            <w:vAlign w:val="bottom"/>
            <w:tcBorders>
              <w:top w:val="single" w:sz="8" w:color="CCEEFF"/>
            </w:tcBorders>
            <w:shd w:val="clear" w:color="auto" w:fill="CCEEFF"/>
          </w:tcPr>
          <w:p>
            <w:pPr>
              <w:jc w:val="right"/>
              <w:ind w:right="35"/>
              <w:spacing w:after="0" w:line="193" w:lineRule="exact"/>
              <w:rPr>
                <w:sz w:val="20"/>
                <w:szCs w:val="20"/>
                <w:color w:val="auto"/>
              </w:rPr>
            </w:pPr>
            <w:r>
              <w:rPr>
                <w:rFonts w:ascii="Times New Roman" w:cs="Times New Roman" w:eastAsia="Times New Roman" w:hAnsi="Times New Roman"/>
                <w:sz w:val="18"/>
                <w:szCs w:val="18"/>
                <w:color w:val="auto"/>
              </w:rPr>
              <w:t>52,322</w:t>
            </w:r>
          </w:p>
        </w:tc>
        <w:tc>
          <w:tcPr>
            <w:tcW w:w="1000" w:type="dxa"/>
            <w:vAlign w:val="bottom"/>
            <w:tcBorders>
              <w:top w:val="single" w:sz="8" w:color="CCEEFF"/>
            </w:tcBorders>
            <w:shd w:val="clear" w:color="auto" w:fill="CCEEFF"/>
          </w:tcPr>
          <w:p>
            <w:pPr>
              <w:jc w:val="right"/>
              <w:ind w:right="94"/>
              <w:spacing w:after="0" w:line="193" w:lineRule="exact"/>
              <w:rPr>
                <w:sz w:val="20"/>
                <w:szCs w:val="20"/>
                <w:color w:val="auto"/>
              </w:rPr>
            </w:pPr>
            <w:r>
              <w:rPr>
                <w:rFonts w:ascii="Times New Roman" w:cs="Times New Roman" w:eastAsia="Times New Roman" w:hAnsi="Times New Roman"/>
                <w:sz w:val="18"/>
                <w:szCs w:val="18"/>
                <w:color w:val="auto"/>
              </w:rPr>
              <w:t>86,201</w:t>
            </w:r>
          </w:p>
        </w:tc>
        <w:tc>
          <w:tcPr>
            <w:tcW w:w="580" w:type="dxa"/>
            <w:vAlign w:val="bottom"/>
            <w:tcBorders>
              <w:top w:val="single" w:sz="8" w:color="CCEEFF"/>
              <w:right w:val="single" w:sz="8" w:color="auto"/>
            </w:tcBorders>
            <w:shd w:val="clear" w:color="auto" w:fill="CCEEFF"/>
          </w:tcPr>
          <w:p>
            <w:pPr>
              <w:ind w:left="100"/>
              <w:spacing w:after="0" w:line="193" w:lineRule="exact"/>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Cadillac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4,447</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4,879</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56,487</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98,079</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Chevrolet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38,631</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33,055</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16.9</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27.0</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492,362</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660,322</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 Core Brand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48,649</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43,154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601,171</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844,602</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Pontiac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7,300</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11,383</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-35.9</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-30.3</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160,497</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232,278</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Saab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293</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717</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-59.1</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-55.6</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5,676</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16,904</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Saturn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1,794</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3,532</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-49.2</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-44.8</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27,509</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76,191</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 Non-Core Brand Total</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9,387</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15,632</w:t>
            </w: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-40.0</w:t>
            </w:r>
          </w:p>
        </w:tc>
        <w:tc>
          <w:tcPr>
            <w:tcW w:w="7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-34.7</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193,682</w:t>
            </w: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325,373</w:t>
            </w:r>
          </w:p>
        </w:tc>
        <w:tc>
          <w:tcPr>
            <w:tcW w:w="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GM Car Total</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58,036</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58,786</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794,853</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1,169,975</w:t>
            </w:r>
          </w:p>
        </w:tc>
        <w:tc>
          <w:tcPr>
            <w:tcW w:w="5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6"/>
        </w:trPr>
        <w:tc>
          <w:tcPr>
            <w:tcW w:w="4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GM Light Truck Deliveries by Marketing Division</w:t>
            </w: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74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color w:val="auto"/>
              </w:rPr>
              <w:t>% Chg</w:t>
            </w:r>
          </w:p>
        </w:tc>
        <w:tc>
          <w:tcPr>
            <w:tcW w:w="780" w:type="dxa"/>
            <w:vAlign w:val="bottom"/>
            <w:tcBorders>
              <w:right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 Chg per</w:t>
            </w: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center"/>
              <w:ind w:right="16"/>
              <w:spacing w:after="0" w:line="113" w:lineRule="exact"/>
              <w:rPr>
                <w:sz w:val="20"/>
                <w:szCs w:val="20"/>
                <w:color w:val="auto"/>
              </w:rPr>
            </w:pPr>
            <w:r>
              <w:rPr>
                <w:rFonts w:ascii="Times New Roman" w:cs="Times New Roman" w:eastAsia="Times New Roman" w:hAnsi="Times New Roman"/>
                <w:sz w:val="12"/>
                <w:szCs w:val="12"/>
                <w:color w:val="auto"/>
              </w:rPr>
              <w:t>% Chg</w:t>
            </w:r>
          </w:p>
        </w:tc>
        <w:tc>
          <w:tcPr>
            <w:tcW w:w="0" w:type="dxa"/>
            <w:vAlign w:val="bottom"/>
          </w:tcPr>
          <w:p>
            <w:pPr>
              <w:spacing w:after="0"/>
              <w:rPr>
                <w:sz w:val="1"/>
                <w:szCs w:val="1"/>
                <w:color w:val="auto"/>
              </w:rPr>
            </w:pP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574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jc w:val="right"/>
              <w:ind w:right="194"/>
              <w:spacing w:after="0" w:line="158" w:lineRule="exact"/>
              <w:rPr>
                <w:sz w:val="20"/>
                <w:szCs w:val="20"/>
                <w:color w:val="auto"/>
              </w:rPr>
            </w:pPr>
            <w:r>
              <w:rPr>
                <w:rFonts w:ascii="Times New Roman" w:cs="Times New Roman" w:eastAsia="Times New Roman" w:hAnsi="Times New Roman"/>
                <w:sz w:val="14"/>
                <w:szCs w:val="14"/>
                <w:color w:val="auto"/>
              </w:rPr>
              <w:t>2009</w:t>
            </w:r>
          </w:p>
        </w:tc>
        <w:tc>
          <w:tcPr>
            <w:tcW w:w="780" w:type="dxa"/>
            <w:vAlign w:val="bottom"/>
            <w:tcBorders>
              <w:bottom w:val="single" w:sz="8" w:color="auto"/>
            </w:tcBorders>
          </w:tcPr>
          <w:p>
            <w:pPr>
              <w:jc w:val="right"/>
              <w:ind w:right="175"/>
              <w:spacing w:after="0" w:line="158" w:lineRule="exact"/>
              <w:rPr>
                <w:sz w:val="20"/>
                <w:szCs w:val="20"/>
                <w:color w:val="auto"/>
              </w:rPr>
            </w:pPr>
            <w:r>
              <w:rPr>
                <w:rFonts w:ascii="Times New Roman" w:cs="Times New Roman" w:eastAsia="Times New Roman" w:hAnsi="Times New Roman"/>
                <w:sz w:val="14"/>
                <w:szCs w:val="14"/>
                <w:color w:val="auto"/>
              </w:rPr>
              <w:t>2008</w:t>
            </w:r>
          </w:p>
        </w:tc>
        <w:tc>
          <w:tcPr>
            <w:tcW w:w="64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2"/>
              </w:rPr>
              <w:t>Volume</w:t>
            </w:r>
          </w:p>
        </w:tc>
        <w:tc>
          <w:tcPr>
            <w:tcW w:w="780" w:type="dxa"/>
            <w:vAlign w:val="bottom"/>
            <w:tcBorders>
              <w:bottom w:val="single" w:sz="8" w:color="auto"/>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S/D</w:t>
            </w:r>
          </w:p>
        </w:tc>
        <w:tc>
          <w:tcPr>
            <w:tcW w:w="1020" w:type="dxa"/>
            <w:vAlign w:val="bottom"/>
            <w:tcBorders>
              <w:bottom w:val="single" w:sz="8" w:color="auto"/>
            </w:tcBorders>
          </w:tcPr>
          <w:p>
            <w:pPr>
              <w:jc w:val="right"/>
              <w:ind w:right="255"/>
              <w:spacing w:after="0" w:line="158" w:lineRule="exact"/>
              <w:rPr>
                <w:sz w:val="20"/>
                <w:szCs w:val="20"/>
                <w:color w:val="auto"/>
              </w:rPr>
            </w:pPr>
            <w:r>
              <w:rPr>
                <w:rFonts w:ascii="Times New Roman" w:cs="Times New Roman" w:eastAsia="Times New Roman" w:hAnsi="Times New Roman"/>
                <w:sz w:val="14"/>
                <w:szCs w:val="14"/>
                <w:color w:val="auto"/>
              </w:rPr>
              <w:t>2009</w:t>
            </w:r>
          </w:p>
        </w:tc>
        <w:tc>
          <w:tcPr>
            <w:tcW w:w="1000" w:type="dxa"/>
            <w:vAlign w:val="bottom"/>
            <w:tcBorders>
              <w:bottom w:val="single" w:sz="8" w:color="auto"/>
            </w:tcBorders>
          </w:tcPr>
          <w:p>
            <w:pPr>
              <w:jc w:val="right"/>
              <w:ind w:right="334"/>
              <w:spacing w:after="0" w:line="158" w:lineRule="exact"/>
              <w:rPr>
                <w:sz w:val="20"/>
                <w:szCs w:val="20"/>
                <w:color w:val="auto"/>
              </w:rPr>
            </w:pPr>
            <w:r>
              <w:rPr>
                <w:rFonts w:ascii="Times New Roman" w:cs="Times New Roman" w:eastAsia="Times New Roman" w:hAnsi="Times New Roman"/>
                <w:sz w:val="14"/>
                <w:szCs w:val="14"/>
                <w:color w:val="auto"/>
              </w:rPr>
              <w:t>2008</w:t>
            </w:r>
          </w:p>
        </w:tc>
        <w:tc>
          <w:tcPr>
            <w:tcW w:w="580" w:type="dxa"/>
            <w:vAlign w:val="bottom"/>
            <w:tcBorders>
              <w:bottom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2"/>
              </w:rPr>
              <w:t>Volume</w:t>
            </w:r>
          </w:p>
        </w:tc>
        <w:tc>
          <w:tcPr>
            <w:tcW w:w="0" w:type="dxa"/>
            <w:vAlign w:val="bottom"/>
          </w:tcPr>
          <w:p>
            <w:pPr>
              <w:spacing w:after="0"/>
              <w:rPr>
                <w:sz w:val="1"/>
                <w:szCs w:val="1"/>
                <w:color w:val="auto"/>
              </w:rPr>
            </w:pPr>
          </w:p>
        </w:tc>
      </w:tr>
      <w:tr>
        <w:trPr>
          <w:trHeight w:val="193"/>
        </w:trPr>
        <w:tc>
          <w:tcPr>
            <w:tcW w:w="40" w:type="dxa"/>
            <w:vAlign w:val="bottom"/>
            <w:tcBorders>
              <w:top w:val="single" w:sz="8" w:color="auto"/>
              <w:right w:val="single" w:sz="8" w:color="auto"/>
            </w:tcBorders>
          </w:tcPr>
          <w:p>
            <w:pPr>
              <w:spacing w:after="0"/>
              <w:rPr>
                <w:sz w:val="16"/>
                <w:szCs w:val="16"/>
                <w:color w:val="auto"/>
              </w:rPr>
            </w:pPr>
          </w:p>
        </w:tc>
        <w:tc>
          <w:tcPr>
            <w:tcW w:w="5740" w:type="dxa"/>
            <w:vAlign w:val="bottom"/>
            <w:tcBorders>
              <w:top w:val="single" w:sz="8" w:color="auto"/>
              <w:right w:val="single" w:sz="8" w:color="auto"/>
            </w:tcBorders>
            <w:shd w:val="clear" w:color="auto" w:fill="CCEEFF"/>
          </w:tcPr>
          <w:p>
            <w:pPr>
              <w:ind w:left="80"/>
              <w:spacing w:after="0" w:line="193" w:lineRule="exact"/>
              <w:rPr>
                <w:sz w:val="20"/>
                <w:szCs w:val="20"/>
                <w:color w:val="auto"/>
              </w:rPr>
            </w:pPr>
            <w:r>
              <w:rPr>
                <w:rFonts w:ascii="Times New Roman" w:cs="Times New Roman" w:eastAsia="Times New Roman" w:hAnsi="Times New Roman"/>
                <w:sz w:val="18"/>
                <w:szCs w:val="18"/>
                <w:color w:val="auto"/>
              </w:rPr>
              <w:t>Buick Total</w:t>
            </w:r>
          </w:p>
        </w:tc>
        <w:tc>
          <w:tcPr>
            <w:tcW w:w="84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Times New Roman" w:cs="Times New Roman" w:eastAsia="Times New Roman" w:hAnsi="Times New Roman"/>
                <w:sz w:val="18"/>
                <w:szCs w:val="18"/>
                <w:color w:val="auto"/>
              </w:rPr>
              <w:t>3,056</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Times New Roman" w:cs="Times New Roman" w:eastAsia="Times New Roman" w:hAnsi="Times New Roman"/>
                <w:sz w:val="18"/>
                <w:szCs w:val="18"/>
                <w:color w:val="auto"/>
              </w:rPr>
              <w:t>2,296</w:t>
            </w:r>
          </w:p>
        </w:tc>
        <w:tc>
          <w:tcPr>
            <w:tcW w:w="64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Times New Roman" w:cs="Times New Roman" w:eastAsia="Times New Roman" w:hAnsi="Times New Roman"/>
                <w:sz w:val="18"/>
                <w:szCs w:val="18"/>
                <w:color w:val="auto"/>
              </w:rPr>
              <w:t>33.1</w:t>
            </w:r>
          </w:p>
        </w:tc>
        <w:tc>
          <w:tcPr>
            <w:tcW w:w="780" w:type="dxa"/>
            <w:vAlign w:val="bottom"/>
            <w:tcBorders>
              <w:top w:val="single" w:sz="8" w:color="CCEEFF"/>
              <w:right w:val="single" w:sz="8" w:color="auto"/>
            </w:tcBorders>
            <w:shd w:val="clear" w:color="auto" w:fill="CCEEFF"/>
          </w:tcPr>
          <w:p>
            <w:pPr>
              <w:jc w:val="right"/>
              <w:ind w:right="16"/>
              <w:spacing w:after="0" w:line="193" w:lineRule="exact"/>
              <w:rPr>
                <w:sz w:val="20"/>
                <w:szCs w:val="20"/>
                <w:color w:val="auto"/>
              </w:rPr>
            </w:pPr>
            <w:r>
              <w:rPr>
                <w:rFonts w:ascii="Times New Roman" w:cs="Times New Roman" w:eastAsia="Times New Roman" w:hAnsi="Times New Roman"/>
                <w:sz w:val="18"/>
                <w:szCs w:val="18"/>
                <w:color w:val="auto"/>
              </w:rPr>
              <w:t>44.7</w:t>
            </w:r>
          </w:p>
        </w:tc>
        <w:tc>
          <w:tcPr>
            <w:tcW w:w="1020" w:type="dxa"/>
            <w:vAlign w:val="bottom"/>
            <w:tcBorders>
              <w:top w:val="single" w:sz="8" w:color="CCEEFF"/>
            </w:tcBorders>
            <w:shd w:val="clear" w:color="auto" w:fill="CCEEFF"/>
          </w:tcPr>
          <w:p>
            <w:pPr>
              <w:jc w:val="right"/>
              <w:ind w:right="35"/>
              <w:spacing w:after="0" w:line="193" w:lineRule="exact"/>
              <w:rPr>
                <w:sz w:val="20"/>
                <w:szCs w:val="20"/>
                <w:color w:val="auto"/>
              </w:rPr>
            </w:pPr>
            <w:r>
              <w:rPr>
                <w:rFonts w:ascii="Times New Roman" w:cs="Times New Roman" w:eastAsia="Times New Roman" w:hAnsi="Times New Roman"/>
                <w:sz w:val="18"/>
                <w:szCs w:val="18"/>
                <w:color w:val="auto"/>
              </w:rPr>
              <w:t>37,747</w:t>
            </w:r>
          </w:p>
        </w:tc>
        <w:tc>
          <w:tcPr>
            <w:tcW w:w="1000" w:type="dxa"/>
            <w:vAlign w:val="bottom"/>
            <w:tcBorders>
              <w:top w:val="single" w:sz="8" w:color="CCEEFF"/>
            </w:tcBorders>
            <w:shd w:val="clear" w:color="auto" w:fill="CCEEFF"/>
          </w:tcPr>
          <w:p>
            <w:pPr>
              <w:jc w:val="right"/>
              <w:ind w:right="94"/>
              <w:spacing w:after="0" w:line="193" w:lineRule="exact"/>
              <w:rPr>
                <w:sz w:val="20"/>
                <w:szCs w:val="20"/>
                <w:color w:val="auto"/>
              </w:rPr>
            </w:pPr>
            <w:r>
              <w:rPr>
                <w:rFonts w:ascii="Times New Roman" w:cs="Times New Roman" w:eastAsia="Times New Roman" w:hAnsi="Times New Roman"/>
                <w:sz w:val="18"/>
                <w:szCs w:val="18"/>
                <w:color w:val="auto"/>
              </w:rPr>
              <w:t>42,087</w:t>
            </w:r>
          </w:p>
        </w:tc>
        <w:tc>
          <w:tcPr>
            <w:tcW w:w="580" w:type="dxa"/>
            <w:vAlign w:val="bottom"/>
            <w:tcBorders>
              <w:top w:val="single" w:sz="8" w:color="CCEEFF"/>
              <w:right w:val="single" w:sz="8" w:color="auto"/>
            </w:tcBorders>
            <w:shd w:val="clear" w:color="auto" w:fill="CCEEFF"/>
          </w:tcPr>
          <w:p>
            <w:pPr>
              <w:ind w:left="100"/>
              <w:spacing w:after="0" w:line="193"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Cadillac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5,274</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3,936</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34.0</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45.6</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37,860</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49,845</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Chevrolet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61,032</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62,040</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711,121</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993,464</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GMC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20,910</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19,402</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17.1</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222,313</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332,951</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Truck Core Brand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90,272</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87,674</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11.9</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1,009,041</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1,418,347</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HUMMER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1,454</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-84.8</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-83.5</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8,721</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25,315</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Pontiac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757</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-83.4</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-81.9</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9,393</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18,624</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Saab Total</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135</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-42.2</w:t>
            </w:r>
          </w:p>
        </w:tc>
        <w:tc>
          <w:tcPr>
            <w:tcW w:w="7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-37.2</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2,136</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3,285</w:t>
            </w:r>
          </w:p>
        </w:tc>
        <w:tc>
          <w:tcPr>
            <w:tcW w:w="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Saturn Total</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1,943</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4,598</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-57.7</w:t>
            </w:r>
          </w:p>
        </w:tc>
        <w:tc>
          <w:tcPr>
            <w:tcW w:w="78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-54.1</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40,067</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99,243</w:t>
            </w:r>
          </w:p>
        </w:tc>
        <w:tc>
          <w:tcPr>
            <w:tcW w:w="5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Truck Non-Core Brand Total</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2,368</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6,944</w:t>
            </w: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-65.9</w:t>
            </w:r>
          </w:p>
        </w:tc>
        <w:tc>
          <w:tcPr>
            <w:tcW w:w="7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-62.9</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60,317</w:t>
            </w: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146,467</w:t>
            </w:r>
          </w:p>
        </w:tc>
        <w:tc>
          <w:tcPr>
            <w:tcW w:w="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57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GM Light Truck Total</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92,640</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94,618</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1,069,358</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1,564,814</w:t>
            </w:r>
          </w:p>
        </w:tc>
        <w:tc>
          <w:tcPr>
            <w:tcW w:w="5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628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62801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Twenty-three selling days (S/D) for the November period this year and twenty-five for last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August 2007, GM includes GMC &amp; Chevrolet dealer deliveries of commercial vehicles distributed by American Isuzu Motors,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9920" w:val="left"/>
        </w:tabs>
        <w:rPr>
          <w:sz w:val="20"/>
          <w:szCs w:val="20"/>
          <w:color w:val="auto"/>
        </w:rPr>
      </w:pPr>
      <w:r>
        <w:rPr>
          <w:rFonts w:ascii="Times New Roman" w:cs="Times New Roman" w:eastAsia="Times New Roman" w:hAnsi="Times New Roman"/>
          <w:sz w:val="18"/>
          <w:szCs w:val="18"/>
          <w:color w:val="auto"/>
        </w:rPr>
        <w:t>Global Market and Industry Analysis - Sales Reporting and Data Management</w:t>
      </w:r>
      <w:r>
        <w:rPr>
          <w:sz w:val="20"/>
          <w:szCs w:val="20"/>
          <w:color w:val="auto"/>
        </w:rPr>
        <w:tab/>
      </w:r>
      <w:r>
        <w:rPr>
          <w:rFonts w:ascii="Times New Roman" w:cs="Times New Roman" w:eastAsia="Times New Roman" w:hAnsi="Times New Roman"/>
          <w:sz w:val="16"/>
          <w:szCs w:val="16"/>
          <w:color w:val="auto"/>
        </w:rPr>
        <w:t>Page 1 of 3</w:t>
      </w:r>
    </w:p>
    <w:p>
      <w:pPr>
        <w:sectPr>
          <w:pgSz w:w="11900" w:h="16838" w:orient="portrait"/>
          <w:cols w:equalWidth="0" w:num="1">
            <w:col w:w="11420"/>
          </w:cols>
          <w:pgMar w:left="240" w:top="27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Car Deliveries - (United States)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240" w:type="dxa"/>
            <w:vAlign w:val="bottom"/>
            <w:tcBorders>
              <w:top w:val="single" w:sz="8" w:color="auto"/>
              <w:left w:val="single" w:sz="8" w:color="auto"/>
              <w:right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210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(Calendar Year-to-Date)</w:t>
            </w:r>
          </w:p>
        </w:tc>
        <w:tc>
          <w:tcPr>
            <w:tcW w:w="600" w:type="dxa"/>
            <w:vAlign w:val="bottom"/>
            <w:tcBorders>
              <w:top w:val="single" w:sz="8" w:color="auto"/>
              <w:right w:val="single" w:sz="8" w:color="auto"/>
            </w:tcBorders>
          </w:tcPr>
          <w:p>
            <w:pPr>
              <w:spacing w:after="0"/>
              <w:rPr>
                <w:sz w:val="12"/>
                <w:szCs w:val="12"/>
                <w:color w:val="auto"/>
              </w:rPr>
            </w:pPr>
          </w:p>
        </w:tc>
      </w:tr>
      <w:tr>
        <w:trPr>
          <w:trHeight w:val="175"/>
        </w:trPr>
        <w:tc>
          <w:tcPr>
            <w:tcW w:w="5240" w:type="dxa"/>
            <w:vAlign w:val="bottom"/>
            <w:tcBorders>
              <w:left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373"/>
              <w:spacing w:after="0"/>
              <w:rPr>
                <w:sz w:val="20"/>
                <w:szCs w:val="20"/>
                <w:color w:val="auto"/>
              </w:rPr>
            </w:pPr>
            <w:r>
              <w:rPr>
                <w:rFonts w:ascii="Times New Roman" w:cs="Times New Roman" w:eastAsia="Times New Roman" w:hAnsi="Times New Roman"/>
                <w:sz w:val="14"/>
                <w:szCs w:val="14"/>
                <w:color w:val="auto"/>
              </w:rPr>
              <w:t>November</w:t>
            </w: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w w:val="96"/>
              </w:rPr>
              <w:t>January - November</w:t>
            </w:r>
          </w:p>
        </w:tc>
        <w:tc>
          <w:tcPr>
            <w:tcW w:w="600" w:type="dxa"/>
            <w:vAlign w:val="bottom"/>
            <w:tcBorders>
              <w:bottom w:val="single" w:sz="8" w:color="auto"/>
              <w:right w:val="single" w:sz="8" w:color="auto"/>
            </w:tcBorders>
          </w:tcPr>
          <w:p>
            <w:pPr>
              <w:spacing w:after="0"/>
              <w:rPr>
                <w:sz w:val="15"/>
                <w:szCs w:val="15"/>
                <w:color w:val="auto"/>
              </w:rPr>
            </w:pPr>
          </w:p>
        </w:tc>
      </w:tr>
      <w:tr>
        <w:trPr>
          <w:trHeight w:val="129"/>
        </w:trPr>
        <w:tc>
          <w:tcPr>
            <w:tcW w:w="5240" w:type="dxa"/>
            <w:vAlign w:val="bottom"/>
            <w:tcBorders>
              <w:left w:val="single" w:sz="8" w:color="auto"/>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color w:val="auto"/>
              </w:rPr>
              <w:t>% Chg</w:t>
            </w:r>
          </w:p>
        </w:tc>
        <w:tc>
          <w:tcPr>
            <w:tcW w:w="92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color w:val="auto"/>
              </w:rPr>
              <w:t>% Chg per</w:t>
            </w: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Borders>
              <w:right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rPr>
              <w:t>% Chg</w:t>
            </w:r>
          </w:p>
        </w:tc>
      </w:tr>
      <w:tr>
        <w:trPr>
          <w:trHeight w:val="175"/>
        </w:trPr>
        <w:tc>
          <w:tcPr>
            <w:tcW w:w="5240" w:type="dxa"/>
            <w:vAlign w:val="bottom"/>
            <w:tcBorders>
              <w:left w:val="single" w:sz="8" w:color="auto"/>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2009</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2008</w:t>
            </w:r>
          </w:p>
        </w:tc>
        <w:tc>
          <w:tcPr>
            <w:tcW w:w="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Volume</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S/D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2008</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Volume</w:t>
            </w:r>
          </w:p>
        </w:tc>
      </w:tr>
      <w:tr>
        <w:trPr>
          <w:trHeight w:val="210"/>
        </w:trPr>
        <w:tc>
          <w:tcPr>
            <w:tcW w:w="52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Days (S/D)</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LaCrosse</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3,400</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2,086</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63.0</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77.2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35,422</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Lucerne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2,171</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3,134</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-30.7</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29,085</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50,779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Buick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5,571</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5,220</w:t>
            </w:r>
          </w:p>
        </w:tc>
        <w:tc>
          <w:tcPr>
            <w:tcW w:w="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16.0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86,201</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-39.3</w:t>
            </w:r>
          </w:p>
        </w:tc>
      </w:tr>
      <w:tr>
        <w:trPr>
          <w:trHeight w:val="210"/>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2,705</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2,902</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-6.8</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54,378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DTS</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1,408</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1,287</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18.9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28,667</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279</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630</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-55.7</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13,883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XLR</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1,151</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Cadillac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4,447</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4,879</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-8.9</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56,487</w:t>
            </w:r>
          </w:p>
        </w:tc>
        <w:tc>
          <w:tcPr>
            <w:tcW w:w="12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98,079</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-42.4</w:t>
            </w:r>
          </w:p>
        </w:tc>
      </w:tr>
      <w:tr>
        <w:trPr>
          <w:trHeight w:val="210"/>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Aveo</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2,212</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3,321</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-33.4</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-27.6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35,157</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53,103</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Camaro</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6,867</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54,100</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Cobalt</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5,112</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6,319</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-12.1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96,052</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175,259</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Corvette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952</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1,093</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25,647</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Impala</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12,375</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12,851</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151,952</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244,692</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Malibu</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11,113</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9,469</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17.4</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27.6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142,194</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160,898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Monte Carlo</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710</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SSR</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Chevrolet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38,631</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33,055</w:t>
            </w:r>
          </w:p>
        </w:tc>
        <w:tc>
          <w:tcPr>
            <w:tcW w:w="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16.9</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27.0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492,362</w:t>
            </w: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660,322</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-25.4</w:t>
            </w:r>
          </w:p>
        </w:tc>
      </w:tr>
      <w:tr>
        <w:trPr>
          <w:trHeight w:val="210"/>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Core Brand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48,649</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43,154</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12.7</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601,171</w:t>
            </w:r>
          </w:p>
        </w:tc>
        <w:tc>
          <w:tcPr>
            <w:tcW w:w="12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844,602</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-28.8</w:t>
            </w:r>
          </w:p>
        </w:tc>
      </w:tr>
      <w:tr>
        <w:trPr>
          <w:trHeight w:val="210"/>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G3 Wave</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173</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314</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1,083</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-71.0</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-68.5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22,975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G6</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5,852</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6,040</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83,255</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132,534</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584</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1,133</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-48.5</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-44.0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21,955</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13,523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GTO</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52</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Grand Prix</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119</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-99.2</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8,371</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Solstice</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325</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-40.0</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-34.8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10,338</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Vibe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181</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2,683</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-93.3</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44,485</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52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Pontiac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7,300</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11,383</w:t>
            </w:r>
          </w:p>
        </w:tc>
        <w:tc>
          <w:tcPr>
            <w:tcW w:w="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-35.9</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-30.3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160,497</w:t>
            </w: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232,278</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9-2X</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249</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606</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-58.9</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14,483</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111</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-60.4</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-56.9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2,418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Saab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293</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717</w:t>
            </w:r>
          </w:p>
        </w:tc>
        <w:tc>
          <w:tcPr>
            <w:tcW w:w="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-59.1</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-55.6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16,904</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-66.4</w:t>
            </w:r>
          </w:p>
        </w:tc>
      </w:tr>
      <w:tr>
        <w:trPr>
          <w:trHeight w:val="210"/>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Astra</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68</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1,106</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-93.9</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-93.3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10,813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Aura</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1,478</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2,161</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-31.6</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-25.7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56,194</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52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ION</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314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5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Sky</w:t>
            </w:r>
          </w:p>
        </w:tc>
        <w:tc>
          <w:tcPr>
            <w:tcW w:w="30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265</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8,870</w:t>
            </w:r>
          </w:p>
        </w:tc>
        <w:tc>
          <w:tcPr>
            <w:tcW w:w="6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Saturn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1,794</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3,532</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-49.2</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-44.8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27,509</w:t>
            </w:r>
          </w:p>
        </w:tc>
        <w:tc>
          <w:tcPr>
            <w:tcW w:w="12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76,191</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-63.9</w:t>
            </w:r>
          </w:p>
        </w:tc>
      </w:tr>
      <w:tr>
        <w:trPr>
          <w:trHeight w:val="210"/>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Non-Core Brand Total</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9,387</w:t>
            </w: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15,632</w:t>
            </w:r>
          </w:p>
        </w:tc>
        <w:tc>
          <w:tcPr>
            <w:tcW w:w="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-40.0</w:t>
            </w:r>
          </w:p>
        </w:tc>
        <w:tc>
          <w:tcPr>
            <w:tcW w:w="92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-34.7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193,682</w:t>
            </w: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325,373</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-40.5</w:t>
            </w:r>
          </w:p>
        </w:tc>
      </w:tr>
      <w:tr>
        <w:trPr>
          <w:trHeight w:val="210"/>
        </w:trPr>
        <w:tc>
          <w:tcPr>
            <w:tcW w:w="52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GM Car Total</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58,036</w:t>
            </w: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58,786</w:t>
            </w: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794,853</w:t>
            </w:r>
          </w:p>
        </w:tc>
        <w:tc>
          <w:tcPr>
            <w:tcW w:w="12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1,169,975</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r>
      <w:tr>
        <w:trPr>
          <w:trHeight w:val="35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Global Market and Industry Analysis - Sales Reporting and Data Management</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2 of 3</w:t>
            </w:r>
          </w:p>
        </w:tc>
        <w:tc>
          <w:tcPr>
            <w:tcW w:w="60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60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gridSpan w:val="3"/>
          </w:tcPr>
          <w:p>
            <w:pPr>
              <w:jc w:val="right"/>
              <w:ind w:right="413"/>
              <w:spacing w:after="0" w:line="149" w:lineRule="exact"/>
              <w:rPr>
                <w:sz w:val="20"/>
                <w:szCs w:val="20"/>
                <w:color w:val="auto"/>
              </w:rPr>
            </w:pPr>
            <w:r>
              <w:rPr>
                <w:rFonts w:ascii="Times New Roman" w:cs="Times New Roman" w:eastAsia="Times New Roman" w:hAnsi="Times New Roman"/>
                <w:sz w:val="14"/>
                <w:szCs w:val="14"/>
                <w:color w:val="auto"/>
              </w:rPr>
              <w:t>(Calendar Year-to-Date)</w:t>
            </w:r>
          </w:p>
        </w:tc>
      </w:tr>
      <w:tr>
        <w:trPr>
          <w:trHeight w:val="161"/>
        </w:trPr>
        <w:tc>
          <w:tcPr>
            <w:tcW w:w="6600" w:type="dxa"/>
            <w:vAlign w:val="bottom"/>
            <w:tcBorders>
              <w:left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November</w:t>
            </w:r>
          </w:p>
        </w:tc>
        <w:tc>
          <w:tcPr>
            <w:tcW w:w="8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January - November</w:t>
            </w:r>
          </w:p>
        </w:tc>
        <w:tc>
          <w:tcPr>
            <w:tcW w:w="560" w:type="dxa"/>
            <w:vAlign w:val="bottom"/>
            <w:tcBorders>
              <w:bottom w:val="single" w:sz="8" w:color="auto"/>
              <w:right w:val="single" w:sz="8" w:color="auto"/>
            </w:tcBorders>
          </w:tcPr>
          <w:p>
            <w:pPr>
              <w:spacing w:after="0"/>
              <w:rPr>
                <w:sz w:val="14"/>
                <w:szCs w:val="14"/>
                <w:color w:val="auto"/>
              </w:rPr>
            </w:pPr>
          </w:p>
        </w:tc>
      </w:tr>
      <w:tr>
        <w:trPr>
          <w:trHeight w:val="129"/>
        </w:trPr>
        <w:tc>
          <w:tcPr>
            <w:tcW w:w="6600" w:type="dxa"/>
            <w:vAlign w:val="bottom"/>
            <w:tcBorders>
              <w:left w:val="single" w:sz="8" w:color="auto"/>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 Chg</w:t>
            </w:r>
          </w:p>
        </w:tc>
        <w:tc>
          <w:tcPr>
            <w:tcW w:w="800" w:type="dxa"/>
            <w:vAlign w:val="bottom"/>
            <w:tcBorders>
              <w:right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color w:val="auto"/>
              </w:rPr>
              <w:t>% Chg per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Borders>
              <w:right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rPr>
              <w:t>% Chg</w:t>
            </w:r>
          </w:p>
        </w:tc>
      </w:tr>
      <w:tr>
        <w:trPr>
          <w:trHeight w:val="161"/>
        </w:trPr>
        <w:tc>
          <w:tcPr>
            <w:tcW w:w="66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Volume</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S/D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w w:val="92"/>
              </w:rPr>
              <w:t>Volume</w:t>
            </w:r>
          </w:p>
        </w:tc>
      </w:tr>
      <w:tr>
        <w:trPr>
          <w:trHeight w:val="210"/>
        </w:trPr>
        <w:tc>
          <w:tcPr>
            <w:tcW w:w="66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Days (S/D)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Enclave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45.2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Rainier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Rendezvous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Terraza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66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Buick 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44.7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42,087</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Escalade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Escalade ESV</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-26.7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Escalade EXT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SRX</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234.6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Cadillac 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45.6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r>
      <w:tr>
        <w:trPr>
          <w:trHeight w:val="210"/>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Chevy C/T Series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Chevy W Series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-25.7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Colorado</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49,899</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Equinox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305.5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Express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80,731</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HHR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89,184</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Kodiak 4/5 Series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-34.0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Kodiak 6/7/8 Series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Suburban (Chevy)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31.0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48,003</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Tahoe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TrailBlazer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-93.0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70,791</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Traverse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Uplander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-96.1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-95.7</w:t>
            </w:r>
          </w:p>
        </w:tc>
      </w:tr>
      <w:tr>
        <w:trPr>
          <w:trHeight w:val="217"/>
        </w:trPr>
        <w:tc>
          <w:tcPr>
            <w:tcW w:w="6600" w:type="dxa"/>
            <w:vAlign w:val="bottom"/>
            <w:tcBorders>
              <w:left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Avalanche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-25.2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31,806</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600" w:type="dxa"/>
            <w:vAlign w:val="bottom"/>
            <w:tcBorders>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Silverado-C/K Pickup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-18.7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431,725</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Chevrolet Fullsize Pickups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23,474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31,530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66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Chevrolet 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716,645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1,003,118</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r>
      <w:tr>
        <w:trPr>
          <w:trHeight w:val="210"/>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Acadia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59.6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62,729</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Canyon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Envoy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-89.7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GMC C/T Series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GMC W Series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Savana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Sierra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155,564</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Terrain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Topkick 4/5 Series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Topkick 6/7/8 Series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Yukon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34,663</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Yukon XL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6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GMC 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347,213</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r>
      <w:tr>
        <w:trPr>
          <w:trHeight w:val="210"/>
        </w:trPr>
        <w:tc>
          <w:tcPr>
            <w:tcW w:w="66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Core Brand 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89,147</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11.0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1,020,811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1,442,263</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-29.2</w:t>
            </w:r>
          </w:p>
        </w:tc>
      </w:tr>
      <w:tr>
        <w:trPr>
          <w:trHeight w:val="210"/>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HUMMER H1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HUMMER H2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HUMMER H3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-87.6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HUMMER H3T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-61.7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66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HUMMER 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-83.5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-65.6</w:t>
            </w:r>
          </w:p>
        </w:tc>
      </w:tr>
      <w:tr>
        <w:trPr>
          <w:trHeight w:val="210"/>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Montana SV6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Torrent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-81.9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66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Pontiac 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-81.9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r>
      <w:tr>
        <w:trPr>
          <w:trHeight w:val="210"/>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9-7X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-37.2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6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Saab 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-37.2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-35.0</w:t>
            </w:r>
          </w:p>
        </w:tc>
      </w:tr>
      <w:tr>
        <w:trPr>
          <w:trHeight w:val="210"/>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Outlook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-48.3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6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Relay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5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6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VUE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0" w:type="dxa"/>
            <w:vAlign w:val="bottom"/>
            <w:tcBorders>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-56.1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75,097</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66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Saturn 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-54.1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99,243</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-59.6</w:t>
            </w:r>
          </w:p>
        </w:tc>
      </w:tr>
      <w:tr>
        <w:trPr>
          <w:trHeight w:val="210"/>
        </w:trPr>
        <w:tc>
          <w:tcPr>
            <w:tcW w:w="66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Non-Core Brand 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-62.9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146,467</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-58.8</w:t>
            </w:r>
          </w:p>
        </w:tc>
      </w:tr>
      <w:tr>
        <w:trPr>
          <w:trHeight w:val="210"/>
        </w:trPr>
        <w:tc>
          <w:tcPr>
            <w:tcW w:w="66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GM Truck 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93,391</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96,091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1,081,128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1,588,730</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-32.0</w:t>
            </w:r>
          </w:p>
        </w:tc>
      </w:tr>
      <w:tr>
        <w:trPr>
          <w:trHeight w:val="35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Global Market and Industry Analysis - Sales Reporting and Data Management</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Page 3 of 3</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-5001895</wp:posOffset>
            </wp:positionV>
            <wp:extent cx="7259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-4581525</wp:posOffset>
            </wp:positionV>
            <wp:extent cx="7259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Production Schedule - 12/1/09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Memo: Joint Venture</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 xml:space="preserve">GMIO </w:t>
            </w:r>
            <w:r>
              <w:rPr>
                <w:rFonts w:ascii="Times New Roman" w:cs="Times New Roman" w:eastAsia="Times New Roman" w:hAnsi="Times New Roman"/>
                <w:sz w:val="22"/>
                <w:szCs w:val="22"/>
                <w:b w:val="1"/>
                <w:bCs w:val="1"/>
                <w:color w:val="auto"/>
                <w:vertAlign w:val="superscript"/>
              </w:rPr>
              <w:t>2</w:t>
            </w:r>
          </w:p>
        </w:tc>
        <w:tc>
          <w:tcPr>
            <w:tcW w:w="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1220"/>
              <w:spacing w:after="0"/>
              <w:rPr>
                <w:sz w:val="20"/>
                <w:szCs w:val="20"/>
                <w:color w:val="auto"/>
              </w:rPr>
            </w:pPr>
            <w:r>
              <w:rPr>
                <w:rFonts w:ascii="Times New Roman" w:cs="Times New Roman" w:eastAsia="Times New Roman" w:hAnsi="Times New Roman"/>
                <w:sz w:val="14"/>
                <w:szCs w:val="14"/>
                <w:color w:val="auto"/>
              </w:rPr>
              <w:t>GMNA</w:t>
            </w:r>
          </w:p>
        </w:tc>
        <w:tc>
          <w:tcPr>
            <w:tcW w:w="760" w:type="dxa"/>
            <w:vAlign w:val="bottom"/>
            <w:gridSpan w:val="2"/>
          </w:tcPr>
          <w:p>
            <w:pPr>
              <w:ind w:left="140"/>
              <w:spacing w:after="0" w:line="217" w:lineRule="exact"/>
              <w:rPr>
                <w:sz w:val="20"/>
                <w:szCs w:val="20"/>
                <w:color w:val="auto"/>
              </w:rPr>
            </w:pPr>
            <w:r>
              <w:rPr>
                <w:rFonts w:ascii="Times New Roman" w:cs="Times New Roman" w:eastAsia="Times New Roman" w:hAnsi="Times New Roman"/>
                <w:sz w:val="14"/>
                <w:szCs w:val="14"/>
                <w:color w:val="auto"/>
              </w:rPr>
              <w:t xml:space="preserve">GMIO </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right w:val="single" w:sz="8" w:color="auto"/>
            </w:tcBorders>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w w:val="96"/>
              </w:rPr>
              <w:t>Units 000s</w:t>
            </w:r>
          </w:p>
        </w:tc>
        <w:tc>
          <w:tcPr>
            <w:tcW w:w="200" w:type="dxa"/>
            <w:vAlign w:val="bottom"/>
          </w:tcPr>
          <w:p>
            <w:pPr>
              <w:spacing w:after="0"/>
              <w:rPr>
                <w:sz w:val="12"/>
                <w:szCs w:val="12"/>
                <w:color w:val="auto"/>
              </w:rPr>
            </w:pPr>
          </w:p>
        </w:tc>
        <w:tc>
          <w:tcPr>
            <w:tcW w:w="78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Car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2"/>
                <w:szCs w:val="12"/>
                <w:color w:val="auto"/>
              </w:rPr>
            </w:pPr>
          </w:p>
        </w:tc>
        <w:tc>
          <w:tcPr>
            <w:tcW w:w="780" w:type="dxa"/>
            <w:vAlign w:val="bottom"/>
            <w:tcBorders>
              <w:right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Truck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2"/>
                <w:szCs w:val="12"/>
                <w:color w:val="auto"/>
              </w:rPr>
            </w:pPr>
          </w:p>
        </w:tc>
        <w:tc>
          <w:tcPr>
            <w:tcW w:w="780" w:type="dxa"/>
            <w:vAlign w:val="bottom"/>
            <w:tcBorders>
              <w:right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Worldwide</w:t>
            </w:r>
          </w:p>
        </w:tc>
        <w:tc>
          <w:tcPr>
            <w:tcW w:w="200" w:type="dxa"/>
            <w:vAlign w:val="bottom"/>
          </w:tcPr>
          <w:p>
            <w:pPr>
              <w:spacing w:after="0"/>
              <w:rPr>
                <w:sz w:val="12"/>
                <w:szCs w:val="12"/>
                <w:color w:val="auto"/>
              </w:rPr>
            </w:pPr>
          </w:p>
        </w:tc>
        <w:tc>
          <w:tcPr>
            <w:tcW w:w="5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1"/>
                <w:szCs w:val="11"/>
                <w:color w:val="auto"/>
              </w:rPr>
              <w:t xml:space="preserve">Car </w:t>
            </w:r>
            <w:r>
              <w:rPr>
                <w:rFonts w:ascii="Times New Roman" w:cs="Times New Roman" w:eastAsia="Times New Roman" w:hAnsi="Times New Roman"/>
                <w:sz w:val="16"/>
                <w:szCs w:val="16"/>
                <w:color w:val="auto"/>
                <w:vertAlign w:val="superscript"/>
              </w:rPr>
              <w:t>1</w:t>
            </w:r>
          </w:p>
        </w:tc>
        <w:tc>
          <w:tcPr>
            <w:tcW w:w="480" w:type="dxa"/>
            <w:vAlign w:val="bottom"/>
          </w:tcPr>
          <w:p>
            <w:pPr>
              <w:spacing w:after="0"/>
              <w:rPr>
                <w:sz w:val="12"/>
                <w:szCs w:val="12"/>
                <w:color w:val="auto"/>
              </w:rPr>
            </w:pPr>
          </w:p>
        </w:tc>
        <w:tc>
          <w:tcPr>
            <w:tcW w:w="124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1"/>
                <w:szCs w:val="11"/>
                <w:color w:val="auto"/>
              </w:rPr>
              <w:t xml:space="preserve">Truck </w:t>
            </w:r>
            <w:r>
              <w:rPr>
                <w:rFonts w:ascii="Times New Roman" w:cs="Times New Roman" w:eastAsia="Times New Roman" w:hAnsi="Times New Roman"/>
                <w:sz w:val="16"/>
                <w:szCs w:val="16"/>
                <w:color w:val="auto"/>
                <w:vertAlign w:val="superscript"/>
              </w:rPr>
              <w:t>1</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left w:val="single" w:sz="8" w:color="CCEEFF"/>
              <w:bottom w:val="single" w:sz="8" w:color="auto"/>
              <w:righ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2009 Q4 # *</w:t>
            </w:r>
          </w:p>
        </w:tc>
        <w:tc>
          <w:tcPr>
            <w:tcW w:w="280" w:type="dxa"/>
            <w:vAlign w:val="bottom"/>
            <w:tcBorders>
              <w:right w:val="single" w:sz="8" w:color="auto"/>
            </w:tcBorders>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i w:val="1"/>
                <w:iCs w:val="1"/>
                <w:color w:val="auto"/>
              </w:rPr>
              <w:t>O/(U) prior</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forecast</w:t>
            </w:r>
          </w:p>
        </w:tc>
        <w:tc>
          <w:tcPr>
            <w:tcW w:w="280" w:type="dxa"/>
            <w:vAlign w:val="bottom"/>
            <w:tcBorders>
              <w:right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w:t>
            </w:r>
          </w:p>
        </w:tc>
        <w:tc>
          <w:tcPr>
            <w:tcW w:w="9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w:t>
            </w:r>
          </w:p>
        </w:tc>
        <w:tc>
          <w:tcPr>
            <w:tcW w:w="9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w:t>
            </w:r>
          </w:p>
        </w:tc>
        <w:tc>
          <w:tcPr>
            <w:tcW w:w="2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92</w:t>
            </w:r>
          </w:p>
        </w:tc>
        <w:tc>
          <w:tcPr>
            <w:tcW w:w="280" w:type="dxa"/>
            <w:vAlign w:val="bottom"/>
            <w:tcBorders>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92</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0</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i w:val="1"/>
                <w:iCs w:val="1"/>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left w:val="single" w:sz="8" w:color="CCEEFF"/>
              <w:bottom w:val="single" w:sz="8" w:color="auto"/>
              <w:righ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2010 Q1 #</w:t>
            </w:r>
          </w:p>
        </w:tc>
        <w:tc>
          <w:tcPr>
            <w:tcW w:w="280" w:type="dxa"/>
            <w:vAlign w:val="bottom"/>
            <w:tcBorders>
              <w:right w:val="single" w:sz="8" w:color="auto"/>
            </w:tcBorders>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1,906</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i w:val="1"/>
                <w:iCs w:val="1"/>
                <w:color w:val="auto"/>
              </w:rPr>
              <w:t>O/(U) prior</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forecast</w:t>
            </w:r>
          </w:p>
        </w:tc>
        <w:tc>
          <w:tcPr>
            <w:tcW w:w="280" w:type="dxa"/>
            <w:vAlign w:val="bottom"/>
            <w:tcBorders>
              <w:right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w:t>
            </w:r>
          </w:p>
        </w:tc>
        <w:tc>
          <w:tcPr>
            <w:tcW w:w="9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w:t>
            </w:r>
          </w:p>
        </w:tc>
        <w:tc>
          <w:tcPr>
            <w:tcW w:w="9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w:t>
            </w:r>
          </w:p>
        </w:tc>
        <w:tc>
          <w:tcPr>
            <w:tcW w:w="2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w:t>
            </w:r>
          </w:p>
        </w:tc>
        <w:tc>
          <w:tcPr>
            <w:tcW w:w="280" w:type="dxa"/>
            <w:vAlign w:val="bottom"/>
            <w:tcBorders>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0</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0</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i w:val="1"/>
                <w:iCs w:val="1"/>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 xml:space="preserve">GMIO </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right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 xml:space="preserve">GMIO </w:t>
            </w:r>
            <w:r>
              <w:rPr>
                <w:rFonts w:ascii="Times New Roman" w:cs="Times New Roman" w:eastAsia="Times New Roman" w:hAnsi="Times New Roman"/>
                <w:sz w:val="22"/>
                <w:szCs w:val="22"/>
                <w:b w:val="1"/>
                <w:bCs w:val="1"/>
                <w:color w:val="auto"/>
                <w:vertAlign w:val="superscript"/>
              </w:rPr>
              <w:t>2</w:t>
            </w:r>
          </w:p>
        </w:tc>
        <w:tc>
          <w:tcPr>
            <w:tcW w:w="280" w:type="dxa"/>
            <w:vAlign w:val="bottom"/>
            <w:tcBorders>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3"/>
          </w:tcPr>
          <w:p>
            <w:pPr>
              <w:jc w:val="right"/>
              <w:ind w:right="1220"/>
              <w:spacing w:after="0"/>
              <w:rPr>
                <w:sz w:val="20"/>
                <w:szCs w:val="20"/>
                <w:color w:val="auto"/>
              </w:rPr>
            </w:pPr>
            <w:r>
              <w:rPr>
                <w:rFonts w:ascii="Times New Roman" w:cs="Times New Roman" w:eastAsia="Times New Roman" w:hAnsi="Times New Roman"/>
                <w:sz w:val="14"/>
                <w:szCs w:val="14"/>
                <w:color w:val="auto"/>
              </w:rPr>
              <w:t>GMNA</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right w:val="single" w:sz="8" w:color="auto"/>
            </w:tcBorders>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w w:val="96"/>
              </w:rPr>
              <w:t>Units 000s</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Car </w:t>
            </w:r>
            <w:r>
              <w:rPr>
                <w:rFonts w:ascii="Times New Roman" w:cs="Times New Roman" w:eastAsia="Times New Roman" w:hAnsi="Times New Roman"/>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Truck </w:t>
            </w:r>
            <w:r>
              <w:rPr>
                <w:rFonts w:ascii="Times New Roman" w:cs="Times New Roman" w:eastAsia="Times New Roman" w:hAnsi="Times New Roman"/>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Worldwide</w:t>
            </w:r>
          </w:p>
        </w:tc>
        <w:tc>
          <w:tcPr>
            <w:tcW w:w="200" w:type="dxa"/>
            <w:vAlign w:val="bottom"/>
          </w:tcPr>
          <w:p>
            <w:pPr>
              <w:spacing w:after="0"/>
              <w:rPr>
                <w:sz w:val="12"/>
                <w:szCs w:val="12"/>
                <w:color w:val="auto"/>
              </w:rPr>
            </w:pPr>
          </w:p>
        </w:tc>
        <w:tc>
          <w:tcPr>
            <w:tcW w:w="5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1"/>
                <w:szCs w:val="11"/>
                <w:color w:val="auto"/>
              </w:rPr>
              <w:t xml:space="preserve">Car </w:t>
            </w:r>
            <w:r>
              <w:rPr>
                <w:rFonts w:ascii="Times New Roman" w:cs="Times New Roman" w:eastAsia="Times New Roman" w:hAnsi="Times New Roman"/>
                <w:sz w:val="16"/>
                <w:szCs w:val="16"/>
                <w:color w:val="auto"/>
                <w:vertAlign w:val="superscript"/>
              </w:rPr>
              <w:t>1</w:t>
            </w:r>
          </w:p>
        </w:tc>
        <w:tc>
          <w:tcPr>
            <w:tcW w:w="480" w:type="dxa"/>
            <w:vAlign w:val="bottom"/>
          </w:tcPr>
          <w:p>
            <w:pPr>
              <w:spacing w:after="0"/>
              <w:rPr>
                <w:sz w:val="12"/>
                <w:szCs w:val="12"/>
                <w:color w:val="auto"/>
              </w:rPr>
            </w:pPr>
          </w:p>
        </w:tc>
        <w:tc>
          <w:tcPr>
            <w:tcW w:w="124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1"/>
                <w:szCs w:val="11"/>
                <w:color w:val="auto"/>
              </w:rPr>
              <w:t xml:space="preserve">Truck </w:t>
            </w:r>
            <w:r>
              <w:rPr>
                <w:rFonts w:ascii="Times New Roman" w:cs="Times New Roman" w:eastAsia="Times New Roman" w:hAnsi="Times New Roman"/>
                <w:sz w:val="16"/>
                <w:szCs w:val="16"/>
                <w:color w:val="auto"/>
                <w:vertAlign w:val="superscript"/>
              </w:rPr>
              <w:t>1</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860</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1,451</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695</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2,146</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837</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1,380</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706</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2,086</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3rd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753</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1,245</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648</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1,893</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827</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1,385</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736</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2,121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CY</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2,184</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3,277</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5,461</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2,785</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8,246</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820</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1,345</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928</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2,273</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846</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1,389</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1,012</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2,401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3rd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746</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1,209</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910</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2,119</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811</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1,277</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1,028</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2,305</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CY</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1,997</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3,223</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5,220</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3,878</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9,098</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712</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1,182</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1,022</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2,204</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789</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1,247</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1,094</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3rd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723</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1,146</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1,028</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2,174</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798</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1,281</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1,051</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2,332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CY</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1,834</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3,022</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4,856</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4,195</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9,051</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759</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1,255</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1,160</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2,415</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775</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1,237</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1,183</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2,420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3rd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633</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1,050</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1,022</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2,072</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661</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1,107</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1,167</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2,274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CY</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1,821</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2,828</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4,649</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4,532</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9,181</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664</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1,063</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1,277</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2,340</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740</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1,142</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1,268</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2,410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3rd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653</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1,020</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1,136</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2,156</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684</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1,042</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1,337</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2,380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CY</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1,526</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2,741</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4,267</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5,019</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9,286</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2008</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525</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885</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1,348</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2,233</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452</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834</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1,390</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2,224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3rd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479</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915</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1,124</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2,039</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450</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815</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833</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1,648</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CY</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1,543</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1,906</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3,449</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4,695</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8,144</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2009</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255</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371</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959</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1,330</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Qtr.</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225</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395</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1,143</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1,538</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3rd Qtr.</w:t>
            </w: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980" w:type="dxa"/>
            <w:vAlign w:val="bottom"/>
            <w:tcBorders>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326</w:t>
            </w:r>
          </w:p>
        </w:tc>
        <w:tc>
          <w:tcPr>
            <w:tcW w:w="980" w:type="dxa"/>
            <w:vAlign w:val="bottom"/>
            <w:tcBorders>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531</w:t>
            </w:r>
          </w:p>
        </w:tc>
        <w:tc>
          <w:tcPr>
            <w:tcW w:w="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1,166</w:t>
            </w:r>
          </w:p>
        </w:tc>
        <w:tc>
          <w:tcPr>
            <w:tcW w:w="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1,697</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left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Qtr. #</w:t>
            </w:r>
          </w:p>
        </w:tc>
        <w:tc>
          <w:tcPr>
            <w:tcW w:w="98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980" w:type="dxa"/>
            <w:vAlign w:val="bottom"/>
            <w:tcBorders>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381</w:t>
            </w:r>
          </w:p>
        </w:tc>
        <w:tc>
          <w:tcPr>
            <w:tcW w:w="980" w:type="dxa"/>
            <w:vAlign w:val="bottom"/>
            <w:tcBorders>
              <w:right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620</w:t>
            </w:r>
          </w:p>
        </w:tc>
        <w:tc>
          <w:tcPr>
            <w:tcW w:w="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1,166</w:t>
            </w:r>
          </w:p>
        </w:tc>
        <w:tc>
          <w:tcPr>
            <w:tcW w:w="28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1,786</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CY</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730</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1,187</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1,917</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4,434</w:t>
            </w:r>
          </w:p>
        </w:tc>
        <w:tc>
          <w:tcPr>
            <w:tcW w:w="2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6,351</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5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2010</w:t>
            </w: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1st Qtr. #</w:t>
            </w:r>
          </w:p>
        </w:tc>
        <w:tc>
          <w:tcPr>
            <w:tcW w:w="98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980" w:type="dxa"/>
            <w:vAlign w:val="bottom"/>
            <w:tcBorders>
              <w:bottom w:val="single" w:sz="8" w:color="auto"/>
              <w:right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413</w:t>
            </w:r>
          </w:p>
        </w:tc>
        <w:tc>
          <w:tcPr>
            <w:tcW w:w="980" w:type="dxa"/>
            <w:vAlign w:val="bottom"/>
            <w:tcBorders>
              <w:bottom w:val="single" w:sz="8" w:color="auto"/>
              <w:right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650</w:t>
            </w:r>
          </w:p>
        </w:tc>
        <w:tc>
          <w:tcPr>
            <w:tcW w:w="28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1,256</w:t>
            </w:r>
          </w:p>
        </w:tc>
        <w:tc>
          <w:tcPr>
            <w:tcW w:w="280" w:type="dxa"/>
            <w:vAlign w:val="bottom"/>
            <w:tcBorders>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1,906</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reported only if current production estimate differs from prior production estimate by 5K units or more</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Denotes estimate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Numbers may vary due to rounding</w:t>
      </w:r>
    </w:p>
    <w:p>
      <w:pPr>
        <w:sectPr>
          <w:pgSz w:w="11900" w:h="16838" w:orient="portrait"/>
          <w:cols w:equalWidth="0" w:num="1">
            <w:col w:w="11420"/>
          </w:cols>
          <w:pgMar w:left="240" w:top="272" w:right="239" w:bottom="0" w:gutter="0" w:footer="0" w:header="0"/>
        </w:sectPr>
      </w:pPr>
    </w:p>
    <w:bookmarkStart w:id="12" w:name="page13"/>
    <w:bookmarkEnd w:id="12"/>
    <w:p>
      <w:pPr>
        <w:spacing w:after="0" w:line="257" w:lineRule="auto"/>
        <w:rPr>
          <w:sz w:val="20"/>
          <w:szCs w:val="20"/>
          <w:color w:val="auto"/>
        </w:rPr>
      </w:pPr>
      <w:r>
        <w:rPr>
          <w:rFonts w:ascii="Times New Roman" w:cs="Times New Roman" w:eastAsia="Times New Roman" w:hAnsi="Times New Roman"/>
          <w:sz w:val="18"/>
          <w:szCs w:val="18"/>
          <w:color w:val="auto"/>
        </w:rPr>
        <w:t>General Motors Company acquired operations from General Motors Corporation on July 10, 2009, and references to prior periods in this and other materials refer to operations of the old General Motors Corporation</w:t>
      </w:r>
    </w:p>
    <w:p>
      <w:pPr>
        <w:spacing w:after="0" w:line="200" w:lineRule="auto"/>
        <w:rPr>
          <w:sz w:val="20"/>
          <w:szCs w:val="20"/>
          <w:color w:val="auto"/>
        </w:rPr>
      </w:pPr>
      <w:r>
        <w:rPr>
          <w:rFonts w:ascii="Times New Roman" w:cs="Times New Roman" w:eastAsia="Times New Roman" w:hAnsi="Times New Roman"/>
          <w:sz w:val="18"/>
          <w:szCs w:val="18"/>
          <w:color w:val="auto"/>
        </w:rPr>
        <w:t>This report is governed by the Terms and Conditions on the GM Investor Information website: http://www.gm.com/corporate/investor_information/terms.jsp</w:t>
      </w:r>
    </w:p>
    <w:p>
      <w:pPr>
        <w:spacing w:after="0" w:line="32" w:lineRule="exact"/>
        <w:rPr>
          <w:sz w:val="20"/>
          <w:szCs w:val="20"/>
          <w:color w:val="auto"/>
        </w:rPr>
      </w:pPr>
    </w:p>
    <w:p>
      <w:pPr>
        <w:ind w:left="220" w:right="500" w:hanging="212"/>
        <w:spacing w:after="0" w:line="208" w:lineRule="auto"/>
        <w:tabs>
          <w:tab w:leader="none" w:pos="2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GMNA includes joint venture production - HUMMER and CAMI units included in GMNA Truck and production historically classified as joint venture production - NUMMI units included in GMNA car</w:t>
      </w:r>
    </w:p>
    <w:p>
      <w:pPr>
        <w:spacing w:after="0" w:line="34" w:lineRule="exact"/>
        <w:rPr>
          <w:sz w:val="20"/>
          <w:szCs w:val="20"/>
          <w:color w:val="auto"/>
        </w:rPr>
      </w:pPr>
    </w:p>
    <w:p>
      <w:pPr>
        <w:jc w:val="both"/>
        <w:ind w:left="220" w:right="20" w:hanging="212"/>
        <w:spacing w:after="0" w:line="237" w:lineRule="auto"/>
        <w:tabs>
          <w:tab w:leader="none" w:pos="2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GMIO includes GM-AvtoVAZ, SAIC-GM-Wuling and GM Daewoo Auto Technologies (GMDAT) joint venture production beginning in Q1 2004 (Starting in Q3 2005, GMIO joint venture production does not include GMDAT); and GM Egypt, Shanghai GM Norsom Motors (formerly Jinbei GM) and Shanghai GM joint ventures.</w:t>
      </w:r>
    </w:p>
    <w:p>
      <w:pPr>
        <w:spacing w:after="0" w:line="1" w:lineRule="exact"/>
        <w:rPr>
          <w:rFonts w:ascii="Times New Roman" w:cs="Times New Roman" w:eastAsia="Times New Roman" w:hAnsi="Times New Roman"/>
          <w:sz w:val="22"/>
          <w:szCs w:val="22"/>
          <w:color w:val="auto"/>
          <w:vertAlign w:val="superscript"/>
        </w:rPr>
      </w:pPr>
    </w:p>
    <w:p>
      <w:pPr>
        <w:ind w:left="2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GMIO excludes SAAB production in Q1 2010 estimate</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2019-12-15T16:58:15Z</dcterms:created>
  <dcterms:modified xsi:type="dcterms:W3CDTF">2019-12-15T16:58:15Z</dcterms:modified>
</cp:coreProperties>
</file>