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20549-1004</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06" w:lineRule="exact"/>
        <w:rPr>
          <w:sz w:val="24"/>
          <w:szCs w:val="24"/>
          <w:color w:val="auto"/>
        </w:rPr>
      </w:pPr>
    </w:p>
    <w:p>
      <w:pPr>
        <w:ind w:left="460" w:right="2040" w:hanging="452"/>
        <w:spacing w:after="0" w:line="438" w:lineRule="auto"/>
        <w:tabs>
          <w:tab w:leader="none" w:pos="45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365" w:lineRule="exact"/>
        <w:rPr>
          <w:sz w:val="24"/>
          <w:szCs w:val="24"/>
          <w:color w:val="auto"/>
        </w:rPr>
      </w:pPr>
    </w:p>
    <w:p>
      <w:pPr>
        <w:ind w:left="460"/>
        <w:spacing w:after="0"/>
        <w:tabs>
          <w:tab w:leader="none" w:pos="3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001-34960</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GENERAL MOTORS COMPANY</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420"/>
          </w:cols>
          <w:pgMar w:left="240" w:top="230" w:right="239" w:bottom="1440" w:gutter="0" w:footer="0" w:header="0"/>
        </w:sectPr>
      </w:pPr>
    </w:p>
    <w:p>
      <w:pPr>
        <w:spacing w:after="0" w:line="192" w:lineRule="exact"/>
        <w:rPr>
          <w:sz w:val="24"/>
          <w:szCs w:val="24"/>
          <w:color w:val="auto"/>
        </w:rPr>
      </w:pPr>
    </w:p>
    <w:p>
      <w:pPr>
        <w:ind w:left="1920"/>
        <w:spacing w:after="0"/>
        <w:rPr>
          <w:sz w:val="20"/>
          <w:szCs w:val="20"/>
          <w:color w:val="auto"/>
        </w:rPr>
      </w:pPr>
      <w:r>
        <w:rPr>
          <w:rFonts w:ascii="Arial" w:cs="Arial" w:eastAsia="Arial" w:hAnsi="Arial"/>
          <w:sz w:val="16"/>
          <w:szCs w:val="16"/>
          <w:b w:val="1"/>
          <w:bCs w:val="1"/>
          <w:color w:val="auto"/>
        </w:rPr>
        <w:t>STATE OF DELAWARE</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27-0756180</w:t>
      </w:r>
    </w:p>
    <w:p>
      <w:pPr>
        <w:spacing w:after="0" w:line="55" w:lineRule="exact"/>
        <w:rPr>
          <w:sz w:val="24"/>
          <w:szCs w:val="24"/>
          <w:color w:val="auto"/>
        </w:rPr>
      </w:pPr>
    </w:p>
    <w:p>
      <w:pPr>
        <w:sectPr>
          <w:pgSz w:w="11900" w:h="16838" w:orient="portrait"/>
          <w:cols w:equalWidth="0" w:num="2">
            <w:col w:w="7540" w:space="720"/>
            <w:col w:w="3160"/>
          </w:cols>
          <w:pgMar w:left="240" w:top="230" w:right="239" w:bottom="1440" w:gutter="0" w:footer="0" w:header="0"/>
          <w:type w:val="continuous"/>
        </w:sectPr>
      </w:pPr>
    </w:p>
    <w:p>
      <w:pPr>
        <w:jc w:val="center"/>
        <w:ind w:right="1720"/>
        <w:spacing w:after="0"/>
        <w:rPr>
          <w:sz w:val="20"/>
          <w:szCs w:val="20"/>
          <w:color w:val="auto"/>
        </w:rPr>
      </w:pPr>
      <w:r>
        <w:rPr>
          <w:rFonts w:ascii="Arial" w:cs="Arial" w:eastAsia="Arial" w:hAnsi="Arial"/>
          <w:sz w:val="12"/>
          <w:szCs w:val="12"/>
          <w:i w:val="1"/>
          <w:iCs w:val="1"/>
          <w:color w:val="auto"/>
        </w:rPr>
        <w:t>(State or other jurisdiction of</w:t>
      </w:r>
    </w:p>
    <w:p>
      <w:pPr>
        <w:spacing w:after="0" w:line="14" w:lineRule="exact"/>
        <w:rPr>
          <w:sz w:val="24"/>
          <w:szCs w:val="24"/>
          <w:color w:val="auto"/>
        </w:rPr>
      </w:pPr>
    </w:p>
    <w:p>
      <w:pPr>
        <w:jc w:val="center"/>
        <w:ind w:right="1720"/>
        <w:spacing w:after="0"/>
        <w:rPr>
          <w:sz w:val="20"/>
          <w:szCs w:val="20"/>
          <w:color w:val="auto"/>
        </w:rPr>
      </w:pPr>
      <w:r>
        <w:rPr>
          <w:rFonts w:ascii="Arial" w:cs="Arial" w:eastAsia="Arial" w:hAnsi="Arial"/>
          <w:sz w:val="12"/>
          <w:szCs w:val="12"/>
          <w:i w:val="1"/>
          <w:i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240"/>
        <w:spacing w:after="0"/>
        <w:rPr>
          <w:sz w:val="20"/>
          <w:szCs w:val="20"/>
          <w:color w:val="auto"/>
        </w:rPr>
      </w:pPr>
      <w:r>
        <w:rPr>
          <w:rFonts w:ascii="Arial" w:cs="Arial" w:eastAsia="Arial" w:hAnsi="Arial"/>
          <w:sz w:val="12"/>
          <w:szCs w:val="12"/>
          <w:i w:val="1"/>
          <w:iCs w:val="1"/>
          <w:color w:val="auto"/>
        </w:rPr>
        <w:t>(I.R.S. Employer</w:t>
      </w:r>
    </w:p>
    <w:p>
      <w:pPr>
        <w:spacing w:after="0" w:line="14" w:lineRule="exact"/>
        <w:rPr>
          <w:sz w:val="24"/>
          <w:szCs w:val="24"/>
          <w:color w:val="auto"/>
        </w:rPr>
      </w:pPr>
    </w:p>
    <w:p>
      <w:pPr>
        <w:jc w:val="center"/>
        <w:ind w:right="2240"/>
        <w:spacing w:after="0"/>
        <w:rPr>
          <w:sz w:val="20"/>
          <w:szCs w:val="20"/>
          <w:color w:val="auto"/>
        </w:rPr>
      </w:pPr>
      <w:r>
        <w:rPr>
          <w:rFonts w:ascii="Arial" w:cs="Arial" w:eastAsia="Arial" w:hAnsi="Arial"/>
          <w:sz w:val="12"/>
          <w:szCs w:val="12"/>
          <w:i w:val="1"/>
          <w:iCs w:val="1"/>
          <w:color w:val="auto"/>
        </w:rPr>
        <w:t>Identification No.)</w:t>
      </w:r>
    </w:p>
    <w:p>
      <w:pPr>
        <w:spacing w:after="0" w:line="117" w:lineRule="exact"/>
        <w:rPr>
          <w:sz w:val="24"/>
          <w:szCs w:val="24"/>
          <w:color w:val="auto"/>
        </w:rPr>
      </w:pPr>
    </w:p>
    <w:p>
      <w:pPr>
        <w:sectPr>
          <w:pgSz w:w="11900" w:h="16838" w:orient="portrait"/>
          <w:cols w:equalWidth="0" w:num="2">
            <w:col w:w="7460" w:space="720"/>
            <w:col w:w="3240"/>
          </w:cols>
          <w:pgMar w:left="240" w:top="230" w:right="239" w:bottom="1440" w:gutter="0" w:footer="0" w:header="0"/>
          <w:type w:val="continuous"/>
        </w:sectPr>
      </w:pPr>
    </w:p>
    <w:p>
      <w:pPr>
        <w:ind w:left="1280"/>
        <w:spacing w:after="0"/>
        <w:rPr>
          <w:sz w:val="20"/>
          <w:szCs w:val="20"/>
          <w:color w:val="auto"/>
        </w:rPr>
      </w:pPr>
      <w:r>
        <w:rPr>
          <w:rFonts w:ascii="Arial" w:cs="Arial" w:eastAsia="Arial" w:hAnsi="Arial"/>
          <w:sz w:val="15"/>
          <w:szCs w:val="15"/>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48265-3000</w:t>
      </w:r>
    </w:p>
    <w:p>
      <w:pPr>
        <w:spacing w:after="0" w:line="56" w:lineRule="exact"/>
        <w:rPr>
          <w:sz w:val="24"/>
          <w:szCs w:val="24"/>
          <w:color w:val="auto"/>
        </w:rPr>
      </w:pPr>
    </w:p>
    <w:p>
      <w:pPr>
        <w:sectPr>
          <w:pgSz w:w="11900" w:h="16838" w:orient="portrait"/>
          <w:cols w:equalWidth="0" w:num="2">
            <w:col w:w="7540" w:space="720"/>
            <w:col w:w="3160"/>
          </w:cols>
          <w:pgMar w:left="240" w:top="230" w:right="239" w:bottom="1440" w:gutter="0" w:footer="0" w:header="0"/>
          <w:type w:val="continuous"/>
        </w:sectPr>
      </w:pPr>
    </w:p>
    <w:p>
      <w:pPr>
        <w:ind w:left="1780"/>
        <w:spacing w:after="0"/>
        <w:rPr>
          <w:sz w:val="20"/>
          <w:szCs w:val="20"/>
          <w:color w:val="auto"/>
        </w:rPr>
      </w:pPr>
      <w:r>
        <w:rPr>
          <w:rFonts w:ascii="Arial" w:cs="Arial" w:eastAsia="Arial" w:hAnsi="Arial"/>
          <w:sz w:val="12"/>
          <w:szCs w:val="12"/>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i w:val="1"/>
          <w:iCs w:val="1"/>
          <w:color w:val="auto"/>
        </w:rPr>
        <w:t>(Zip Code)</w:t>
      </w:r>
    </w:p>
    <w:p>
      <w:pPr>
        <w:spacing w:after="0" w:line="160" w:lineRule="exact"/>
        <w:rPr>
          <w:sz w:val="24"/>
          <w:szCs w:val="24"/>
          <w:color w:val="auto"/>
        </w:rPr>
      </w:pPr>
    </w:p>
    <w:p>
      <w:pPr>
        <w:sectPr>
          <w:pgSz w:w="11900" w:h="16838" w:orient="portrait"/>
          <w:cols w:equalWidth="0" w:num="2">
            <w:col w:w="7680" w:space="720"/>
            <w:col w:w="3020"/>
          </w:cols>
          <w:pgMar w:left="240" w:top="230"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(313) 556-5000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Registrant’s telephone number, including area code</w:t>
      </w:r>
    </w:p>
    <w:p>
      <w:pPr>
        <w:sectPr>
          <w:pgSz w:w="11900" w:h="16838" w:orient="portrait"/>
          <w:cols w:equalWidth="0" w:num="1">
            <w:col w:w="11420"/>
          </w:cols>
          <w:pgMar w:left="240" w:top="230" w:right="239" w:bottom="1440" w:gutter="0" w:footer="0" w:header="0"/>
          <w:type w:val="continuous"/>
        </w:sectPr>
      </w:pP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(former name, former address and former fiscal year, if changed since last report)</w:t>
      </w:r>
    </w:p>
    <w:p>
      <w:pPr>
        <w:spacing w:after="0" w:line="165" w:lineRule="exact"/>
        <w:rPr>
          <w:sz w:val="24"/>
          <w:szCs w:val="24"/>
          <w:color w:val="auto"/>
        </w:rPr>
      </w:pPr>
    </w:p>
    <w:p>
      <w:pPr>
        <w:ind w:firstLine="228"/>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20" w:firstLine="228"/>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320" w:firstLine="228"/>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“large accelerated filer,” “accelerated filer” and “smaller reporting company” in Rule 12b-2 of the Exchange Act. (Check one):</w:t>
      </w:r>
    </w:p>
    <w:p>
      <w:pPr>
        <w:spacing w:after="0" w:line="18"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p>
    <w:p>
      <w:pPr>
        <w:spacing w:after="0" w:line="5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Do not check if smaller reporting company</w:t>
      </w:r>
    </w:p>
    <w:p>
      <w:pPr>
        <w:spacing w:after="0" w:line="125" w:lineRule="exact"/>
        <w:rPr>
          <w:sz w:val="24"/>
          <w:szCs w:val="24"/>
          <w:color w:val="auto"/>
        </w:rPr>
      </w:pPr>
    </w:p>
    <w:p>
      <w:pPr>
        <w:ind w:left="2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4" w:lineRule="exact"/>
        <w:rPr>
          <w:sz w:val="24"/>
          <w:szCs w:val="24"/>
          <w:color w:val="auto"/>
        </w:rPr>
      </w:pPr>
    </w:p>
    <w:p>
      <w:pPr>
        <w:ind w:left="240"/>
        <w:spacing w:after="0"/>
        <w:rPr>
          <w:sz w:val="20"/>
          <w:szCs w:val="20"/>
          <w:color w:val="auto"/>
        </w:rPr>
      </w:pPr>
      <w:r>
        <w:rPr>
          <w:rFonts w:ascii="Arial" w:cs="Arial" w:eastAsia="Arial" w:hAnsi="Arial"/>
          <w:sz w:val="18"/>
          <w:szCs w:val="18"/>
          <w:color w:val="auto"/>
        </w:rPr>
        <w:t>As of July 31, 2011, the number of shares outstanding of common stock was 1,561,766,109 shares.</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Website Access to Company’s Reports</w:t>
      </w:r>
    </w:p>
    <w:p>
      <w:pPr>
        <w:spacing w:after="0" w:line="177" w:lineRule="exact"/>
        <w:rPr>
          <w:sz w:val="24"/>
          <w:szCs w:val="24"/>
          <w:color w:val="auto"/>
        </w:rPr>
      </w:pPr>
    </w:p>
    <w:p>
      <w:pPr>
        <w:ind w:right="300" w:firstLine="228"/>
        <w:spacing w:after="0" w:line="306" w:lineRule="auto"/>
        <w:rPr>
          <w:sz w:val="20"/>
          <w:szCs w:val="20"/>
          <w:color w:val="auto"/>
        </w:rPr>
      </w:pPr>
      <w:r>
        <w:rPr>
          <w:rFonts w:ascii="Arial" w:cs="Arial" w:eastAsia="Arial" w:hAnsi="Arial"/>
          <w:sz w:val="16"/>
          <w:szCs w:val="16"/>
          <w:color w:val="auto"/>
        </w:rPr>
        <w:t>General Motors Company’s internet website address is www.gm.com. Our annual report on Form 10-K, quarterly reports on Form 10-Q, current reports on Form 8-K and amendments to those reports filed or furnished pursuant to section 13(a) or 15(d) of the Exchange Act are available free of charge through our website as soon as reasonably practicable after they are electronically filed with, or furnished to, the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20" w:type="dxa"/>
            <w:vAlign w:val="bottom"/>
            <w:gridSpan w:val="9"/>
            <w:vMerge w:val="restart"/>
          </w:tcPr>
          <w:p>
            <w:pPr>
              <w:jc w:val="center"/>
              <w:ind w:right="3260"/>
              <w:spacing w:after="0"/>
              <w:rPr>
                <w:rFonts w:ascii="Arial" w:cs="Arial" w:eastAsia="Arial" w:hAnsi="Arial"/>
                <w:sz w:val="18"/>
                <w:szCs w:val="18"/>
                <w:b w:val="1"/>
                <w:bCs w:val="1"/>
                <w:color w:val="0000EE"/>
                <w:w w:val="92"/>
              </w:rPr>
            </w:pPr>
            <w:hyperlink w:anchor="page3">
              <w:r>
                <w:rPr>
                  <w:rFonts w:ascii="Arial" w:cs="Arial" w:eastAsia="Arial" w:hAnsi="Arial"/>
                  <w:sz w:val="18"/>
                  <w:szCs w:val="18"/>
                  <w:b w:val="1"/>
                  <w:bCs w:val="1"/>
                  <w:color w:val="0000EE"/>
                  <w:w w:val="92"/>
                </w:rPr>
                <w:t>Part I — Financial Information</w:t>
              </w:r>
            </w:hyperlink>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Page No.</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20" w:type="dxa"/>
            <w:vAlign w:val="bottom"/>
            <w:gridSpan w:val="9"/>
            <w:vMerge w:val="continue"/>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3260" w:type="dxa"/>
            <w:vAlign w:val="bottom"/>
            <w:tcBorders>
              <w:bottom w:val="single" w:sz="8" w:color="0000EE"/>
            </w:tcBorders>
            <w:gridSpan w:val="20"/>
          </w:tcPr>
          <w:p>
            <w:pPr>
              <w:spacing w:after="0" w:line="196" w:lineRule="exact"/>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Financial Statements</w:t>
              </w:r>
            </w:hyperlink>
          </w:p>
        </w:tc>
        <w:tc>
          <w:tcPr>
            <w:tcW w:w="900" w:type="dxa"/>
            <w:vAlign w:val="bottom"/>
            <w:gridSpan w:val="9"/>
          </w:tcPr>
          <w:p>
            <w:pPr>
              <w:spacing w:after="0"/>
              <w:rPr>
                <w:sz w:val="17"/>
                <w:szCs w:val="17"/>
                <w:color w:val="auto"/>
              </w:rPr>
            </w:pPr>
          </w:p>
        </w:tc>
        <w:tc>
          <w:tcPr>
            <w:tcW w:w="2360" w:type="dxa"/>
            <w:vAlign w:val="bottom"/>
            <w:tcBorders>
              <w:top w:val="single" w:sz="8" w:color="0000EE"/>
            </w:tcBorders>
            <w:gridSpan w:val="8"/>
          </w:tcPr>
          <w:p>
            <w:pPr>
              <w:spacing w:after="0"/>
              <w:rPr>
                <w:sz w:val="17"/>
                <w:szCs w:val="17"/>
                <w:color w:val="auto"/>
              </w:rPr>
            </w:pPr>
          </w:p>
        </w:tc>
        <w:tc>
          <w:tcPr>
            <w:tcW w:w="326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9780" w:type="dxa"/>
            <w:vAlign w:val="bottom"/>
            <w:gridSpan w:val="38"/>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Income Statements (Unaudited)</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020" w:type="dxa"/>
            <w:vAlign w:val="bottom"/>
            <w:tcBorders>
              <w:top w:val="single" w:sz="8" w:color="0000EE"/>
            </w:tcBorders>
            <w:gridSpan w:val="27"/>
          </w:tcPr>
          <w:p>
            <w:pPr>
              <w:spacing w:after="0" w:line="196"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Condensed Consolidated Balance Sheets (Unaudited)</w:t>
              </w:r>
            </w:hyperlink>
          </w:p>
        </w:tc>
        <w:tc>
          <w:tcPr>
            <w:tcW w:w="5760" w:type="dxa"/>
            <w:vAlign w:val="bottom"/>
            <w:gridSpan w:val="11"/>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160" w:type="dxa"/>
            <w:vAlign w:val="bottom"/>
            <w:tcBorders>
              <w:bottom w:val="single" w:sz="8" w:color="0000EE"/>
            </w:tcBorders>
            <w:gridSpan w:val="29"/>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Condensed Consolidated Statements of Equity (Unaudited)</w:t>
              </w:r>
            </w:hyperlink>
          </w:p>
        </w:tc>
        <w:tc>
          <w:tcPr>
            <w:tcW w:w="5620" w:type="dxa"/>
            <w:vAlign w:val="bottom"/>
            <w:gridSpan w:val="9"/>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9780" w:type="dxa"/>
            <w:vAlign w:val="bottom"/>
            <w:gridSpan w:val="3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(Unaudited)</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50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5280" w:type="dxa"/>
            <w:vAlign w:val="bottom"/>
            <w:gridSpan w:val="7"/>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0" w:type="dxa"/>
            <w:vAlign w:val="bottom"/>
            <w:tcBorders>
              <w:top w:val="single" w:sz="8" w:color="0000EE"/>
            </w:tcBorders>
            <w:gridSpan w:val="4"/>
          </w:tcPr>
          <w:p>
            <w:pPr>
              <w:ind w:left="220"/>
              <w:spacing w:after="0" w:line="196" w:lineRule="exact"/>
              <w:rPr>
                <w:sz w:val="20"/>
                <w:szCs w:val="20"/>
                <w:color w:val="auto"/>
              </w:rPr>
            </w:pPr>
            <w:r>
              <w:rPr>
                <w:rFonts w:ascii="Arial" w:cs="Arial" w:eastAsia="Arial" w:hAnsi="Arial"/>
                <w:sz w:val="18"/>
                <w:szCs w:val="18"/>
                <w:color w:val="auto"/>
              </w:rPr>
              <w:t>Note 1.</w:t>
            </w:r>
          </w:p>
        </w:tc>
        <w:tc>
          <w:tcPr>
            <w:tcW w:w="288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Nature of Operations</w:t>
              </w:r>
            </w:hyperlink>
          </w:p>
        </w:tc>
        <w:tc>
          <w:tcPr>
            <w:tcW w:w="5900" w:type="dxa"/>
            <w:vAlign w:val="bottom"/>
            <w:gridSpan w:val="12"/>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00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2.</w:t>
            </w:r>
          </w:p>
        </w:tc>
        <w:tc>
          <w:tcPr>
            <w:tcW w:w="3920" w:type="dxa"/>
            <w:vAlign w:val="bottom"/>
            <w:tcBorders>
              <w:bottom w:val="single" w:sz="8" w:color="0000EE"/>
            </w:tcBorders>
            <w:gridSpan w:val="29"/>
          </w:tcPr>
          <w:p>
            <w:pPr>
              <w:spacing w:after="0" w:line="196" w:lineRule="exact"/>
              <w:rPr>
                <w:rFonts w:ascii="Arial" w:cs="Arial" w:eastAsia="Arial" w:hAnsi="Arial"/>
                <w:sz w:val="18"/>
                <w:szCs w:val="18"/>
                <w:color w:val="0000EE"/>
                <w:w w:val="86"/>
              </w:rPr>
            </w:pPr>
            <w:hyperlink w:anchor="page7">
              <w:r>
                <w:rPr>
                  <w:rFonts w:ascii="Arial" w:cs="Arial" w:eastAsia="Arial" w:hAnsi="Arial"/>
                  <w:sz w:val="18"/>
                  <w:szCs w:val="18"/>
                  <w:color w:val="0000EE"/>
                  <w:w w:val="86"/>
                </w:rPr>
                <w:t>Basis of Presentation and Recent Accounting Standards</w:t>
              </w:r>
            </w:hyperlink>
          </w:p>
        </w:tc>
        <w:tc>
          <w:tcPr>
            <w:tcW w:w="4860" w:type="dxa"/>
            <w:vAlign w:val="bottom"/>
            <w:gridSpan w:val="5"/>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3.</w:t>
            </w:r>
          </w:p>
        </w:tc>
        <w:tc>
          <w:tcPr>
            <w:tcW w:w="286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w:anchor="page10">
              <w:r>
                <w:rPr>
                  <w:rFonts w:ascii="Arial" w:cs="Arial" w:eastAsia="Arial" w:hAnsi="Arial"/>
                  <w:sz w:val="18"/>
                  <w:szCs w:val="18"/>
                  <w:color w:val="0000EE"/>
                  <w:w w:val="88"/>
                </w:rPr>
                <w:t>Acquisition and Disposals of Businesses</w:t>
              </w:r>
            </w:hyperlink>
          </w:p>
        </w:tc>
        <w:tc>
          <w:tcPr>
            <w:tcW w:w="5920" w:type="dxa"/>
            <w:vAlign w:val="bottom"/>
            <w:gridSpan w:val="13"/>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4.</w:t>
            </w:r>
          </w:p>
        </w:tc>
        <w:tc>
          <w:tcPr>
            <w:tcW w:w="8780" w:type="dxa"/>
            <w:vAlign w:val="bottom"/>
            <w:gridSpan w:val="34"/>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Marketable Securities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00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5.</w:t>
            </w:r>
          </w:p>
        </w:tc>
        <w:tc>
          <w:tcPr>
            <w:tcW w:w="1760" w:type="dxa"/>
            <w:vAlign w:val="bottom"/>
            <w:tcBorders>
              <w:bottom w:val="single" w:sz="8" w:color="0000EE"/>
            </w:tcBorders>
            <w:gridSpan w:val="12"/>
          </w:tcPr>
          <w:p>
            <w:pPr>
              <w:spacing w:after="0" w:line="196" w:lineRule="exact"/>
              <w:rPr>
                <w:rFonts w:ascii="Arial" w:cs="Arial" w:eastAsia="Arial" w:hAnsi="Arial"/>
                <w:sz w:val="18"/>
                <w:szCs w:val="18"/>
                <w:color w:val="0000EE"/>
                <w:w w:val="86"/>
              </w:rPr>
            </w:pPr>
            <w:hyperlink w:anchor="page12">
              <w:r>
                <w:rPr>
                  <w:rFonts w:ascii="Arial" w:cs="Arial" w:eastAsia="Arial" w:hAnsi="Arial"/>
                  <w:sz w:val="18"/>
                  <w:szCs w:val="18"/>
                  <w:color w:val="0000EE"/>
                  <w:w w:val="86"/>
                </w:rPr>
                <w:t>Finance Receivables, net</w:t>
              </w:r>
            </w:hyperlink>
          </w:p>
        </w:tc>
        <w:tc>
          <w:tcPr>
            <w:tcW w:w="7020" w:type="dxa"/>
            <w:vAlign w:val="bottom"/>
            <w:gridSpan w:val="22"/>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6.</w:t>
            </w:r>
          </w:p>
        </w:tc>
        <w:tc>
          <w:tcPr>
            <w:tcW w:w="106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14">
              <w:r>
                <w:rPr>
                  <w:rFonts w:ascii="Arial" w:cs="Arial" w:eastAsia="Arial" w:hAnsi="Arial"/>
                  <w:sz w:val="18"/>
                  <w:szCs w:val="18"/>
                  <w:color w:val="0000EE"/>
                  <w:w w:val="88"/>
                </w:rPr>
                <w:t>Securitizations</w:t>
              </w:r>
            </w:hyperlink>
          </w:p>
        </w:tc>
        <w:tc>
          <w:tcPr>
            <w:tcW w:w="7720" w:type="dxa"/>
            <w:vAlign w:val="bottom"/>
            <w:gridSpan w:val="27"/>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7.</w:t>
            </w:r>
          </w:p>
        </w:tc>
        <w:tc>
          <w:tcPr>
            <w:tcW w:w="80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15">
              <w:r>
                <w:rPr>
                  <w:rFonts w:ascii="Arial" w:cs="Arial" w:eastAsia="Arial" w:hAnsi="Arial"/>
                  <w:sz w:val="18"/>
                  <w:szCs w:val="18"/>
                  <w:color w:val="0000EE"/>
                  <w:w w:val="88"/>
                </w:rPr>
                <w:t>Inventories</w:t>
              </w:r>
            </w:hyperlink>
          </w:p>
        </w:tc>
        <w:tc>
          <w:tcPr>
            <w:tcW w:w="7980" w:type="dxa"/>
            <w:vAlign w:val="bottom"/>
            <w:gridSpan w:val="30"/>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8.</w:t>
            </w:r>
          </w:p>
        </w:tc>
        <w:tc>
          <w:tcPr>
            <w:tcW w:w="8780" w:type="dxa"/>
            <w:vAlign w:val="bottom"/>
            <w:gridSpan w:val="34"/>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Equity in Net Assets of Nonconsolidated Affiliates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9.</w:t>
            </w:r>
          </w:p>
        </w:tc>
        <w:tc>
          <w:tcPr>
            <w:tcW w:w="6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5"/>
              </w:rPr>
            </w:pPr>
            <w:hyperlink w:anchor="page18">
              <w:r>
                <w:rPr>
                  <w:rFonts w:ascii="Arial" w:cs="Arial" w:eastAsia="Arial" w:hAnsi="Arial"/>
                  <w:sz w:val="18"/>
                  <w:szCs w:val="18"/>
                  <w:color w:val="0000EE"/>
                  <w:w w:val="95"/>
                </w:rPr>
                <w:t>Goodwill</w:t>
              </w:r>
            </w:hyperlink>
          </w:p>
        </w:tc>
        <w:tc>
          <w:tcPr>
            <w:tcW w:w="2900" w:type="dxa"/>
            <w:vAlign w:val="bottom"/>
            <w:tcBorders>
              <w:top w:val="single" w:sz="8" w:color="0000EE"/>
            </w:tcBorders>
            <w:gridSpan w:val="26"/>
          </w:tcPr>
          <w:p>
            <w:pPr>
              <w:spacing w:after="0"/>
              <w:rPr>
                <w:sz w:val="17"/>
                <w:szCs w:val="17"/>
                <w:color w:val="auto"/>
              </w:rPr>
            </w:pPr>
          </w:p>
        </w:tc>
        <w:tc>
          <w:tcPr>
            <w:tcW w:w="5200" w:type="dxa"/>
            <w:vAlign w:val="bottom"/>
            <w:gridSpan w:val="6"/>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10.</w:t>
            </w:r>
          </w:p>
        </w:tc>
        <w:tc>
          <w:tcPr>
            <w:tcW w:w="8780" w:type="dxa"/>
            <w:vAlign w:val="bottom"/>
            <w:gridSpan w:val="34"/>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Intangible Assets, net</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00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11.</w:t>
            </w:r>
          </w:p>
        </w:tc>
        <w:tc>
          <w:tcPr>
            <w:tcW w:w="8780" w:type="dxa"/>
            <w:vAlign w:val="bottom"/>
            <w:gridSpan w:val="34"/>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Variable Interest Entities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00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12.</w:t>
            </w:r>
          </w:p>
        </w:tc>
        <w:tc>
          <w:tcPr>
            <w:tcW w:w="220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Depreciation and Amortization</w:t>
              </w:r>
            </w:hyperlink>
          </w:p>
        </w:tc>
        <w:tc>
          <w:tcPr>
            <w:tcW w:w="6580" w:type="dxa"/>
            <w:vAlign w:val="bottom"/>
            <w:gridSpan w:val="19"/>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13.</w:t>
            </w:r>
          </w:p>
        </w:tc>
        <w:tc>
          <w:tcPr>
            <w:tcW w:w="8780" w:type="dxa"/>
            <w:vAlign w:val="bottom"/>
            <w:gridSpan w:val="34"/>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Debt</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00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14.</w:t>
            </w:r>
          </w:p>
        </w:tc>
        <w:tc>
          <w:tcPr>
            <w:tcW w:w="190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w:anchor="page25">
              <w:r>
                <w:rPr>
                  <w:rFonts w:ascii="Arial" w:cs="Arial" w:eastAsia="Arial" w:hAnsi="Arial"/>
                  <w:sz w:val="18"/>
                  <w:szCs w:val="18"/>
                  <w:color w:val="0000EE"/>
                  <w:w w:val="91"/>
                </w:rPr>
                <w:t>Product Warranty Liability</w:t>
              </w:r>
            </w:hyperlink>
          </w:p>
        </w:tc>
        <w:tc>
          <w:tcPr>
            <w:tcW w:w="6880" w:type="dxa"/>
            <w:vAlign w:val="bottom"/>
            <w:gridSpan w:val="20"/>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15.</w:t>
            </w:r>
          </w:p>
        </w:tc>
        <w:tc>
          <w:tcPr>
            <w:tcW w:w="8780" w:type="dxa"/>
            <w:vAlign w:val="bottom"/>
            <w:gridSpan w:val="34"/>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Pensions and Other Postretirement Benefits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gridSpan w:val="3"/>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00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16.</w:t>
            </w:r>
          </w:p>
        </w:tc>
        <w:tc>
          <w:tcPr>
            <w:tcW w:w="8780" w:type="dxa"/>
            <w:vAlign w:val="bottom"/>
            <w:gridSpan w:val="34"/>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Derivative Financial Instruments and Risk Management</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17.</w:t>
            </w:r>
          </w:p>
        </w:tc>
        <w:tc>
          <w:tcPr>
            <w:tcW w:w="394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Commitments and Contingencies</w:t>
              </w:r>
            </w:hyperlink>
          </w:p>
        </w:tc>
        <w:tc>
          <w:tcPr>
            <w:tcW w:w="4840" w:type="dxa"/>
            <w:vAlign w:val="bottom"/>
            <w:gridSpan w:val="4"/>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18.</w:t>
            </w:r>
          </w:p>
        </w:tc>
        <w:tc>
          <w:tcPr>
            <w:tcW w:w="234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Income Taxes</w:t>
              </w:r>
            </w:hyperlink>
          </w:p>
        </w:tc>
        <w:tc>
          <w:tcPr>
            <w:tcW w:w="6440" w:type="dxa"/>
            <w:vAlign w:val="bottom"/>
            <w:gridSpan w:val="16"/>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00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19.</w:t>
            </w:r>
          </w:p>
        </w:tc>
        <w:tc>
          <w:tcPr>
            <w:tcW w:w="8780" w:type="dxa"/>
            <w:vAlign w:val="bottom"/>
            <w:gridSpan w:val="34"/>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Fair Value Measurements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gridSpan w:val="3"/>
            <w:shd w:val="clear" w:color="auto" w:fill="0000EE"/>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00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20.</w:t>
            </w:r>
          </w:p>
        </w:tc>
        <w:tc>
          <w:tcPr>
            <w:tcW w:w="8780" w:type="dxa"/>
            <w:vAlign w:val="bottom"/>
            <w:gridSpan w:val="34"/>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Restructuring and Other Initiatives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21.</w:t>
            </w:r>
          </w:p>
        </w:tc>
        <w:tc>
          <w:tcPr>
            <w:tcW w:w="9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8"/>
              </w:rPr>
            </w:pPr>
            <w:hyperlink w:anchor="page47">
              <w:r>
                <w:rPr>
                  <w:rFonts w:ascii="Arial" w:cs="Arial" w:eastAsia="Arial" w:hAnsi="Arial"/>
                  <w:sz w:val="18"/>
                  <w:szCs w:val="18"/>
                  <w:color w:val="0000EE"/>
                  <w:w w:val="88"/>
                </w:rPr>
                <w:t>Impairments</w:t>
              </w:r>
            </w:hyperlink>
          </w:p>
        </w:tc>
        <w:tc>
          <w:tcPr>
            <w:tcW w:w="1540" w:type="dxa"/>
            <w:vAlign w:val="bottom"/>
            <w:tcBorders>
              <w:top w:val="single" w:sz="8" w:color="0000EE"/>
            </w:tcBorders>
            <w:gridSpan w:val="14"/>
          </w:tcPr>
          <w:p>
            <w:pPr>
              <w:spacing w:after="0"/>
              <w:rPr>
                <w:sz w:val="17"/>
                <w:szCs w:val="17"/>
                <w:color w:val="auto"/>
              </w:rPr>
            </w:pPr>
          </w:p>
        </w:tc>
        <w:tc>
          <w:tcPr>
            <w:tcW w:w="6340" w:type="dxa"/>
            <w:vAlign w:val="bottom"/>
            <w:gridSpan w:val="15"/>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22.</w:t>
            </w:r>
          </w:p>
        </w:tc>
        <w:tc>
          <w:tcPr>
            <w:tcW w:w="1360" w:type="dxa"/>
            <w:vAlign w:val="bottom"/>
            <w:tcBorders>
              <w:bottom w:val="single" w:sz="8" w:color="0000EE"/>
            </w:tcBorders>
            <w:gridSpan w:val="8"/>
          </w:tcPr>
          <w:p>
            <w:pPr>
              <w:spacing w:after="0" w:line="196" w:lineRule="exact"/>
              <w:rPr>
                <w:rFonts w:ascii="Arial" w:cs="Arial" w:eastAsia="Arial" w:hAnsi="Arial"/>
                <w:sz w:val="18"/>
                <w:szCs w:val="18"/>
                <w:color w:val="0000EE"/>
                <w:w w:val="85"/>
              </w:rPr>
            </w:pPr>
            <w:hyperlink w:anchor="page48">
              <w:r>
                <w:rPr>
                  <w:rFonts w:ascii="Arial" w:cs="Arial" w:eastAsia="Arial" w:hAnsi="Arial"/>
                  <w:sz w:val="18"/>
                  <w:szCs w:val="18"/>
                  <w:color w:val="0000EE"/>
                  <w:w w:val="85"/>
                </w:rPr>
                <w:t>Earnings Per Share</w:t>
              </w:r>
            </w:hyperlink>
          </w:p>
        </w:tc>
        <w:tc>
          <w:tcPr>
            <w:tcW w:w="7420" w:type="dxa"/>
            <w:vAlign w:val="bottom"/>
            <w:gridSpan w:val="26"/>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23.</w:t>
            </w:r>
          </w:p>
        </w:tc>
        <w:tc>
          <w:tcPr>
            <w:tcW w:w="8780" w:type="dxa"/>
            <w:vAlign w:val="bottom"/>
            <w:gridSpan w:val="34"/>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Stock Incentive Plans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940" w:type="dxa"/>
            <w:vAlign w:val="bottom"/>
            <w:gridSpan w:val="9"/>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00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24.</w:t>
            </w:r>
          </w:p>
        </w:tc>
        <w:tc>
          <w:tcPr>
            <w:tcW w:w="8780" w:type="dxa"/>
            <w:vAlign w:val="bottom"/>
            <w:gridSpan w:val="34"/>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Transactions with Ally Financial</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Note 25.</w:t>
            </w:r>
          </w:p>
        </w:tc>
        <w:tc>
          <w:tcPr>
            <w:tcW w:w="23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Segment Reporting</w:t>
              </w:r>
            </w:hyperlink>
          </w:p>
        </w:tc>
        <w:tc>
          <w:tcPr>
            <w:tcW w:w="6480" w:type="dxa"/>
            <w:vAlign w:val="bottom"/>
            <w:gridSpan w:val="17"/>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1880" w:type="dxa"/>
            <w:vAlign w:val="bottom"/>
            <w:gridSpan w:val="18"/>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35"/>
          </w:tcPr>
          <w:p>
            <w:pPr>
              <w:spacing w:after="0" w:line="196" w:lineRule="exact"/>
              <w:rPr>
                <w:rFonts w:ascii="Arial" w:cs="Arial" w:eastAsia="Arial" w:hAnsi="Arial"/>
                <w:sz w:val="18"/>
                <w:szCs w:val="18"/>
                <w:color w:val="0000EE"/>
                <w:w w:val="88"/>
              </w:rPr>
            </w:pPr>
            <w:hyperlink w:anchor="page59">
              <w:r>
                <w:rPr>
                  <w:rFonts w:ascii="Arial" w:cs="Arial" w:eastAsia="Arial" w:hAnsi="Arial"/>
                  <w:sz w:val="18"/>
                  <w:szCs w:val="18"/>
                  <w:color w:val="0000EE"/>
                  <w:w w:val="88"/>
                </w:rPr>
                <w:t>Management’s Discussion and Analysis of Financial Condition and Results of Operations</w:t>
              </w:r>
            </w:hyperlink>
          </w:p>
        </w:tc>
        <w:tc>
          <w:tcPr>
            <w:tcW w:w="3480" w:type="dxa"/>
            <w:vAlign w:val="bottom"/>
            <w:gridSpan w:val="3"/>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9780" w:type="dxa"/>
            <w:vAlign w:val="bottom"/>
            <w:gridSpan w:val="38"/>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Quantitative and Qualitative Disclosures About Market Risk</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424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Controls and Procedures</w:t>
              </w:r>
            </w:hyperlink>
          </w:p>
        </w:tc>
        <w:tc>
          <w:tcPr>
            <w:tcW w:w="5540" w:type="dxa"/>
            <w:vAlign w:val="bottom"/>
            <w:gridSpan w:val="8"/>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0" w:type="dxa"/>
            <w:vAlign w:val="bottom"/>
            <w:tcBorders>
              <w:bottom w:val="single" w:sz="8" w:color="0000EE"/>
            </w:tcBorders>
            <w:gridSpan w:val="6"/>
          </w:tcPr>
          <w:p>
            <w:pPr>
              <w:jc w:val="center"/>
              <w:spacing w:after="0" w:line="196" w:lineRule="exact"/>
              <w:rPr>
                <w:rFonts w:ascii="Arial" w:cs="Arial" w:eastAsia="Arial" w:hAnsi="Arial"/>
                <w:sz w:val="18"/>
                <w:szCs w:val="18"/>
                <w:b w:val="1"/>
                <w:bCs w:val="1"/>
                <w:color w:val="0000EE"/>
                <w:w w:val="95"/>
              </w:rPr>
            </w:pPr>
            <w:hyperlink w:anchor="page99">
              <w:r>
                <w:rPr>
                  <w:rFonts w:ascii="Arial" w:cs="Arial" w:eastAsia="Arial" w:hAnsi="Arial"/>
                  <w:sz w:val="18"/>
                  <w:szCs w:val="18"/>
                  <w:b w:val="1"/>
                  <w:bCs w:val="1"/>
                  <w:color w:val="0000EE"/>
                  <w:w w:val="95"/>
                </w:rPr>
                <w:t>Part II — Other Information</w:t>
              </w:r>
            </w:hyperlink>
          </w:p>
        </w:tc>
        <w:tc>
          <w:tcPr>
            <w:tcW w:w="3340" w:type="dxa"/>
            <w:vAlign w:val="bottom"/>
            <w:gridSpan w:val="2"/>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9780" w:type="dxa"/>
            <w:vAlign w:val="bottom"/>
            <w:gridSpan w:val="38"/>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Legal Proceedings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8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5"/>
              </w:rPr>
            </w:pPr>
            <w:hyperlink w:anchor="page100">
              <w:r>
                <w:rPr>
                  <w:rFonts w:ascii="Arial" w:cs="Arial" w:eastAsia="Arial" w:hAnsi="Arial"/>
                  <w:sz w:val="18"/>
                  <w:szCs w:val="18"/>
                  <w:color w:val="0000EE"/>
                  <w:w w:val="85"/>
                </w:rPr>
                <w:t>Risk Factors</w:t>
              </w:r>
            </w:hyperlink>
          </w:p>
        </w:tc>
        <w:tc>
          <w:tcPr>
            <w:tcW w:w="1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58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103">
              <w:r>
                <w:rPr>
                  <w:rFonts w:ascii="Arial" w:cs="Arial" w:eastAsia="Arial" w:hAnsi="Arial"/>
                  <w:sz w:val="18"/>
                  <w:szCs w:val="18"/>
                  <w:color w:val="0000EE"/>
                  <w:w w:val="88"/>
                </w:rPr>
                <w:t>Exhibits</w:t>
              </w:r>
            </w:hyperlink>
          </w:p>
        </w:tc>
        <w:tc>
          <w:tcPr>
            <w:tcW w:w="420" w:type="dxa"/>
            <w:vAlign w:val="bottom"/>
            <w:gridSpan w:val="3"/>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0" w:type="dxa"/>
            <w:vAlign w:val="bottom"/>
            <w:gridSpan w:val="4"/>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Signature</w:t>
              </w:r>
            </w:hyperlink>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171"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CONDENSED CONSOLIDATED INCOME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w w:val="89"/>
              </w:rPr>
              <w:t>Three Months</w:t>
            </w:r>
          </w:p>
        </w:tc>
        <w:tc>
          <w:tcPr>
            <w:tcW w:w="100" w:type="dxa"/>
            <w:vAlign w:val="bottom"/>
          </w:tcPr>
          <w:p>
            <w:pPr>
              <w:spacing w:after="0"/>
              <w:rPr>
                <w:sz w:val="14"/>
                <w:szCs w:val="14"/>
                <w:color w:val="auto"/>
              </w:rPr>
            </w:pPr>
          </w:p>
        </w:tc>
        <w:tc>
          <w:tcPr>
            <w:tcW w:w="15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8"/>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4"/>
          </w:tcPr>
          <w:p>
            <w:pPr>
              <w:jc w:val="center"/>
              <w:ind w:left="315"/>
              <w:spacing w:after="0" w:line="149" w:lineRule="exact"/>
              <w:rPr>
                <w:sz w:val="20"/>
                <w:szCs w:val="20"/>
                <w:color w:val="auto"/>
              </w:rPr>
            </w:pPr>
            <w:r>
              <w:rPr>
                <w:rFonts w:ascii="Arial" w:cs="Arial" w:eastAsia="Arial" w:hAnsi="Arial"/>
                <w:sz w:val="14"/>
                <w:szCs w:val="14"/>
                <w:b w:val="1"/>
                <w:bCs w:val="1"/>
                <w:color w:val="auto"/>
                <w:w w:val="84"/>
              </w:rPr>
              <w:t>Ended</w:t>
            </w: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center"/>
              <w:ind w:left="315"/>
              <w:spacing w:after="0" w:line="149" w:lineRule="exact"/>
              <w:rPr>
                <w:sz w:val="20"/>
                <w:szCs w:val="20"/>
                <w:color w:val="auto"/>
              </w:rPr>
            </w:pPr>
            <w:r>
              <w:rPr>
                <w:rFonts w:ascii="Arial" w:cs="Arial" w:eastAsia="Arial" w:hAnsi="Arial"/>
                <w:sz w:val="14"/>
                <w:szCs w:val="14"/>
                <w:b w:val="1"/>
                <w:bCs w:val="1"/>
                <w:color w:val="auto"/>
                <w:w w:val="88"/>
              </w:rPr>
              <w:t>Ended</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jc w:val="center"/>
              <w:ind w:left="315"/>
              <w:spacing w:after="0"/>
              <w:rPr>
                <w:sz w:val="20"/>
                <w:szCs w:val="20"/>
                <w:color w:val="auto"/>
              </w:rPr>
            </w:pPr>
            <w:r>
              <w:rPr>
                <w:rFonts w:ascii="Arial" w:cs="Arial" w:eastAsia="Arial" w:hAnsi="Arial"/>
                <w:sz w:val="14"/>
                <w:szCs w:val="14"/>
                <w:b w:val="1"/>
                <w:bCs w:val="1"/>
                <w:color w:val="auto"/>
                <w:w w:val="85"/>
              </w:rPr>
              <w:t>June 30,</w:t>
            </w:r>
          </w:p>
        </w:tc>
        <w:tc>
          <w:tcPr>
            <w:tcW w:w="4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center"/>
              <w:ind w:left="295"/>
              <w:spacing w:after="0"/>
              <w:rPr>
                <w:sz w:val="20"/>
                <w:szCs w:val="20"/>
                <w:color w:val="auto"/>
              </w:rPr>
            </w:pPr>
            <w:r>
              <w:rPr>
                <w:rFonts w:ascii="Arial" w:cs="Arial" w:eastAsia="Arial" w:hAnsi="Arial"/>
                <w:sz w:val="14"/>
                <w:szCs w:val="14"/>
                <w:b w:val="1"/>
                <w:bCs w:val="1"/>
                <w:color w:val="auto"/>
                <w:w w:val="85"/>
              </w:rPr>
              <w:t>June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tcBorders>
              <w:bottom w:val="single" w:sz="8" w:color="CCEEFF"/>
            </w:tcBorders>
          </w:tcPr>
          <w:p>
            <w:pPr>
              <w:spacing w:after="0"/>
              <w:rPr>
                <w:sz w:val="12"/>
                <w:szCs w:val="12"/>
                <w:color w:val="auto"/>
              </w:rPr>
            </w:pPr>
          </w:p>
        </w:tc>
        <w:tc>
          <w:tcPr>
            <w:tcW w:w="18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2010</w:t>
            </w: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2011</w:t>
            </w:r>
          </w:p>
        </w:tc>
        <w:tc>
          <w:tcPr>
            <w:tcW w:w="3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sales and revenue</w:t>
            </w:r>
          </w:p>
        </w:tc>
        <w:tc>
          <w:tcPr>
            <w:tcW w:w="1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200"/>
              <w:spacing w:after="0"/>
              <w:rPr>
                <w:sz w:val="20"/>
                <w:szCs w:val="20"/>
                <w:color w:val="auto"/>
              </w:rPr>
            </w:pPr>
            <w:r>
              <w:rPr>
                <w:rFonts w:ascii="Arial" w:cs="Arial" w:eastAsia="Arial" w:hAnsi="Arial"/>
                <w:sz w:val="18"/>
                <w:szCs w:val="18"/>
                <w:color w:val="auto"/>
              </w:rPr>
              <w:t>Automotive sales and revenue</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39,043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33,174</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74,942</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64,650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GM Financial revenue</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0" w:type="dxa"/>
            <w:vAlign w:val="bottom"/>
          </w:tcPr>
          <w:p>
            <w:pPr>
              <w:ind w:left="200"/>
              <w:spacing w:after="0"/>
              <w:rPr>
                <w:sz w:val="20"/>
                <w:szCs w:val="20"/>
                <w:color w:val="auto"/>
              </w:rPr>
            </w:pPr>
            <w:r>
              <w:rPr>
                <w:rFonts w:ascii="Arial" w:cs="Arial" w:eastAsia="Arial" w:hAnsi="Arial"/>
                <w:sz w:val="18"/>
                <w:szCs w:val="18"/>
                <w:color w:val="auto"/>
              </w:rPr>
              <w:t>Total net sales and revenue</w:t>
            </w:r>
          </w:p>
        </w:tc>
        <w:tc>
          <w:tcPr>
            <w:tcW w:w="18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39,373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33,174</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75,567</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64,650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200"/>
              <w:spacing w:after="0"/>
              <w:rPr>
                <w:sz w:val="20"/>
                <w:szCs w:val="20"/>
                <w:color w:val="auto"/>
              </w:rPr>
            </w:pPr>
            <w:r>
              <w:rPr>
                <w:rFonts w:ascii="Arial" w:cs="Arial" w:eastAsia="Arial" w:hAnsi="Arial"/>
                <w:sz w:val="18"/>
                <w:szCs w:val="18"/>
                <w:color w:val="auto"/>
              </w:rPr>
              <w:t>Automotive cost of sales</w:t>
            </w: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33,793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28,609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65,478</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56,163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GM Financial operating and other expenses</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200"/>
              <w:spacing w:after="0"/>
              <w:rPr>
                <w:sz w:val="20"/>
                <w:szCs w:val="20"/>
                <w:color w:val="auto"/>
              </w:rPr>
            </w:pPr>
            <w:r>
              <w:rPr>
                <w:rFonts w:ascii="Arial" w:cs="Arial" w:eastAsia="Arial" w:hAnsi="Arial"/>
                <w:sz w:val="18"/>
                <w:szCs w:val="18"/>
                <w:color w:val="auto"/>
              </w:rPr>
              <w:t>Automotive selling, general and administrative expense</w:t>
            </w: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2,924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2,623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5,918</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automotive expenses, net</w:t>
            </w:r>
          </w:p>
        </w:tc>
        <w:tc>
          <w:tcPr>
            <w:tcW w:w="18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0" w:type="dxa"/>
            <w:vAlign w:val="bottom"/>
          </w:tcPr>
          <w:p>
            <w:pPr>
              <w:ind w:left="200"/>
              <w:spacing w:after="0"/>
              <w:rPr>
                <w:sz w:val="20"/>
                <w:szCs w:val="20"/>
                <w:color w:val="auto"/>
              </w:rPr>
            </w:pPr>
            <w:r>
              <w:rPr>
                <w:rFonts w:ascii="Arial" w:cs="Arial" w:eastAsia="Arial" w:hAnsi="Arial"/>
                <w:sz w:val="18"/>
                <w:szCs w:val="18"/>
                <w:color w:val="auto"/>
              </w:rPr>
              <w:t>Total costs and expenses</w:t>
            </w:r>
          </w:p>
        </w:tc>
        <w:tc>
          <w:tcPr>
            <w:tcW w:w="1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36,922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31,271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71,772</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61,555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Goodwill impairment charges</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200" w:type="dxa"/>
            <w:vAlign w:val="bottom"/>
          </w:tcPr>
          <w:p>
            <w:pPr>
              <w:ind w:left="420"/>
              <w:spacing w:after="0"/>
              <w:rPr>
                <w:sz w:val="20"/>
                <w:szCs w:val="20"/>
                <w:color w:val="auto"/>
              </w:rPr>
            </w:pPr>
            <w:r>
              <w:rPr>
                <w:rFonts w:ascii="Arial" w:cs="Arial" w:eastAsia="Arial" w:hAnsi="Arial"/>
                <w:sz w:val="18"/>
                <w:szCs w:val="18"/>
                <w:color w:val="auto"/>
              </w:rPr>
              <w:t>Operating income</w:t>
            </w:r>
          </w:p>
        </w:tc>
        <w:tc>
          <w:tcPr>
            <w:tcW w:w="18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1,903</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3,400</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Automotive interest expense</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Interest income and other non-operating income (expense), net</w:t>
            </w: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308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912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1"/>
        </w:trPr>
        <w:tc>
          <w:tcPr>
            <w:tcW w:w="6220" w:type="dxa"/>
            <w:vAlign w:val="bottom"/>
            <w:gridSpan w:val="2"/>
          </w:tcPr>
          <w:p>
            <w:pPr>
              <w:spacing w:after="0"/>
              <w:rPr>
                <w:sz w:val="20"/>
                <w:szCs w:val="20"/>
                <w:color w:val="auto"/>
              </w:rPr>
            </w:pPr>
            <w:r>
              <w:rPr>
                <w:rFonts w:ascii="Arial" w:cs="Arial" w:eastAsia="Arial" w:hAnsi="Arial"/>
                <w:sz w:val="18"/>
                <w:szCs w:val="18"/>
                <w:color w:val="auto"/>
              </w:rPr>
              <w:t>Income before income taxes and equity income</w:t>
            </w:r>
          </w:p>
        </w:tc>
        <w:tc>
          <w:tcPr>
            <w:tcW w:w="18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1,562</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3,998</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Equity income, net of tax and gain on disposal of investments</w:t>
            </w:r>
          </w:p>
        </w:tc>
        <w:tc>
          <w:tcPr>
            <w:tcW w:w="18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2,526</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stockholders</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2,992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2,604</w:t>
            </w: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attributable to common stockholders</w:t>
            </w:r>
          </w:p>
        </w:tc>
        <w:tc>
          <w:tcPr>
            <w:tcW w:w="1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20" w:type="dxa"/>
            <w:vAlign w:val="bottom"/>
            <w:gridSpan w:val="2"/>
            <w:vMerge w:val="continue"/>
          </w:tcPr>
          <w:p>
            <w:pPr>
              <w:spacing w:after="0"/>
              <w:rPr>
                <w:sz w:val="18"/>
                <w:szCs w:val="18"/>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2,524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1,334</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5,387</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2,199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 (Note 22)</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b w:val="1"/>
                <w:bCs w:val="1"/>
                <w:color w:val="auto"/>
              </w:rPr>
              <w:t>Basic</w:t>
            </w: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Weighted-average common shares outstanding</w:t>
            </w: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1,505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1,505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1.54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0.85</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3.27</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6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June 30, 2011</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0"/>
              </w:rPr>
              <w:t>December 31, 2010</w:t>
            </w:r>
          </w:p>
        </w:tc>
      </w:tr>
      <w:tr>
        <w:trPr>
          <w:trHeight w:val="129"/>
        </w:trPr>
        <w:tc>
          <w:tcPr>
            <w:tcW w:w="20" w:type="dxa"/>
            <w:vAlign w:val="bottom"/>
          </w:tcPr>
          <w:p>
            <w:pPr>
              <w:spacing w:after="0"/>
              <w:rPr>
                <w:sz w:val="11"/>
                <w:szCs w:val="11"/>
                <w:color w:val="auto"/>
              </w:rPr>
            </w:pPr>
          </w:p>
        </w:tc>
        <w:tc>
          <w:tcPr>
            <w:tcW w:w="8860" w:type="dxa"/>
            <w:vAlign w:val="bottom"/>
            <w:tcBorders>
              <w:top w:val="single" w:sz="8" w:color="CCEEFF"/>
            </w:tcBorders>
            <w:shd w:val="clear" w:color="auto" w:fill="CCEEFF"/>
          </w:tcPr>
          <w:p>
            <w:pPr>
              <w:ind w:left="3900"/>
              <w:spacing w:after="0" w:line="129" w:lineRule="exact"/>
              <w:rPr>
                <w:sz w:val="20"/>
                <w:szCs w:val="20"/>
                <w:color w:val="auto"/>
              </w:rPr>
            </w:pPr>
            <w:r>
              <w:rPr>
                <w:rFonts w:ascii="Arial" w:cs="Arial" w:eastAsia="Arial" w:hAnsi="Arial"/>
                <w:sz w:val="14"/>
                <w:szCs w:val="14"/>
                <w:b w:val="1"/>
                <w:bCs w:val="1"/>
                <w:color w:val="auto"/>
              </w:rPr>
              <w:t>ASSETS</w:t>
            </w:r>
          </w:p>
        </w:tc>
        <w:tc>
          <w:tcPr>
            <w:tcW w:w="2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8860" w:type="dxa"/>
            <w:vAlign w:val="bottom"/>
          </w:tcPr>
          <w:p>
            <w:pPr>
              <w:spacing w:after="0" w:line="149" w:lineRule="exact"/>
              <w:rPr>
                <w:sz w:val="20"/>
                <w:szCs w:val="20"/>
                <w:color w:val="auto"/>
              </w:rPr>
            </w:pPr>
            <w:r>
              <w:rPr>
                <w:rFonts w:ascii="Arial" w:cs="Arial" w:eastAsia="Arial" w:hAnsi="Arial"/>
                <w:sz w:val="14"/>
                <w:szCs w:val="14"/>
                <w:b w:val="1"/>
                <w:bCs w:val="1"/>
                <w:color w:val="auto"/>
              </w:rPr>
              <w:t>Automotive Current Assets</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Cash and cash equivalents</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20,471</w:t>
            </w: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21,061</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860" w:type="dxa"/>
            <w:vAlign w:val="bottom"/>
          </w:tcPr>
          <w:p>
            <w:pPr>
              <w:ind w:left="200"/>
              <w:spacing w:after="0" w:line="149" w:lineRule="exact"/>
              <w:rPr>
                <w:sz w:val="20"/>
                <w:szCs w:val="20"/>
                <w:color w:val="auto"/>
              </w:rPr>
            </w:pPr>
            <w:r>
              <w:rPr>
                <w:rFonts w:ascii="Arial" w:cs="Arial" w:eastAsia="Arial" w:hAnsi="Arial"/>
                <w:sz w:val="14"/>
                <w:szCs w:val="14"/>
                <w:color w:val="auto"/>
              </w:rPr>
              <w:t>Marketable securities</w:t>
            </w:r>
          </w:p>
        </w:tc>
        <w:tc>
          <w:tcPr>
            <w:tcW w:w="2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12,298</w:t>
            </w: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5,555</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Accounts and notes receivable (net of allowance of $363 and $252)</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11,789</w:t>
            </w: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8,699</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860" w:type="dxa"/>
            <w:vAlign w:val="bottom"/>
          </w:tcPr>
          <w:p>
            <w:pPr>
              <w:ind w:left="200"/>
              <w:spacing w:after="0" w:line="149" w:lineRule="exact"/>
              <w:rPr>
                <w:sz w:val="20"/>
                <w:szCs w:val="20"/>
                <w:color w:val="auto"/>
              </w:rPr>
            </w:pPr>
            <w:r>
              <w:rPr>
                <w:rFonts w:ascii="Arial" w:cs="Arial" w:eastAsia="Arial" w:hAnsi="Arial"/>
                <w:sz w:val="14"/>
                <w:szCs w:val="14"/>
                <w:color w:val="auto"/>
              </w:rPr>
              <w:t>Inventories</w:t>
            </w:r>
          </w:p>
        </w:tc>
        <w:tc>
          <w:tcPr>
            <w:tcW w:w="2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14,105</w:t>
            </w: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12,125</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Equipment on operating leases, net</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4,180</w:t>
            </w: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2,568</w:t>
            </w:r>
          </w:p>
        </w:tc>
        <w:tc>
          <w:tcPr>
            <w:tcW w:w="6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8860" w:type="dxa"/>
            <w:vAlign w:val="bottom"/>
          </w:tcPr>
          <w:p>
            <w:pPr>
              <w:ind w:left="200"/>
              <w:spacing w:after="0" w:line="149" w:lineRule="exact"/>
              <w:rPr>
                <w:sz w:val="20"/>
                <w:szCs w:val="20"/>
                <w:color w:val="auto"/>
              </w:rPr>
            </w:pPr>
            <w:r>
              <w:rPr>
                <w:rFonts w:ascii="Arial" w:cs="Arial" w:eastAsia="Arial" w:hAnsi="Arial"/>
                <w:sz w:val="14"/>
                <w:szCs w:val="14"/>
                <w:color w:val="auto"/>
              </w:rPr>
              <w:t>Other current assets and deferred income taxes</w:t>
            </w: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3,141</w:t>
            </w:r>
          </w:p>
        </w:tc>
        <w:tc>
          <w:tcPr>
            <w:tcW w:w="6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3,045</w:t>
            </w:r>
          </w:p>
        </w:tc>
        <w:tc>
          <w:tcPr>
            <w:tcW w:w="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8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current assets</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65,984</w:t>
            </w: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53,053</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860" w:type="dxa"/>
            <w:vAlign w:val="bottom"/>
          </w:tcPr>
          <w:p>
            <w:pPr>
              <w:spacing w:after="0" w:line="149" w:lineRule="exact"/>
              <w:rPr>
                <w:sz w:val="20"/>
                <w:szCs w:val="20"/>
                <w:color w:val="auto"/>
              </w:rPr>
            </w:pPr>
            <w:r>
              <w:rPr>
                <w:rFonts w:ascii="Arial" w:cs="Arial" w:eastAsia="Arial" w:hAnsi="Arial"/>
                <w:sz w:val="14"/>
                <w:szCs w:val="14"/>
                <w:b w:val="1"/>
                <w:bCs w:val="1"/>
                <w:color w:val="auto"/>
              </w:rPr>
              <w:t>Automotive Non-current Assets</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Equity in net assets of nonconsolidated affiliates</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7,160</w:t>
            </w: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8,529</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860" w:type="dxa"/>
            <w:vAlign w:val="bottom"/>
          </w:tcPr>
          <w:p>
            <w:pPr>
              <w:ind w:left="200"/>
              <w:spacing w:after="0" w:line="149" w:lineRule="exact"/>
              <w:rPr>
                <w:sz w:val="20"/>
                <w:szCs w:val="20"/>
                <w:color w:val="auto"/>
              </w:rPr>
            </w:pPr>
            <w:r>
              <w:rPr>
                <w:rFonts w:ascii="Arial" w:cs="Arial" w:eastAsia="Arial" w:hAnsi="Arial"/>
                <w:sz w:val="14"/>
                <w:szCs w:val="14"/>
                <w:color w:val="auto"/>
              </w:rPr>
              <w:t>Property, net</w:t>
            </w:r>
          </w:p>
        </w:tc>
        <w:tc>
          <w:tcPr>
            <w:tcW w:w="2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20,989</w:t>
            </w: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19,235</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Goodwill</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28,767</w:t>
            </w: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30,513</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860" w:type="dxa"/>
            <w:vAlign w:val="bottom"/>
          </w:tcPr>
          <w:p>
            <w:pPr>
              <w:ind w:left="200"/>
              <w:spacing w:after="0" w:line="149" w:lineRule="exact"/>
              <w:rPr>
                <w:sz w:val="20"/>
                <w:szCs w:val="20"/>
                <w:color w:val="auto"/>
              </w:rPr>
            </w:pPr>
            <w:r>
              <w:rPr>
                <w:rFonts w:ascii="Arial" w:cs="Arial" w:eastAsia="Arial" w:hAnsi="Arial"/>
                <w:sz w:val="14"/>
                <w:szCs w:val="14"/>
                <w:color w:val="auto"/>
              </w:rPr>
              <w:t>Intangible assets, net</w:t>
            </w:r>
          </w:p>
        </w:tc>
        <w:tc>
          <w:tcPr>
            <w:tcW w:w="200" w:type="dxa"/>
            <w:vAlign w:val="bottom"/>
          </w:tcPr>
          <w:p>
            <w:pPr>
              <w:spacing w:after="0"/>
              <w:rPr>
                <w:sz w:val="12"/>
                <w:szCs w:val="12"/>
                <w:color w:val="auto"/>
              </w:rPr>
            </w:pPr>
          </w:p>
        </w:tc>
        <w:tc>
          <w:tcPr>
            <w:tcW w:w="11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11,083</w:t>
            </w:r>
          </w:p>
        </w:tc>
        <w:tc>
          <w:tcPr>
            <w:tcW w:w="3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11,882</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assets and deferred income taxes</w:t>
            </w:r>
          </w:p>
        </w:tc>
        <w:tc>
          <w:tcPr>
            <w:tcW w:w="2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4,323</w:t>
            </w:r>
          </w:p>
        </w:tc>
        <w:tc>
          <w:tcPr>
            <w:tcW w:w="60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4,754</w:t>
            </w:r>
          </w:p>
        </w:tc>
        <w:tc>
          <w:tcPr>
            <w:tcW w:w="60" w:type="dxa"/>
            <w:vAlign w:val="bottom"/>
            <w:shd w:val="clear" w:color="auto" w:fill="CCEEFF"/>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8860" w:type="dxa"/>
            <w:vAlign w:val="bottom"/>
          </w:tcPr>
          <w:p>
            <w:pPr>
              <w:ind w:left="200"/>
              <w:spacing w:after="0" w:line="155" w:lineRule="exact"/>
              <w:rPr>
                <w:sz w:val="20"/>
                <w:szCs w:val="20"/>
                <w:color w:val="auto"/>
              </w:rPr>
            </w:pPr>
            <w:r>
              <w:rPr>
                <w:rFonts w:ascii="Arial" w:cs="Arial" w:eastAsia="Arial" w:hAnsi="Arial"/>
                <w:sz w:val="14"/>
                <w:szCs w:val="14"/>
                <w:color w:val="auto"/>
              </w:rPr>
              <w:t>Total non-current assets</w:t>
            </w: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72,322</w:t>
            </w:r>
          </w:p>
        </w:tc>
        <w:tc>
          <w:tcPr>
            <w:tcW w:w="6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74,913</w:t>
            </w:r>
          </w:p>
        </w:tc>
        <w:tc>
          <w:tcPr>
            <w:tcW w:w="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8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rPr>
              <w:t>Total Automotive Assets</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138,306</w:t>
            </w: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127,966</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860" w:type="dxa"/>
            <w:vAlign w:val="bottom"/>
          </w:tcPr>
          <w:p>
            <w:pPr>
              <w:spacing w:after="0" w:line="149" w:lineRule="exact"/>
              <w:rPr>
                <w:sz w:val="20"/>
                <w:szCs w:val="20"/>
                <w:color w:val="auto"/>
              </w:rPr>
            </w:pPr>
            <w:r>
              <w:rPr>
                <w:rFonts w:ascii="Arial" w:cs="Arial" w:eastAsia="Arial" w:hAnsi="Arial"/>
                <w:sz w:val="14"/>
                <w:szCs w:val="14"/>
                <w:b w:val="1"/>
                <w:bCs w:val="1"/>
                <w:color w:val="auto"/>
              </w:rPr>
              <w:t>GM Financial Assets</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Finance receivables, net (including gross finance receivables transferred to SPEs of $8,333 and $7,156)</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8,587</w:t>
            </w: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8,197</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860" w:type="dxa"/>
            <w:vAlign w:val="bottom"/>
          </w:tcPr>
          <w:p>
            <w:pPr>
              <w:ind w:left="200"/>
              <w:spacing w:after="0" w:line="149" w:lineRule="exact"/>
              <w:rPr>
                <w:sz w:val="20"/>
                <w:szCs w:val="20"/>
                <w:color w:val="auto"/>
              </w:rPr>
            </w:pPr>
            <w:r>
              <w:rPr>
                <w:rFonts w:ascii="Arial" w:cs="Arial" w:eastAsia="Arial" w:hAnsi="Arial"/>
                <w:sz w:val="14"/>
                <w:szCs w:val="14"/>
                <w:color w:val="auto"/>
              </w:rPr>
              <w:t>Restricted cash</w:t>
            </w:r>
          </w:p>
        </w:tc>
        <w:tc>
          <w:tcPr>
            <w:tcW w:w="2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1,125</w:t>
            </w: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1,090</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Goodwill</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1,279</w:t>
            </w: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1,265</w:t>
            </w:r>
          </w:p>
        </w:tc>
        <w:tc>
          <w:tcPr>
            <w:tcW w:w="6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8860" w:type="dxa"/>
            <w:vAlign w:val="bottom"/>
          </w:tcPr>
          <w:p>
            <w:pPr>
              <w:ind w:left="200"/>
              <w:spacing w:after="0" w:line="149" w:lineRule="exact"/>
              <w:rPr>
                <w:sz w:val="20"/>
                <w:szCs w:val="20"/>
                <w:color w:val="auto"/>
              </w:rPr>
            </w:pPr>
            <w:r>
              <w:rPr>
                <w:rFonts w:ascii="Arial" w:cs="Arial" w:eastAsia="Arial" w:hAnsi="Arial"/>
                <w:sz w:val="14"/>
                <w:szCs w:val="14"/>
                <w:color w:val="auto"/>
              </w:rPr>
              <w:t>Other assets</w:t>
            </w:r>
          </w:p>
        </w:tc>
        <w:tc>
          <w:tcPr>
            <w:tcW w:w="200" w:type="dxa"/>
            <w:vAlign w:val="bottom"/>
          </w:tcPr>
          <w:p>
            <w:pPr>
              <w:spacing w:after="0"/>
              <w:rPr>
                <w:sz w:val="13"/>
                <w:szCs w:val="13"/>
                <w:color w:val="auto"/>
              </w:rPr>
            </w:pPr>
          </w:p>
        </w:tc>
        <w:tc>
          <w:tcPr>
            <w:tcW w:w="11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1,118</w:t>
            </w:r>
          </w:p>
        </w:tc>
        <w:tc>
          <w:tcPr>
            <w:tcW w:w="360" w:type="dxa"/>
            <w:vAlign w:val="bottom"/>
          </w:tcPr>
          <w:p>
            <w:pPr>
              <w:spacing w:after="0"/>
              <w:rPr>
                <w:sz w:val="13"/>
                <w:szCs w:val="13"/>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380</w:t>
            </w:r>
          </w:p>
        </w:tc>
        <w:tc>
          <w:tcPr>
            <w:tcW w:w="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8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rPr>
              <w:t>Total GM Financial Assets</w:t>
            </w: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12,109</w:t>
            </w:r>
          </w:p>
        </w:tc>
        <w:tc>
          <w:tcPr>
            <w:tcW w:w="600" w:type="dxa"/>
            <w:vAlign w:val="bottom"/>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10,932</w:t>
            </w:r>
          </w:p>
        </w:tc>
        <w:tc>
          <w:tcPr>
            <w:tcW w:w="60" w:type="dxa"/>
            <w:vAlign w:val="bottom"/>
            <w:shd w:val="clear" w:color="auto" w:fill="CCEEFF"/>
          </w:tcPr>
          <w:p>
            <w:pPr>
              <w:spacing w:after="0"/>
              <w:rPr>
                <w:sz w:val="12"/>
                <w:szCs w:val="12"/>
                <w:color w:val="auto"/>
              </w:rPr>
            </w:pPr>
          </w:p>
        </w:tc>
      </w:tr>
      <w:tr>
        <w:trPr>
          <w:trHeight w:val="156"/>
        </w:trPr>
        <w:tc>
          <w:tcPr>
            <w:tcW w:w="88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Assets</w:t>
            </w:r>
          </w:p>
        </w:tc>
        <w:tc>
          <w:tcPr>
            <w:tcW w:w="2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150,415</w:t>
            </w:r>
          </w:p>
        </w:tc>
        <w:tc>
          <w:tcPr>
            <w:tcW w:w="600" w:type="dxa"/>
            <w:vAlign w:val="bottom"/>
          </w:tcPr>
          <w:p>
            <w:pPr>
              <w:spacing w:after="0"/>
              <w:rPr>
                <w:sz w:val="13"/>
                <w:szCs w:val="13"/>
                <w:color w:val="auto"/>
              </w:rPr>
            </w:pPr>
          </w:p>
        </w:tc>
        <w:tc>
          <w:tcPr>
            <w:tcW w:w="3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138,898</w:t>
            </w:r>
          </w:p>
        </w:tc>
        <w:tc>
          <w:tcPr>
            <w:tcW w:w="6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860" w:type="dxa"/>
            <w:vAlign w:val="bottom"/>
            <w:shd w:val="clear" w:color="auto" w:fill="CCEEFF"/>
          </w:tcPr>
          <w:p>
            <w:pPr>
              <w:ind w:left="3300"/>
              <w:spacing w:after="0" w:line="143" w:lineRule="exact"/>
              <w:rPr>
                <w:sz w:val="20"/>
                <w:szCs w:val="20"/>
                <w:color w:val="auto"/>
              </w:rPr>
            </w:pPr>
            <w:r>
              <w:rPr>
                <w:rFonts w:ascii="Arial" w:cs="Arial" w:eastAsia="Arial" w:hAnsi="Arial"/>
                <w:sz w:val="14"/>
                <w:szCs w:val="14"/>
                <w:b w:val="1"/>
                <w:bCs w:val="1"/>
                <w:color w:val="auto"/>
              </w:rPr>
              <w:t>LIABILITIES AND EQUITY</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860" w:type="dxa"/>
            <w:vAlign w:val="bottom"/>
          </w:tcPr>
          <w:p>
            <w:pPr>
              <w:spacing w:after="0" w:line="149" w:lineRule="exact"/>
              <w:rPr>
                <w:sz w:val="20"/>
                <w:szCs w:val="20"/>
                <w:color w:val="auto"/>
              </w:rPr>
            </w:pPr>
            <w:r>
              <w:rPr>
                <w:rFonts w:ascii="Arial" w:cs="Arial" w:eastAsia="Arial" w:hAnsi="Arial"/>
                <w:sz w:val="14"/>
                <w:szCs w:val="14"/>
                <w:b w:val="1"/>
                <w:bCs w:val="1"/>
                <w:color w:val="auto"/>
              </w:rPr>
              <w:t>Automotive Current Liabilities</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Accounts payable (principally trade)</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25,412</w:t>
            </w: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21,497</w:t>
            </w:r>
          </w:p>
        </w:tc>
        <w:tc>
          <w:tcPr>
            <w:tcW w:w="60" w:type="dxa"/>
            <w:vAlign w:val="bottom"/>
            <w:shd w:val="clear" w:color="auto" w:fill="CCEEFF"/>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8860" w:type="dxa"/>
            <w:vAlign w:val="bottom"/>
          </w:tcPr>
          <w:p>
            <w:pPr>
              <w:ind w:left="200"/>
              <w:spacing w:after="0" w:line="138" w:lineRule="exact"/>
              <w:rPr>
                <w:sz w:val="20"/>
                <w:szCs w:val="20"/>
                <w:color w:val="auto"/>
              </w:rPr>
            </w:pPr>
            <w:r>
              <w:rPr>
                <w:rFonts w:ascii="Arial" w:cs="Arial" w:eastAsia="Arial" w:hAnsi="Arial"/>
                <w:sz w:val="14"/>
                <w:szCs w:val="14"/>
                <w:color w:val="auto"/>
              </w:rPr>
              <w:t>Short-term debt and current portion of long-term debt (including certain debt at</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8860" w:type="dxa"/>
            <w:vAlign w:val="bottom"/>
          </w:tcPr>
          <w:p>
            <w:pPr>
              <w:ind w:left="420"/>
              <w:spacing w:after="0" w:line="159" w:lineRule="exact"/>
              <w:rPr>
                <w:sz w:val="20"/>
                <w:szCs w:val="20"/>
                <w:color w:val="auto"/>
              </w:rPr>
            </w:pPr>
            <w:r>
              <w:rPr>
                <w:rFonts w:ascii="Arial" w:cs="Arial" w:eastAsia="Arial" w:hAnsi="Arial"/>
                <w:sz w:val="14"/>
                <w:szCs w:val="14"/>
                <w:color w:val="auto"/>
              </w:rPr>
              <w:t>GM Korea of $157 and $70; Note 11)</w:t>
            </w:r>
          </w:p>
        </w:tc>
        <w:tc>
          <w:tcPr>
            <w:tcW w:w="20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2,027</w:t>
            </w: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1,616</w:t>
            </w:r>
          </w:p>
        </w:tc>
        <w:tc>
          <w:tcPr>
            <w:tcW w:w="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8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Accrued liabilities (including derivative liabilities at GM Korea of $19 and $111; Note 11)</w:t>
            </w:r>
          </w:p>
        </w:tc>
        <w:tc>
          <w:tcPr>
            <w:tcW w:w="2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26,409</w:t>
            </w:r>
          </w:p>
        </w:tc>
        <w:tc>
          <w:tcPr>
            <w:tcW w:w="60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24,044</w:t>
            </w:r>
          </w:p>
        </w:tc>
        <w:tc>
          <w:tcPr>
            <w:tcW w:w="6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8860" w:type="dxa"/>
            <w:vAlign w:val="bottom"/>
          </w:tcPr>
          <w:p>
            <w:pPr>
              <w:ind w:left="200"/>
              <w:spacing w:after="0" w:line="155" w:lineRule="exact"/>
              <w:rPr>
                <w:sz w:val="20"/>
                <w:szCs w:val="20"/>
                <w:color w:val="auto"/>
              </w:rPr>
            </w:pPr>
            <w:r>
              <w:rPr>
                <w:rFonts w:ascii="Arial" w:cs="Arial" w:eastAsia="Arial" w:hAnsi="Arial"/>
                <w:sz w:val="14"/>
                <w:szCs w:val="14"/>
                <w:color w:val="auto"/>
              </w:rPr>
              <w:t>Total current liabilities</w:t>
            </w:r>
          </w:p>
        </w:tc>
        <w:tc>
          <w:tcPr>
            <w:tcW w:w="20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53,848</w:t>
            </w: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47,157</w:t>
            </w:r>
          </w:p>
        </w:tc>
        <w:tc>
          <w:tcPr>
            <w:tcW w:w="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88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Automotive Non-current Liabilities</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860" w:type="dxa"/>
            <w:vAlign w:val="bottom"/>
          </w:tcPr>
          <w:p>
            <w:pPr>
              <w:ind w:left="200"/>
              <w:spacing w:after="0" w:line="149" w:lineRule="exact"/>
              <w:rPr>
                <w:sz w:val="20"/>
                <w:szCs w:val="20"/>
                <w:color w:val="auto"/>
              </w:rPr>
            </w:pPr>
            <w:r>
              <w:rPr>
                <w:rFonts w:ascii="Arial" w:cs="Arial" w:eastAsia="Arial" w:hAnsi="Arial"/>
                <w:sz w:val="14"/>
                <w:szCs w:val="14"/>
                <w:color w:val="auto"/>
              </w:rPr>
              <w:t>Long-term debt (including certain debt at GM Korea of $8 and $835; Note 11)</w:t>
            </w:r>
          </w:p>
        </w:tc>
        <w:tc>
          <w:tcPr>
            <w:tcW w:w="2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2,690</w:t>
            </w: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3,014</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Postretirement benefits other than pensions</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9,379</w:t>
            </w: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9,294</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860" w:type="dxa"/>
            <w:vAlign w:val="bottom"/>
          </w:tcPr>
          <w:p>
            <w:pPr>
              <w:ind w:left="200"/>
              <w:spacing w:after="0" w:line="149" w:lineRule="exact"/>
              <w:rPr>
                <w:sz w:val="20"/>
                <w:szCs w:val="20"/>
                <w:color w:val="auto"/>
              </w:rPr>
            </w:pPr>
            <w:r>
              <w:rPr>
                <w:rFonts w:ascii="Arial" w:cs="Arial" w:eastAsia="Arial" w:hAnsi="Arial"/>
                <w:sz w:val="14"/>
                <w:szCs w:val="14"/>
                <w:color w:val="auto"/>
              </w:rPr>
              <w:t>Pensions</w:t>
            </w:r>
          </w:p>
        </w:tc>
        <w:tc>
          <w:tcPr>
            <w:tcW w:w="2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21,389</w:t>
            </w: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21,894</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liabilities and deferred income taxes</w:t>
            </w:r>
          </w:p>
        </w:tc>
        <w:tc>
          <w:tcPr>
            <w:tcW w:w="2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12,887</w:t>
            </w:r>
          </w:p>
        </w:tc>
        <w:tc>
          <w:tcPr>
            <w:tcW w:w="60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13,021</w:t>
            </w:r>
          </w:p>
        </w:tc>
        <w:tc>
          <w:tcPr>
            <w:tcW w:w="60" w:type="dxa"/>
            <w:vAlign w:val="bottom"/>
            <w:shd w:val="clear" w:color="auto" w:fill="CCEEFF"/>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8860" w:type="dxa"/>
            <w:vAlign w:val="bottom"/>
          </w:tcPr>
          <w:p>
            <w:pPr>
              <w:ind w:left="200"/>
              <w:spacing w:after="0" w:line="155" w:lineRule="exact"/>
              <w:rPr>
                <w:sz w:val="20"/>
                <w:szCs w:val="20"/>
                <w:color w:val="auto"/>
              </w:rPr>
            </w:pPr>
            <w:r>
              <w:rPr>
                <w:rFonts w:ascii="Arial" w:cs="Arial" w:eastAsia="Arial" w:hAnsi="Arial"/>
                <w:sz w:val="14"/>
                <w:szCs w:val="14"/>
                <w:color w:val="auto"/>
              </w:rPr>
              <w:t>Total non-current liabilities</w:t>
            </w: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46,345</w:t>
            </w:r>
          </w:p>
        </w:tc>
        <w:tc>
          <w:tcPr>
            <w:tcW w:w="6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47,223</w:t>
            </w:r>
          </w:p>
        </w:tc>
        <w:tc>
          <w:tcPr>
            <w:tcW w:w="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8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rPr>
              <w:t>Total Automotive Liabilities</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100,193</w:t>
            </w: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94,380</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860" w:type="dxa"/>
            <w:vAlign w:val="bottom"/>
          </w:tcPr>
          <w:p>
            <w:pPr>
              <w:spacing w:after="0" w:line="149" w:lineRule="exact"/>
              <w:rPr>
                <w:sz w:val="20"/>
                <w:szCs w:val="20"/>
                <w:color w:val="auto"/>
              </w:rPr>
            </w:pPr>
            <w:r>
              <w:rPr>
                <w:rFonts w:ascii="Arial" w:cs="Arial" w:eastAsia="Arial" w:hAnsi="Arial"/>
                <w:sz w:val="14"/>
                <w:szCs w:val="14"/>
                <w:b w:val="1"/>
                <w:bCs w:val="1"/>
                <w:color w:val="auto"/>
              </w:rPr>
              <w:t>GM Financial Liabilities</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Securitization notes payable</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6,881</w:t>
            </w: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6,128</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860" w:type="dxa"/>
            <w:vAlign w:val="bottom"/>
          </w:tcPr>
          <w:p>
            <w:pPr>
              <w:ind w:left="200"/>
              <w:spacing w:after="0" w:line="149" w:lineRule="exact"/>
              <w:rPr>
                <w:sz w:val="20"/>
                <w:szCs w:val="20"/>
                <w:color w:val="auto"/>
              </w:rPr>
            </w:pPr>
            <w:r>
              <w:rPr>
                <w:rFonts w:ascii="Arial" w:cs="Arial" w:eastAsia="Arial" w:hAnsi="Arial"/>
                <w:sz w:val="14"/>
                <w:szCs w:val="14"/>
                <w:color w:val="auto"/>
              </w:rPr>
              <w:t>Credit facilities</w:t>
            </w:r>
          </w:p>
        </w:tc>
        <w:tc>
          <w:tcPr>
            <w:tcW w:w="2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423</w:t>
            </w: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832</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liabilities</w:t>
            </w:r>
          </w:p>
        </w:tc>
        <w:tc>
          <w:tcPr>
            <w:tcW w:w="2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886</w:t>
            </w:r>
          </w:p>
        </w:tc>
        <w:tc>
          <w:tcPr>
            <w:tcW w:w="60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399</w:t>
            </w:r>
          </w:p>
        </w:tc>
        <w:tc>
          <w:tcPr>
            <w:tcW w:w="60" w:type="dxa"/>
            <w:vAlign w:val="bottom"/>
            <w:shd w:val="clear" w:color="auto" w:fill="CCEEFF"/>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8860" w:type="dxa"/>
            <w:vAlign w:val="bottom"/>
          </w:tcPr>
          <w:p>
            <w:pPr>
              <w:ind w:left="200"/>
              <w:spacing w:after="0" w:line="155" w:lineRule="exact"/>
              <w:rPr>
                <w:sz w:val="20"/>
                <w:szCs w:val="20"/>
                <w:color w:val="auto"/>
              </w:rPr>
            </w:pPr>
            <w:r>
              <w:rPr>
                <w:rFonts w:ascii="Arial" w:cs="Arial" w:eastAsia="Arial" w:hAnsi="Arial"/>
                <w:sz w:val="14"/>
                <w:szCs w:val="14"/>
                <w:b w:val="1"/>
                <w:bCs w:val="1"/>
                <w:color w:val="auto"/>
              </w:rPr>
              <w:t>Total GM Financial Liabilities</w:t>
            </w: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8,190</w:t>
            </w:r>
          </w:p>
        </w:tc>
        <w:tc>
          <w:tcPr>
            <w:tcW w:w="6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7,359</w:t>
            </w:r>
          </w:p>
        </w:tc>
        <w:tc>
          <w:tcPr>
            <w:tcW w:w="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88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Liabilities</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108,383</w:t>
            </w: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101,739</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860" w:type="dxa"/>
            <w:vAlign w:val="bottom"/>
          </w:tcPr>
          <w:p>
            <w:pPr>
              <w:spacing w:after="0" w:line="149" w:lineRule="exact"/>
              <w:rPr>
                <w:sz w:val="20"/>
                <w:szCs w:val="20"/>
                <w:color w:val="auto"/>
              </w:rPr>
            </w:pPr>
            <w:r>
              <w:rPr>
                <w:rFonts w:ascii="Arial" w:cs="Arial" w:eastAsia="Arial" w:hAnsi="Arial"/>
                <w:sz w:val="14"/>
                <w:szCs w:val="14"/>
                <w:color w:val="auto"/>
              </w:rPr>
              <w:t>Commitments and contingencies (Note 17)</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8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Equity</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860" w:type="dxa"/>
            <w:vAlign w:val="bottom"/>
          </w:tcPr>
          <w:p>
            <w:pPr>
              <w:spacing w:after="0" w:line="149" w:lineRule="exact"/>
              <w:rPr>
                <w:sz w:val="20"/>
                <w:szCs w:val="20"/>
                <w:color w:val="auto"/>
              </w:rPr>
            </w:pPr>
            <w:r>
              <w:rPr>
                <w:rFonts w:ascii="Arial" w:cs="Arial" w:eastAsia="Arial" w:hAnsi="Arial"/>
                <w:sz w:val="14"/>
                <w:szCs w:val="14"/>
                <w:color w:val="auto"/>
              </w:rPr>
              <w:t>Preferred stock, $0.01 par value, 2,000,000,000 shares authorized:</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9"/>
              </w:rPr>
              <w:t>Series A (276,101,695 shares issued and outstanding (each with a $25.00 liquidation preference) at June 30, 2011 and December 31, 2010)</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5,536</w:t>
            </w: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5,536</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860" w:type="dxa"/>
            <w:vAlign w:val="bottom"/>
          </w:tcPr>
          <w:p>
            <w:pPr>
              <w:ind w:left="200"/>
              <w:spacing w:after="0" w:line="149" w:lineRule="exact"/>
              <w:rPr>
                <w:sz w:val="20"/>
                <w:szCs w:val="20"/>
                <w:color w:val="auto"/>
              </w:rPr>
            </w:pPr>
            <w:r>
              <w:rPr>
                <w:rFonts w:ascii="Arial" w:cs="Arial" w:eastAsia="Arial" w:hAnsi="Arial"/>
                <w:sz w:val="14"/>
                <w:szCs w:val="14"/>
                <w:color w:val="auto"/>
                <w:w w:val="99"/>
              </w:rPr>
              <w:t>Series B (100,000,000 shares issued and outstanding (each with a $50.00 liquidation preference) at June 30, 2011 and December 31, 2010)</w:t>
            </w:r>
          </w:p>
        </w:tc>
        <w:tc>
          <w:tcPr>
            <w:tcW w:w="2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4,855</w:t>
            </w: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4,855</w:t>
            </w:r>
          </w:p>
        </w:tc>
        <w:tc>
          <w:tcPr>
            <w:tcW w:w="60" w:type="dxa"/>
            <w:vAlign w:val="bottom"/>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88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2"/>
              </w:rPr>
              <w:t>Common stock, $0.01 par value (5,000,000,000 shares authorized, 1,561,450,455 and 1,500,844,394 shares issued and outstanding at June 30, 2011 and</w:t>
            </w: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88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1,500,136,998 shares issued and outstanding at December 31, 2010)</w:t>
            </w: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w:t>
            </w:r>
          </w:p>
        </w:tc>
        <w:tc>
          <w:tcPr>
            <w:tcW w:w="6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w:t>
            </w:r>
          </w:p>
        </w:tc>
        <w:tc>
          <w:tcPr>
            <w:tcW w:w="60" w:type="dxa"/>
            <w:vAlign w:val="bottom"/>
            <w:shd w:val="clear" w:color="auto" w:fill="CCEEFF"/>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8860" w:type="dxa"/>
            <w:vAlign w:val="bottom"/>
          </w:tcPr>
          <w:p>
            <w:pPr>
              <w:spacing w:after="0" w:line="149" w:lineRule="exact"/>
              <w:rPr>
                <w:sz w:val="20"/>
                <w:szCs w:val="20"/>
                <w:color w:val="auto"/>
              </w:rPr>
            </w:pPr>
            <w:r>
              <w:rPr>
                <w:rFonts w:ascii="Arial" w:cs="Arial" w:eastAsia="Arial" w:hAnsi="Arial"/>
                <w:sz w:val="14"/>
                <w:szCs w:val="14"/>
                <w:color w:val="auto"/>
              </w:rPr>
              <w:t>Capital surplus (principally additional paid-in capital)</w:t>
            </w:r>
          </w:p>
        </w:tc>
        <w:tc>
          <w:tcPr>
            <w:tcW w:w="2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24,412</w:t>
            </w: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24,257</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Retained earnings</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4,729</w:t>
            </w: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266</w:t>
            </w:r>
          </w:p>
        </w:tc>
        <w:tc>
          <w:tcPr>
            <w:tcW w:w="6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8860" w:type="dxa"/>
            <w:vAlign w:val="bottom"/>
          </w:tcPr>
          <w:p>
            <w:pPr>
              <w:spacing w:after="0" w:line="149" w:lineRule="exact"/>
              <w:rPr>
                <w:sz w:val="20"/>
                <w:szCs w:val="20"/>
                <w:color w:val="auto"/>
              </w:rPr>
            </w:pPr>
            <w:r>
              <w:rPr>
                <w:rFonts w:ascii="Arial" w:cs="Arial" w:eastAsia="Arial" w:hAnsi="Arial"/>
                <w:sz w:val="14"/>
                <w:szCs w:val="14"/>
                <w:color w:val="auto"/>
              </w:rPr>
              <w:t>Accumulated other comprehensive income</w:t>
            </w: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1,571</w:t>
            </w:r>
          </w:p>
        </w:tc>
        <w:tc>
          <w:tcPr>
            <w:tcW w:w="6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1,251</w:t>
            </w:r>
          </w:p>
        </w:tc>
        <w:tc>
          <w:tcPr>
            <w:tcW w:w="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8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stockholders’ equity</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41,118</w:t>
            </w: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36,180</w:t>
            </w:r>
          </w:p>
        </w:tc>
        <w:tc>
          <w:tcPr>
            <w:tcW w:w="6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8860" w:type="dxa"/>
            <w:vAlign w:val="bottom"/>
          </w:tcPr>
          <w:p>
            <w:pPr>
              <w:spacing w:after="0" w:line="149" w:lineRule="exact"/>
              <w:rPr>
                <w:sz w:val="20"/>
                <w:szCs w:val="20"/>
                <w:color w:val="auto"/>
              </w:rPr>
            </w:pPr>
            <w:r>
              <w:rPr>
                <w:rFonts w:ascii="Arial" w:cs="Arial" w:eastAsia="Arial" w:hAnsi="Arial"/>
                <w:sz w:val="14"/>
                <w:szCs w:val="14"/>
                <w:color w:val="auto"/>
              </w:rPr>
              <w:t>Noncontrolling interests</w:t>
            </w: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914</w:t>
            </w:r>
          </w:p>
        </w:tc>
        <w:tc>
          <w:tcPr>
            <w:tcW w:w="6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979</w:t>
            </w:r>
          </w:p>
        </w:tc>
        <w:tc>
          <w:tcPr>
            <w:tcW w:w="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88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Equity</w:t>
            </w:r>
          </w:p>
        </w:tc>
        <w:tc>
          <w:tcPr>
            <w:tcW w:w="2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42,032</w:t>
            </w:r>
          </w:p>
        </w:tc>
        <w:tc>
          <w:tcPr>
            <w:tcW w:w="60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37,159</w:t>
            </w:r>
          </w:p>
        </w:tc>
        <w:tc>
          <w:tcPr>
            <w:tcW w:w="60" w:type="dxa"/>
            <w:vAlign w:val="bottom"/>
            <w:shd w:val="clear" w:color="auto" w:fill="CCEEFF"/>
          </w:tcPr>
          <w:p>
            <w:pPr>
              <w:spacing w:after="0"/>
              <w:rPr>
                <w:sz w:val="12"/>
                <w:szCs w:val="12"/>
                <w:color w:val="auto"/>
              </w:rPr>
            </w:pPr>
          </w:p>
        </w:tc>
      </w:tr>
      <w:tr>
        <w:trPr>
          <w:trHeight w:val="156"/>
        </w:trPr>
        <w:tc>
          <w:tcPr>
            <w:tcW w:w="88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Liabilities and Equity</w:t>
            </w:r>
          </w:p>
        </w:tc>
        <w:tc>
          <w:tcPr>
            <w:tcW w:w="2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150,415</w:t>
            </w:r>
          </w:p>
        </w:tc>
        <w:tc>
          <w:tcPr>
            <w:tcW w:w="600" w:type="dxa"/>
            <w:vAlign w:val="bottom"/>
          </w:tcPr>
          <w:p>
            <w:pPr>
              <w:spacing w:after="0"/>
              <w:rPr>
                <w:sz w:val="13"/>
                <w:szCs w:val="13"/>
                <w:color w:val="auto"/>
              </w:rPr>
            </w:pPr>
          </w:p>
        </w:tc>
        <w:tc>
          <w:tcPr>
            <w:tcW w:w="3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138,898</w:t>
            </w:r>
          </w:p>
        </w:tc>
        <w:tc>
          <w:tcPr>
            <w:tcW w:w="6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rPr>
              <w:t>Common Stockholders’</w:t>
            </w:r>
          </w:p>
        </w:tc>
        <w:tc>
          <w:tcPr>
            <w:tcW w:w="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87"/>
              </w:rPr>
              <w:t>Retained</w:t>
            </w:r>
          </w:p>
        </w:tc>
        <w:tc>
          <w:tcPr>
            <w:tcW w:w="60" w:type="dxa"/>
            <w:vAlign w:val="bottom"/>
          </w:tcPr>
          <w:p>
            <w:pPr>
              <w:spacing w:after="0"/>
              <w:rPr>
                <w:sz w:val="11"/>
                <w:szCs w:val="11"/>
                <w:color w:val="auto"/>
              </w:rPr>
            </w:pPr>
          </w:p>
        </w:tc>
        <w:tc>
          <w:tcPr>
            <w:tcW w:w="8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Accumulated</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82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Series A</w:t>
            </w:r>
          </w:p>
        </w:tc>
        <w:tc>
          <w:tcPr>
            <w:tcW w:w="82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w w:val="89"/>
              </w:rPr>
              <w:t>Series B</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Earnings</w:t>
            </w:r>
          </w:p>
        </w:tc>
        <w:tc>
          <w:tcPr>
            <w:tcW w:w="6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8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Preferred</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Preferred</w:t>
            </w:r>
          </w:p>
        </w:tc>
        <w:tc>
          <w:tcPr>
            <w:tcW w:w="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Common</w:t>
            </w:r>
          </w:p>
        </w:tc>
        <w:tc>
          <w:tcPr>
            <w:tcW w:w="260" w:type="dxa"/>
            <w:vAlign w:val="bottom"/>
          </w:tcPr>
          <w:p>
            <w:pPr>
              <w:spacing w:after="0"/>
              <w:rPr>
                <w:sz w:val="12"/>
                <w:szCs w:val="12"/>
                <w:color w:val="auto"/>
              </w:rPr>
            </w:pPr>
          </w:p>
        </w:tc>
        <w:tc>
          <w:tcPr>
            <w:tcW w:w="7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Capital</w:t>
            </w: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12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Comprehensive</w:t>
            </w:r>
          </w:p>
        </w:tc>
        <w:tc>
          <w:tcPr>
            <w:tcW w:w="120" w:type="dxa"/>
            <w:vAlign w:val="bottom"/>
          </w:tcPr>
          <w:p>
            <w:pPr>
              <w:spacing w:after="0"/>
              <w:rPr>
                <w:sz w:val="12"/>
                <w:szCs w:val="12"/>
                <w:color w:val="auto"/>
              </w:rPr>
            </w:pPr>
          </w:p>
        </w:tc>
        <w:tc>
          <w:tcPr>
            <w:tcW w:w="5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3"/>
              </w:rPr>
              <w:t>Stock</w:t>
            </w:r>
          </w:p>
        </w:tc>
        <w:tc>
          <w:tcPr>
            <w:tcW w:w="100" w:type="dxa"/>
            <w:vAlign w:val="bottom"/>
          </w:tcPr>
          <w:p>
            <w:pPr>
              <w:spacing w:after="0"/>
              <w:rPr>
                <w:sz w:val="14"/>
                <w:szCs w:val="14"/>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3"/>
              </w:rPr>
              <w:t>Stock</w:t>
            </w:r>
          </w:p>
        </w:tc>
        <w:tc>
          <w:tcPr>
            <w:tcW w:w="100" w:type="dxa"/>
            <w:vAlign w:val="bottom"/>
          </w:tcPr>
          <w:p>
            <w:pPr>
              <w:spacing w:after="0"/>
              <w:rPr>
                <w:sz w:val="14"/>
                <w:szCs w:val="14"/>
                <w:color w:val="auto"/>
              </w:rPr>
            </w:pPr>
          </w:p>
        </w:tc>
        <w:tc>
          <w:tcPr>
            <w:tcW w:w="440" w:type="dxa"/>
            <w:vAlign w:val="bottom"/>
          </w:tcPr>
          <w:p>
            <w:pPr>
              <w:jc w:val="right"/>
              <w:ind w:right="32"/>
              <w:spacing w:after="0"/>
              <w:rPr>
                <w:sz w:val="20"/>
                <w:szCs w:val="20"/>
                <w:color w:val="auto"/>
              </w:rPr>
            </w:pPr>
            <w:r>
              <w:rPr>
                <w:rFonts w:ascii="Arial" w:cs="Arial" w:eastAsia="Arial" w:hAnsi="Arial"/>
                <w:sz w:val="14"/>
                <w:szCs w:val="14"/>
                <w:b w:val="1"/>
                <w:bCs w:val="1"/>
                <w:color w:val="auto"/>
                <w:w w:val="83"/>
              </w:rPr>
              <w:t>Stock</w:t>
            </w:r>
          </w:p>
        </w:tc>
        <w:tc>
          <w:tcPr>
            <w:tcW w:w="26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Surplus</w:t>
            </w:r>
          </w:p>
        </w:tc>
        <w:tc>
          <w:tcPr>
            <w:tcW w:w="100" w:type="dxa"/>
            <w:vAlign w:val="bottom"/>
          </w:tcPr>
          <w:p>
            <w:pPr>
              <w:spacing w:after="0"/>
              <w:rPr>
                <w:sz w:val="14"/>
                <w:szCs w:val="14"/>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Deficit)</w:t>
            </w:r>
          </w:p>
        </w:tc>
        <w:tc>
          <w:tcPr>
            <w:tcW w:w="6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Income</w:t>
            </w:r>
          </w:p>
        </w:tc>
        <w:tc>
          <w:tcPr>
            <w:tcW w:w="12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2"/>
              </w:rPr>
              <w:t>Interests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7"/>
              </w:rPr>
              <w:t>Income</w:t>
            </w:r>
          </w:p>
        </w:tc>
        <w:tc>
          <w:tcPr>
            <w:tcW w:w="12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December 31, 2009</w:t>
            </w: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EFF"/>
            </w:tcBorders>
            <w:gridSpan w:val="2"/>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w:t>
            </w:r>
          </w:p>
        </w:tc>
        <w:tc>
          <w:tcPr>
            <w:tcW w:w="26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0"/>
              </w:rPr>
              <w:t>$ 24,040</w:t>
            </w: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(4,394)</w:t>
            </w:r>
          </w:p>
        </w:tc>
        <w:tc>
          <w:tcPr>
            <w:tcW w:w="2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1,588</w:t>
            </w:r>
          </w:p>
        </w:tc>
        <w:tc>
          <w:tcPr>
            <w:tcW w:w="2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708</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2"/>
              </w:rPr>
              <w:t>$21,957</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80" w:type="dxa"/>
            <w:vAlign w:val="bottom"/>
          </w:tcPr>
          <w:p>
            <w:pPr>
              <w:spacing w:after="0"/>
              <w:rPr>
                <w:sz w:val="12"/>
                <w:szCs w:val="12"/>
                <w:color w:val="auto"/>
              </w:rPr>
            </w:pPr>
          </w:p>
        </w:tc>
        <w:tc>
          <w:tcPr>
            <w:tcW w:w="74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2,604</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204</w:t>
            </w:r>
          </w:p>
        </w:tc>
        <w:tc>
          <w:tcPr>
            <w:tcW w:w="2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2,808</w:t>
            </w:r>
          </w:p>
        </w:tc>
        <w:tc>
          <w:tcPr>
            <w:tcW w:w="6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2,808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rPr>
              <w:t>Other comprehensive income (loss)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ind w:left="420"/>
              <w:spacing w:after="0" w:line="149" w:lineRule="exact"/>
              <w:rPr>
                <w:sz w:val="20"/>
                <w:szCs w:val="20"/>
                <w:color w:val="auto"/>
              </w:rPr>
            </w:pPr>
            <w:r>
              <w:rPr>
                <w:rFonts w:ascii="Arial" w:cs="Arial" w:eastAsia="Arial" w:hAnsi="Arial"/>
                <w:sz w:val="14"/>
                <w:szCs w:val="14"/>
                <w:color w:val="auto"/>
              </w:rPr>
              <w:t>Foreign currency translation adjustments</w:t>
            </w:r>
          </w:p>
        </w:tc>
        <w:tc>
          <w:tcPr>
            <w:tcW w:w="80" w:type="dxa"/>
            <w:vAlign w:val="bottom"/>
          </w:tcPr>
          <w:p>
            <w:pPr>
              <w:spacing w:after="0"/>
              <w:rPr>
                <w:sz w:val="12"/>
                <w:szCs w:val="12"/>
                <w:color w:val="auto"/>
              </w:rPr>
            </w:pPr>
          </w:p>
        </w:tc>
        <w:tc>
          <w:tcPr>
            <w:tcW w:w="74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(189)</w:t>
            </w:r>
          </w:p>
        </w:tc>
        <w:tc>
          <w:tcPr>
            <w:tcW w:w="1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(216)</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Cash flow hedging losses, net</w:t>
            </w: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ind w:left="420"/>
              <w:spacing w:after="0" w:line="149" w:lineRule="exact"/>
              <w:rPr>
                <w:sz w:val="20"/>
                <w:szCs w:val="20"/>
                <w:color w:val="auto"/>
              </w:rPr>
            </w:pPr>
            <w:r>
              <w:rPr>
                <w:rFonts w:ascii="Arial" w:cs="Arial" w:eastAsia="Arial" w:hAnsi="Arial"/>
                <w:sz w:val="14"/>
                <w:szCs w:val="14"/>
                <w:color w:val="auto"/>
              </w:rPr>
              <w:t>Unrealized loss on securities</w:t>
            </w:r>
          </w:p>
        </w:tc>
        <w:tc>
          <w:tcPr>
            <w:tcW w:w="80" w:type="dxa"/>
            <w:vAlign w:val="bottom"/>
          </w:tcPr>
          <w:p>
            <w:pPr>
              <w:spacing w:after="0"/>
              <w:rPr>
                <w:sz w:val="12"/>
                <w:szCs w:val="12"/>
                <w:color w:val="auto"/>
              </w:rPr>
            </w:pPr>
          </w:p>
        </w:tc>
        <w:tc>
          <w:tcPr>
            <w:tcW w:w="74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Defined benefit plans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ind w:left="640"/>
              <w:spacing w:after="0" w:line="149" w:lineRule="exact"/>
              <w:rPr>
                <w:sz w:val="20"/>
                <w:szCs w:val="20"/>
                <w:color w:val="auto"/>
              </w:rPr>
            </w:pPr>
            <w:r>
              <w:rPr>
                <w:rFonts w:ascii="Arial" w:cs="Arial" w:eastAsia="Arial" w:hAnsi="Arial"/>
                <w:sz w:val="14"/>
                <w:szCs w:val="14"/>
                <w:color w:val="auto"/>
              </w:rPr>
              <w:t>Net prior service cost</w:t>
            </w:r>
          </w:p>
        </w:tc>
        <w:tc>
          <w:tcPr>
            <w:tcW w:w="80" w:type="dxa"/>
            <w:vAlign w:val="bottom"/>
          </w:tcPr>
          <w:p>
            <w:pPr>
              <w:spacing w:after="0"/>
              <w:rPr>
                <w:sz w:val="12"/>
                <w:szCs w:val="12"/>
                <w:color w:val="auto"/>
              </w:rPr>
            </w:pPr>
          </w:p>
        </w:tc>
        <w:tc>
          <w:tcPr>
            <w:tcW w:w="74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w:t>
            </w:r>
          </w:p>
        </w:tc>
        <w:tc>
          <w:tcPr>
            <w:tcW w:w="12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Net actuarial loss</w:t>
            </w: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(225)</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(225)</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vMerge w:val="restart"/>
          </w:tcPr>
          <w:p>
            <w:pPr>
              <w:ind w:left="420"/>
              <w:spacing w:after="0"/>
              <w:rPr>
                <w:sz w:val="20"/>
                <w:szCs w:val="20"/>
                <w:color w:val="auto"/>
              </w:rPr>
            </w:pPr>
            <w:r>
              <w:rPr>
                <w:rFonts w:ascii="Arial" w:cs="Arial" w:eastAsia="Arial" w:hAnsi="Arial"/>
                <w:sz w:val="14"/>
                <w:szCs w:val="14"/>
                <w:color w:val="auto"/>
              </w:rPr>
              <w:t>Other comprehensive loss</w:t>
            </w:r>
          </w:p>
        </w:tc>
        <w:tc>
          <w:tcPr>
            <w:tcW w:w="80" w:type="dxa"/>
            <w:vAlign w:val="bottom"/>
          </w:tcPr>
          <w:p>
            <w:pPr>
              <w:spacing w:after="0" w:line="20" w:lineRule="exact"/>
              <w:rPr>
                <w:sz w:val="1"/>
                <w:szCs w:val="1"/>
                <w:color w:val="auto"/>
              </w:rPr>
            </w:pPr>
          </w:p>
        </w:tc>
        <w:tc>
          <w:tcPr>
            <w:tcW w:w="740" w:type="dxa"/>
            <w:vAlign w:val="bottom"/>
            <w:gridSpan w:val="3"/>
            <w:vMerge w:val="restart"/>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line="20" w:lineRule="exact"/>
              <w:rPr>
                <w:sz w:val="1"/>
                <w:szCs w:val="1"/>
                <w:color w:val="auto"/>
              </w:rPr>
            </w:pPr>
          </w:p>
        </w:tc>
        <w:tc>
          <w:tcPr>
            <w:tcW w:w="72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line="20" w:lineRule="exact"/>
              <w:rPr>
                <w:sz w:val="1"/>
                <w:szCs w:val="1"/>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line="20" w:lineRule="exact"/>
              <w:rPr>
                <w:sz w:val="1"/>
                <w:szCs w:val="1"/>
                <w:color w:val="auto"/>
              </w:rPr>
            </w:pPr>
          </w:p>
        </w:tc>
        <w:tc>
          <w:tcPr>
            <w:tcW w:w="72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line="20" w:lineRule="exact"/>
              <w:rPr>
                <w:sz w:val="1"/>
                <w:szCs w:val="1"/>
                <w:color w:val="auto"/>
              </w:rPr>
            </w:pP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3"/>
            <w:vMerge w:val="restart"/>
          </w:tcPr>
          <w:p>
            <w:pPr>
              <w:jc w:val="right"/>
              <w:ind w:right="40"/>
              <w:spacing w:after="0"/>
              <w:rPr>
                <w:sz w:val="20"/>
                <w:szCs w:val="20"/>
                <w:color w:val="auto"/>
              </w:rPr>
            </w:pPr>
            <w:r>
              <w:rPr>
                <w:rFonts w:ascii="Arial" w:cs="Arial" w:eastAsia="Arial" w:hAnsi="Arial"/>
                <w:sz w:val="14"/>
                <w:szCs w:val="14"/>
                <w:color w:val="auto"/>
              </w:rPr>
              <w:t>(462)</w:t>
            </w: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1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(435)</w:t>
            </w:r>
          </w:p>
        </w:tc>
        <w:tc>
          <w:tcPr>
            <w:tcW w:w="120" w:type="dxa"/>
            <w:vAlign w:val="bottom"/>
          </w:tcPr>
          <w:p>
            <w:pPr>
              <w:spacing w:after="0"/>
              <w:rPr>
                <w:sz w:val="13"/>
                <w:szCs w:val="13"/>
                <w:color w:val="auto"/>
              </w:rPr>
            </w:pPr>
          </w:p>
        </w:tc>
        <w:tc>
          <w:tcPr>
            <w:tcW w:w="90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(27)</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(462)</w:t>
            </w:r>
          </w:p>
        </w:tc>
        <w:tc>
          <w:tcPr>
            <w:tcW w:w="6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Comprehensive income</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2,346</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60" w:type="dxa"/>
            <w:vAlign w:val="bottom"/>
            <w:gridSpan w:val="2"/>
            <w:vMerge w:val="restart"/>
          </w:tcPr>
          <w:p>
            <w:pPr>
              <w:spacing w:after="0"/>
              <w:rPr>
                <w:sz w:val="20"/>
                <w:szCs w:val="20"/>
                <w:color w:val="auto"/>
              </w:rPr>
            </w:pPr>
            <w:r>
              <w:rPr>
                <w:rFonts w:ascii="Arial" w:cs="Arial" w:eastAsia="Arial" w:hAnsi="Arial"/>
                <w:sz w:val="14"/>
                <w:szCs w:val="14"/>
                <w:color w:val="auto"/>
              </w:rPr>
              <w:t>Effects of adoption of amendments to</w:t>
            </w: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1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40" w:type="dxa"/>
            <w:vAlign w:val="bottom"/>
          </w:tcPr>
          <w:p>
            <w:pPr>
              <w:ind w:left="200"/>
              <w:spacing w:after="0" w:line="159" w:lineRule="exact"/>
              <w:rPr>
                <w:sz w:val="20"/>
                <w:szCs w:val="20"/>
                <w:color w:val="auto"/>
              </w:rPr>
            </w:pPr>
            <w:r>
              <w:rPr>
                <w:rFonts w:ascii="Arial" w:cs="Arial" w:eastAsia="Arial" w:hAnsi="Arial"/>
                <w:sz w:val="14"/>
                <w:szCs w:val="14"/>
                <w:color w:val="auto"/>
              </w:rPr>
              <w:t>ASC 810-10 regarding variable interest entities</w:t>
            </w:r>
          </w:p>
        </w:tc>
        <w:tc>
          <w:tcPr>
            <w:tcW w:w="80" w:type="dxa"/>
            <w:vAlign w:val="bottom"/>
          </w:tcPr>
          <w:p>
            <w:pPr>
              <w:spacing w:after="0"/>
              <w:rPr>
                <w:sz w:val="13"/>
                <w:szCs w:val="13"/>
                <w:color w:val="auto"/>
              </w:rPr>
            </w:pPr>
          </w:p>
        </w:tc>
        <w:tc>
          <w:tcPr>
            <w:tcW w:w="740" w:type="dxa"/>
            <w:vAlign w:val="bottom"/>
            <w:gridSpan w:val="3"/>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2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72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8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12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76</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dividends paid on Series A Preferred Stock</w:t>
            </w: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(405)</w:t>
            </w: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w w:val="94"/>
              </w:rPr>
              <w:t>Dividends declared or paid to noncontrolling interests</w:t>
            </w:r>
          </w:p>
        </w:tc>
        <w:tc>
          <w:tcPr>
            <w:tcW w:w="80" w:type="dxa"/>
            <w:vAlign w:val="bottom"/>
          </w:tcPr>
          <w:p>
            <w:pPr>
              <w:spacing w:after="0"/>
              <w:rPr>
                <w:sz w:val="12"/>
                <w:szCs w:val="12"/>
                <w:color w:val="auto"/>
              </w:rPr>
            </w:pPr>
          </w:p>
        </w:tc>
        <w:tc>
          <w:tcPr>
            <w:tcW w:w="74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noncontrolling interest shares</w:t>
            </w: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80" w:type="dxa"/>
            <w:vAlign w:val="bottom"/>
          </w:tcPr>
          <w:p>
            <w:pPr>
              <w:spacing w:after="0"/>
              <w:rPr>
                <w:sz w:val="12"/>
                <w:szCs w:val="12"/>
                <w:color w:val="auto"/>
              </w:rPr>
            </w:pPr>
          </w:p>
        </w:tc>
        <w:tc>
          <w:tcPr>
            <w:tcW w:w="74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June 30, 2010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9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$ 24,042</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(2,195)</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1,153</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886</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23,901</w:t>
            </w:r>
          </w:p>
        </w:tc>
        <w:tc>
          <w:tcPr>
            <w:tcW w:w="0" w:type="dxa"/>
            <w:vAlign w:val="bottom"/>
          </w:tcPr>
          <w:p>
            <w:pPr>
              <w:spacing w:after="0"/>
              <w:rPr>
                <w:sz w:val="1"/>
                <w:szCs w:val="1"/>
                <w:color w:val="auto"/>
              </w:rPr>
            </w:pPr>
          </w:p>
        </w:tc>
      </w:tr>
      <w:tr>
        <w:trPr>
          <w:trHeight w:val="20"/>
        </w:trPr>
        <w:tc>
          <w:tcPr>
            <w:tcW w:w="3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December 31, 2010</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160" w:type="dxa"/>
            <w:vAlign w:val="bottom"/>
            <w:gridSpan w:val="2"/>
            <w:vMerge w:val="continue"/>
          </w:tcPr>
          <w:p>
            <w:pPr>
              <w:spacing w:after="0"/>
              <w:rPr>
                <w:sz w:val="12"/>
                <w:szCs w:val="12"/>
                <w:color w:val="auto"/>
              </w:rPr>
            </w:pPr>
          </w:p>
        </w:tc>
        <w:tc>
          <w:tcPr>
            <w:tcW w:w="80" w:type="dxa"/>
            <w:vAlign w:val="bottom"/>
          </w:tcPr>
          <w:p>
            <w:pPr>
              <w:spacing w:after="0" w:line="143" w:lineRule="exact"/>
              <w:rPr>
                <w:sz w:val="20"/>
                <w:szCs w:val="20"/>
                <w:color w:val="auto"/>
              </w:rPr>
            </w:pPr>
            <w:r>
              <w:rPr>
                <w:rFonts w:ascii="Arial" w:cs="Arial" w:eastAsia="Arial" w:hAnsi="Arial"/>
                <w:sz w:val="14"/>
                <w:szCs w:val="14"/>
                <w:color w:val="auto"/>
                <w:w w:val="76"/>
              </w:rPr>
              <w:t>$</w:t>
            </w:r>
          </w:p>
        </w:tc>
        <w:tc>
          <w:tcPr>
            <w:tcW w:w="50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5,536</w:t>
            </w:r>
          </w:p>
        </w:tc>
        <w:tc>
          <w:tcPr>
            <w:tcW w:w="240" w:type="dxa"/>
            <w:vAlign w:val="bottom"/>
          </w:tcPr>
          <w:p>
            <w:pPr>
              <w:spacing w:after="0"/>
              <w:rPr>
                <w:sz w:val="12"/>
                <w:szCs w:val="12"/>
                <w:color w:val="auto"/>
              </w:rPr>
            </w:pPr>
          </w:p>
        </w:tc>
        <w:tc>
          <w:tcPr>
            <w:tcW w:w="10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60"/>
              <w:spacing w:after="0" w:line="143" w:lineRule="exact"/>
              <w:rPr>
                <w:sz w:val="20"/>
                <w:szCs w:val="20"/>
                <w:color w:val="auto"/>
              </w:rPr>
            </w:pPr>
            <w:r>
              <w:rPr>
                <w:rFonts w:ascii="Arial" w:cs="Arial" w:eastAsia="Arial" w:hAnsi="Arial"/>
                <w:sz w:val="14"/>
                <w:szCs w:val="14"/>
                <w:color w:val="auto"/>
              </w:rPr>
              <w:t>4,855</w:t>
            </w:r>
          </w:p>
        </w:tc>
        <w:tc>
          <w:tcPr>
            <w:tcW w:w="10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3" w:lineRule="exact"/>
              <w:rPr>
                <w:sz w:val="20"/>
                <w:szCs w:val="20"/>
                <w:color w:val="auto"/>
              </w:rPr>
            </w:pPr>
            <w:r>
              <w:rPr>
                <w:rFonts w:ascii="Arial" w:cs="Arial" w:eastAsia="Arial" w:hAnsi="Arial"/>
                <w:sz w:val="14"/>
                <w:szCs w:val="14"/>
                <w:color w:val="auto"/>
              </w:rPr>
              <w:t>15</w:t>
            </w:r>
          </w:p>
        </w:tc>
        <w:tc>
          <w:tcPr>
            <w:tcW w:w="980" w:type="dxa"/>
            <w:vAlign w:val="bottom"/>
            <w:gridSpan w:val="3"/>
          </w:tcPr>
          <w:p>
            <w:pPr>
              <w:jc w:val="right"/>
              <w:ind w:right="260"/>
              <w:spacing w:after="0" w:line="143" w:lineRule="exact"/>
              <w:rPr>
                <w:sz w:val="20"/>
                <w:szCs w:val="20"/>
                <w:color w:val="auto"/>
              </w:rPr>
            </w:pPr>
            <w:r>
              <w:rPr>
                <w:rFonts w:ascii="Arial" w:cs="Arial" w:eastAsia="Arial" w:hAnsi="Arial"/>
                <w:sz w:val="14"/>
                <w:szCs w:val="14"/>
                <w:color w:val="auto"/>
              </w:rPr>
              <w:t>$ 24,257</w:t>
            </w:r>
          </w:p>
        </w:tc>
        <w:tc>
          <w:tcPr>
            <w:tcW w:w="10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3" w:lineRule="exact"/>
              <w:rPr>
                <w:sz w:val="20"/>
                <w:szCs w:val="20"/>
                <w:color w:val="auto"/>
              </w:rPr>
            </w:pPr>
            <w:r>
              <w:rPr>
                <w:rFonts w:ascii="Arial" w:cs="Arial" w:eastAsia="Arial" w:hAnsi="Arial"/>
                <w:sz w:val="14"/>
                <w:szCs w:val="14"/>
                <w:color w:val="auto"/>
              </w:rPr>
              <w:t>266</w:t>
            </w:r>
          </w:p>
        </w:tc>
        <w:tc>
          <w:tcPr>
            <w:tcW w:w="28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line="143" w:lineRule="exact"/>
              <w:rPr>
                <w:sz w:val="20"/>
                <w:szCs w:val="20"/>
                <w:color w:val="auto"/>
              </w:rPr>
            </w:pPr>
            <w:r>
              <w:rPr>
                <w:rFonts w:ascii="Arial" w:cs="Arial" w:eastAsia="Arial" w:hAnsi="Arial"/>
                <w:sz w:val="14"/>
                <w:szCs w:val="14"/>
                <w:color w:val="auto"/>
              </w:rPr>
              <w:t>1,251</w:t>
            </w:r>
          </w:p>
        </w:tc>
        <w:tc>
          <w:tcPr>
            <w:tcW w:w="280" w:type="dxa"/>
            <w:vAlign w:val="bottom"/>
          </w:tcPr>
          <w:p>
            <w:pPr>
              <w:spacing w:after="0"/>
              <w:rPr>
                <w:sz w:val="12"/>
                <w:szCs w:val="12"/>
                <w:color w:val="auto"/>
              </w:rPr>
            </w:pPr>
          </w:p>
        </w:tc>
        <w:tc>
          <w:tcPr>
            <w:tcW w:w="12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rPr>
              <w:t>979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3"/>
          </w:tcPr>
          <w:p>
            <w:pPr>
              <w:jc w:val="right"/>
              <w:ind w:right="80"/>
              <w:spacing w:after="0" w:line="143" w:lineRule="exact"/>
              <w:rPr>
                <w:sz w:val="20"/>
                <w:szCs w:val="20"/>
                <w:color w:val="auto"/>
              </w:rPr>
            </w:pPr>
            <w:r>
              <w:rPr>
                <w:rFonts w:ascii="Arial" w:cs="Arial" w:eastAsia="Arial" w:hAnsi="Arial"/>
                <w:sz w:val="14"/>
                <w:szCs w:val="14"/>
                <w:color w:val="auto"/>
              </w:rPr>
              <w:t>$37,159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9"/>
              </w:rPr>
              <w:t>Effect of adoption of amendments in ASU 2010-28</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regarding goodwill impairment (Notes 2 and 9)</w:t>
            </w:r>
          </w:p>
        </w:tc>
        <w:tc>
          <w:tcPr>
            <w:tcW w:w="8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(1,466)</w:t>
            </w:r>
          </w:p>
        </w:tc>
        <w:tc>
          <w:tcPr>
            <w:tcW w:w="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(1,466)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80" w:type="dxa"/>
            <w:vAlign w:val="bottom"/>
          </w:tcPr>
          <w:p>
            <w:pPr>
              <w:spacing w:after="0"/>
              <w:rPr>
                <w:sz w:val="12"/>
                <w:szCs w:val="12"/>
                <w:color w:val="auto"/>
              </w:rPr>
            </w:pPr>
          </w:p>
        </w:tc>
        <w:tc>
          <w:tcPr>
            <w:tcW w:w="74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6,358</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90</w:t>
            </w:r>
          </w:p>
        </w:tc>
        <w:tc>
          <w:tcPr>
            <w:tcW w:w="2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6,448</w:t>
            </w:r>
          </w:p>
        </w:tc>
        <w:tc>
          <w:tcPr>
            <w:tcW w:w="6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6,448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rPr>
              <w:t>Other comprehensive income (loss)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ind w:left="420"/>
              <w:spacing w:after="0" w:line="149" w:lineRule="exact"/>
              <w:rPr>
                <w:sz w:val="20"/>
                <w:szCs w:val="20"/>
                <w:color w:val="auto"/>
              </w:rPr>
            </w:pPr>
            <w:r>
              <w:rPr>
                <w:rFonts w:ascii="Arial" w:cs="Arial" w:eastAsia="Arial" w:hAnsi="Arial"/>
                <w:sz w:val="14"/>
                <w:szCs w:val="14"/>
                <w:color w:val="auto"/>
              </w:rPr>
              <w:t>Foreign currency translation adjustments</w:t>
            </w:r>
          </w:p>
        </w:tc>
        <w:tc>
          <w:tcPr>
            <w:tcW w:w="80" w:type="dxa"/>
            <w:vAlign w:val="bottom"/>
          </w:tcPr>
          <w:p>
            <w:pPr>
              <w:spacing w:after="0"/>
              <w:rPr>
                <w:sz w:val="12"/>
                <w:szCs w:val="12"/>
                <w:color w:val="auto"/>
              </w:rPr>
            </w:pPr>
          </w:p>
        </w:tc>
        <w:tc>
          <w:tcPr>
            <w:tcW w:w="74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98</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113</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Cash flow hedging gains, net</w:t>
            </w: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ind w:left="420"/>
              <w:spacing w:after="0" w:line="149" w:lineRule="exact"/>
              <w:rPr>
                <w:sz w:val="20"/>
                <w:szCs w:val="20"/>
                <w:color w:val="auto"/>
              </w:rPr>
            </w:pPr>
            <w:r>
              <w:rPr>
                <w:rFonts w:ascii="Arial" w:cs="Arial" w:eastAsia="Arial" w:hAnsi="Arial"/>
                <w:sz w:val="14"/>
                <w:szCs w:val="14"/>
                <w:color w:val="auto"/>
              </w:rPr>
              <w:t>Unrealized gain on securities</w:t>
            </w:r>
          </w:p>
        </w:tc>
        <w:tc>
          <w:tcPr>
            <w:tcW w:w="80" w:type="dxa"/>
            <w:vAlign w:val="bottom"/>
          </w:tcPr>
          <w:p>
            <w:pPr>
              <w:spacing w:after="0"/>
              <w:rPr>
                <w:sz w:val="12"/>
                <w:szCs w:val="12"/>
                <w:color w:val="auto"/>
              </w:rPr>
            </w:pPr>
          </w:p>
        </w:tc>
        <w:tc>
          <w:tcPr>
            <w:tcW w:w="74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Defined benefit plans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ind w:left="640"/>
              <w:spacing w:after="0" w:line="149" w:lineRule="exact"/>
              <w:rPr>
                <w:sz w:val="20"/>
                <w:szCs w:val="20"/>
                <w:color w:val="auto"/>
              </w:rPr>
            </w:pPr>
            <w:r>
              <w:rPr>
                <w:rFonts w:ascii="Arial" w:cs="Arial" w:eastAsia="Arial" w:hAnsi="Arial"/>
                <w:sz w:val="14"/>
                <w:szCs w:val="14"/>
                <w:color w:val="auto"/>
              </w:rPr>
              <w:t>Net prior service credit</w:t>
            </w:r>
          </w:p>
        </w:tc>
        <w:tc>
          <w:tcPr>
            <w:tcW w:w="80" w:type="dxa"/>
            <w:vAlign w:val="bottom"/>
          </w:tcPr>
          <w:p>
            <w:pPr>
              <w:spacing w:after="0"/>
              <w:rPr>
                <w:sz w:val="12"/>
                <w:szCs w:val="12"/>
                <w:color w:val="auto"/>
              </w:rPr>
            </w:pPr>
          </w:p>
        </w:tc>
        <w:tc>
          <w:tcPr>
            <w:tcW w:w="74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18</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Net actuarial gain</w:t>
            </w: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235</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235</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ind w:left="420"/>
              <w:spacing w:after="0" w:line="149" w:lineRule="exact"/>
              <w:rPr>
                <w:sz w:val="20"/>
                <w:szCs w:val="20"/>
                <w:color w:val="auto"/>
              </w:rPr>
            </w:pPr>
            <w:r>
              <w:rPr>
                <w:rFonts w:ascii="Arial" w:cs="Arial" w:eastAsia="Arial" w:hAnsi="Arial"/>
                <w:sz w:val="14"/>
                <w:szCs w:val="14"/>
                <w:color w:val="auto"/>
              </w:rPr>
              <w:t>Sale of interest in nonconsolidated affiliate</w:t>
            </w:r>
          </w:p>
        </w:tc>
        <w:tc>
          <w:tcPr>
            <w:tcW w:w="80" w:type="dxa"/>
            <w:vAlign w:val="bottom"/>
          </w:tcPr>
          <w:p>
            <w:pPr>
              <w:spacing w:after="0"/>
              <w:rPr>
                <w:sz w:val="12"/>
                <w:szCs w:val="12"/>
                <w:color w:val="auto"/>
              </w:rPr>
            </w:pPr>
          </w:p>
        </w:tc>
        <w:tc>
          <w:tcPr>
            <w:tcW w:w="74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(42)</w:t>
            </w:r>
          </w:p>
        </w:tc>
        <w:tc>
          <w:tcPr>
            <w:tcW w:w="12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(42)</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comprehensive income</w:t>
            </w: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327</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342</w:t>
            </w:r>
          </w:p>
        </w:tc>
        <w:tc>
          <w:tcPr>
            <w:tcW w:w="6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vMerge w:val="restart"/>
          </w:tcPr>
          <w:p>
            <w:pPr>
              <w:ind w:left="640"/>
              <w:spacing w:after="0"/>
              <w:rPr>
                <w:sz w:val="20"/>
                <w:szCs w:val="20"/>
                <w:color w:val="auto"/>
              </w:rPr>
            </w:pPr>
            <w:r>
              <w:rPr>
                <w:rFonts w:ascii="Arial" w:cs="Arial" w:eastAsia="Arial" w:hAnsi="Arial"/>
                <w:sz w:val="14"/>
                <w:szCs w:val="14"/>
                <w:color w:val="auto"/>
              </w:rPr>
              <w:t>Comprehensive income</w:t>
            </w: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1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gridSpan w:val="2"/>
          </w:tcPr>
          <w:p>
            <w:pPr>
              <w:ind w:left="120"/>
              <w:spacing w:after="0" w:line="155"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6,790</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1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Purchase of noncontrolling interest shares</w:t>
            </w: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260"/>
              <w:spacing w:after="0" w:line="143"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260"/>
              <w:spacing w:after="0" w:line="143" w:lineRule="exact"/>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3"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line="143" w:lineRule="exact"/>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(134)</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Exercise of common stock warrants</w:t>
            </w:r>
          </w:p>
        </w:tc>
        <w:tc>
          <w:tcPr>
            <w:tcW w:w="80" w:type="dxa"/>
            <w:vAlign w:val="bottom"/>
          </w:tcPr>
          <w:p>
            <w:pPr>
              <w:spacing w:after="0"/>
              <w:rPr>
                <w:sz w:val="12"/>
                <w:szCs w:val="12"/>
                <w:color w:val="auto"/>
              </w:rPr>
            </w:pPr>
          </w:p>
        </w:tc>
        <w:tc>
          <w:tcPr>
            <w:tcW w:w="74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7</w:t>
            </w:r>
          </w:p>
        </w:tc>
        <w:tc>
          <w:tcPr>
            <w:tcW w:w="10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based compensation</w:t>
            </w: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40" w:type="dxa"/>
            <w:vAlign w:val="bottom"/>
          </w:tcPr>
          <w:p>
            <w:pPr>
              <w:spacing w:after="0" w:line="138" w:lineRule="exact"/>
              <w:rPr>
                <w:sz w:val="20"/>
                <w:szCs w:val="20"/>
                <w:color w:val="auto"/>
              </w:rPr>
            </w:pPr>
            <w:r>
              <w:rPr>
                <w:rFonts w:ascii="Arial" w:cs="Arial" w:eastAsia="Arial" w:hAnsi="Arial"/>
                <w:sz w:val="14"/>
                <w:szCs w:val="14"/>
                <w:color w:val="auto"/>
              </w:rPr>
              <w:t>Cash dividends on Series A Preferred Stock and</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40" w:type="dxa"/>
            <w:vAlign w:val="bottom"/>
          </w:tcPr>
          <w:p>
            <w:pPr>
              <w:ind w:left="200"/>
              <w:spacing w:after="0" w:line="159" w:lineRule="exact"/>
              <w:rPr>
                <w:sz w:val="20"/>
                <w:szCs w:val="20"/>
                <w:color w:val="auto"/>
              </w:rPr>
            </w:pPr>
            <w:r>
              <w:rPr>
                <w:rFonts w:ascii="Arial" w:cs="Arial" w:eastAsia="Arial" w:hAnsi="Arial"/>
                <w:sz w:val="14"/>
                <w:szCs w:val="14"/>
                <w:color w:val="auto"/>
                <w:w w:val="94"/>
              </w:rPr>
              <w:t>cumulative dividends on Series B Preferred Stock</w:t>
            </w:r>
          </w:p>
        </w:tc>
        <w:tc>
          <w:tcPr>
            <w:tcW w:w="80" w:type="dxa"/>
            <w:vAlign w:val="bottom"/>
          </w:tcPr>
          <w:p>
            <w:pPr>
              <w:spacing w:after="0"/>
              <w:rPr>
                <w:sz w:val="13"/>
                <w:szCs w:val="13"/>
                <w:color w:val="auto"/>
              </w:rPr>
            </w:pPr>
          </w:p>
        </w:tc>
        <w:tc>
          <w:tcPr>
            <w:tcW w:w="740" w:type="dxa"/>
            <w:vAlign w:val="bottom"/>
            <w:gridSpan w:val="3"/>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2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72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(429)</w:t>
            </w:r>
          </w:p>
        </w:tc>
        <w:tc>
          <w:tcPr>
            <w:tcW w:w="60" w:type="dxa"/>
            <w:vAlign w:val="bottom"/>
          </w:tcPr>
          <w:p>
            <w:pPr>
              <w:spacing w:after="0"/>
              <w:rPr>
                <w:sz w:val="13"/>
                <w:szCs w:val="13"/>
                <w:color w:val="auto"/>
              </w:rPr>
            </w:pPr>
          </w:p>
        </w:tc>
        <w:tc>
          <w:tcPr>
            <w:tcW w:w="112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(429)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Dividends declared or paid to noncontrolling interests</w:t>
            </w: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Deconsolidation of noncontrolling interest shares</w:t>
            </w:r>
          </w:p>
        </w:tc>
        <w:tc>
          <w:tcPr>
            <w:tcW w:w="80" w:type="dxa"/>
            <w:vAlign w:val="bottom"/>
          </w:tcPr>
          <w:p>
            <w:pPr>
              <w:spacing w:after="0"/>
              <w:rPr>
                <w:sz w:val="12"/>
                <w:szCs w:val="12"/>
                <w:color w:val="auto"/>
              </w:rPr>
            </w:pPr>
          </w:p>
        </w:tc>
        <w:tc>
          <w:tcPr>
            <w:tcW w:w="74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
        </w:trPr>
        <w:tc>
          <w:tcPr>
            <w:tcW w:w="3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June 30, 2011</w:t>
            </w: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160" w:type="dxa"/>
            <w:vAlign w:val="bottom"/>
            <w:gridSpan w:val="2"/>
            <w:vMerge w:val="continue"/>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5,536</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4,855</w:t>
            </w: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15</w:t>
            </w:r>
          </w:p>
        </w:tc>
        <w:tc>
          <w:tcPr>
            <w:tcW w:w="980" w:type="dxa"/>
            <w:vAlign w:val="bottom"/>
            <w:gridSpan w:val="3"/>
          </w:tcPr>
          <w:p>
            <w:pPr>
              <w:jc w:val="right"/>
              <w:ind w:right="260"/>
              <w:spacing w:after="0" w:line="155" w:lineRule="exact"/>
              <w:rPr>
                <w:sz w:val="20"/>
                <w:szCs w:val="20"/>
                <w:color w:val="auto"/>
              </w:rPr>
            </w:pPr>
            <w:r>
              <w:rPr>
                <w:rFonts w:ascii="Arial" w:cs="Arial" w:eastAsia="Arial" w:hAnsi="Arial"/>
                <w:sz w:val="14"/>
                <w:szCs w:val="14"/>
                <w:color w:val="auto"/>
              </w:rPr>
              <w:t>$ 24,412</w:t>
            </w: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4,729</w:t>
            </w:r>
          </w:p>
        </w:tc>
        <w:tc>
          <w:tcPr>
            <w:tcW w:w="280" w:type="dxa"/>
            <w:vAlign w:val="bottom"/>
          </w:tcPr>
          <w:p>
            <w:pPr>
              <w:spacing w:after="0"/>
              <w:rPr>
                <w:sz w:val="13"/>
                <w:szCs w:val="13"/>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1,571</w:t>
            </w:r>
          </w:p>
        </w:tc>
        <w:tc>
          <w:tcPr>
            <w:tcW w:w="280" w:type="dxa"/>
            <w:vAlign w:val="bottom"/>
          </w:tcPr>
          <w:p>
            <w:pPr>
              <w:spacing w:after="0"/>
              <w:rPr>
                <w:sz w:val="13"/>
                <w:szCs w:val="13"/>
                <w:color w:val="auto"/>
              </w:rPr>
            </w:pP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914</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3"/>
          </w:tcPr>
          <w:p>
            <w:pPr>
              <w:jc w:val="right"/>
              <w:ind w:right="80"/>
              <w:spacing w:after="0" w:line="155"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42,032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6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 — Automotive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40" w:type="dxa"/>
            <w:vAlign w:val="bottom"/>
          </w:tcPr>
          <w:p>
            <w:pPr>
              <w:spacing w:after="0"/>
              <w:rPr>
                <w:sz w:val="20"/>
                <w:szCs w:val="20"/>
                <w:color w:val="auto"/>
              </w:rPr>
            </w:pPr>
            <w:r>
              <w:rPr>
                <w:rFonts w:ascii="Arial" w:cs="Arial" w:eastAsia="Arial" w:hAnsi="Arial"/>
                <w:sz w:val="18"/>
                <w:szCs w:val="18"/>
                <w:b w:val="1"/>
                <w:bCs w:val="1"/>
                <w:color w:val="auto"/>
              </w:rPr>
              <w:t>Net cash provided by operating activities — GM Financial</w:t>
            </w: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Expenditures for property</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(2,494)</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200"/>
              <w:spacing w:after="0"/>
              <w:rPr>
                <w:sz w:val="20"/>
                <w:szCs w:val="20"/>
                <w:color w:val="auto"/>
              </w:rPr>
            </w:pPr>
            <w:r>
              <w:rPr>
                <w:rFonts w:ascii="Arial" w:cs="Arial" w:eastAsia="Arial" w:hAnsi="Arial"/>
                <w:sz w:val="18"/>
                <w:szCs w:val="18"/>
                <w:color w:val="auto"/>
              </w:rPr>
              <w:t>Available-for-sale marketable securities, acquisitions</w:t>
            </w:r>
          </w:p>
        </w:tc>
        <w:tc>
          <w:tcPr>
            <w:tcW w:w="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(12,993)</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(4,621)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Trading marketable securities, acquisitions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(258)</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200"/>
              <w:spacing w:after="0"/>
              <w:rPr>
                <w:sz w:val="20"/>
                <w:szCs w:val="20"/>
                <w:color w:val="auto"/>
              </w:rPr>
            </w:pPr>
            <w:r>
              <w:rPr>
                <w:rFonts w:ascii="Arial" w:cs="Arial" w:eastAsia="Arial" w:hAnsi="Arial"/>
                <w:sz w:val="18"/>
                <w:szCs w:val="18"/>
                <w:color w:val="auto"/>
              </w:rPr>
              <w:t>Available-for-sale marketable securities, liquidations</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6,288</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Trading marketable securities, liquidations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200"/>
              <w:spacing w:after="0"/>
              <w:rPr>
                <w:sz w:val="20"/>
                <w:szCs w:val="20"/>
                <w:color w:val="auto"/>
              </w:rPr>
            </w:pPr>
            <w:r>
              <w:rPr>
                <w:rFonts w:ascii="Arial" w:cs="Arial" w:eastAsia="Arial" w:hAnsi="Arial"/>
                <w:sz w:val="18"/>
                <w:szCs w:val="18"/>
                <w:color w:val="auto"/>
              </w:rPr>
              <w:t>Acquisition of companies, net of cash acquired</w:t>
            </w:r>
          </w:p>
        </w:tc>
        <w:tc>
          <w:tcPr>
            <w:tcW w:w="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leases, liquidations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200"/>
              <w:spacing w:after="0"/>
              <w:rPr>
                <w:sz w:val="20"/>
                <w:szCs w:val="20"/>
                <w:color w:val="auto"/>
              </w:rPr>
            </w:pPr>
            <w:r>
              <w:rPr>
                <w:rFonts w:ascii="Arial" w:cs="Arial" w:eastAsia="Arial" w:hAnsi="Arial"/>
                <w:sz w:val="18"/>
                <w:szCs w:val="18"/>
                <w:color w:val="auto"/>
              </w:rPr>
              <w:t>Proceeds from sale of business units/investments, net</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4,778</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in restricted cash and marketable securities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200"/>
              <w:spacing w:after="0"/>
              <w:rPr>
                <w:sz w:val="20"/>
                <w:szCs w:val="20"/>
                <w:color w:val="auto"/>
              </w:rPr>
            </w:pPr>
            <w:r>
              <w:rPr>
                <w:rFonts w:ascii="Arial" w:cs="Arial" w:eastAsia="Arial" w:hAnsi="Arial"/>
                <w:sz w:val="18"/>
                <w:szCs w:val="18"/>
                <w:color w:val="auto"/>
              </w:rPr>
              <w:t>Decrease in restricted cash and marketable securities</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362</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13,260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investing activities</w:t>
            </w: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6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(used in) investing activities — Automotive</w:t>
            </w:r>
          </w:p>
        </w:tc>
        <w:tc>
          <w:tcPr>
            <w:tcW w:w="8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(4,211)</w:t>
            </w: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6,410</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9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receivables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(2,444)</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200"/>
              <w:spacing w:after="0"/>
              <w:rPr>
                <w:sz w:val="20"/>
                <w:szCs w:val="20"/>
                <w:color w:val="auto"/>
              </w:rPr>
            </w:pPr>
            <w:r>
              <w:rPr>
                <w:rFonts w:ascii="Arial" w:cs="Arial" w:eastAsia="Arial" w:hAnsi="Arial"/>
                <w:sz w:val="18"/>
                <w:szCs w:val="18"/>
                <w:color w:val="auto"/>
              </w:rPr>
              <w:t>Principal collections and recoveries on receivables</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1,880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investing activities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(412)</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used in investing activities — GM Financial</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6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(976)</w:t>
            </w: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(5,187)</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increase (decrease) in short-term debt</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200"/>
              <w:spacing w:after="0"/>
              <w:rPr>
                <w:sz w:val="20"/>
                <w:szCs w:val="20"/>
                <w:color w:val="auto"/>
              </w:rPr>
            </w:pPr>
            <w:r>
              <w:rPr>
                <w:rFonts w:ascii="Arial" w:cs="Arial" w:eastAsia="Arial" w:hAnsi="Arial"/>
                <w:sz w:val="18"/>
                <w:szCs w:val="18"/>
                <w:color w:val="auto"/>
              </w:rPr>
              <w:t>Proceeds from issuance of debt (original maturities greater than three months)</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274</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on debt (original maturities greater than three months)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(866)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(7,591)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200"/>
              <w:spacing w:after="0"/>
              <w:rPr>
                <w:sz w:val="20"/>
                <w:szCs w:val="20"/>
                <w:color w:val="auto"/>
              </w:rPr>
            </w:pPr>
            <w:r>
              <w:rPr>
                <w:rFonts w:ascii="Arial" w:cs="Arial" w:eastAsia="Arial" w:hAnsi="Arial"/>
                <w:sz w:val="18"/>
                <w:szCs w:val="18"/>
                <w:color w:val="auto"/>
              </w:rPr>
              <w:t>Payments to acquire noncontrolling interest</w:t>
            </w:r>
          </w:p>
        </w:tc>
        <w:tc>
          <w:tcPr>
            <w:tcW w:w="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 paid</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(435)</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200"/>
              <w:spacing w:after="0"/>
              <w:rPr>
                <w:sz w:val="20"/>
                <w:szCs w:val="20"/>
                <w:color w:val="auto"/>
              </w:rPr>
            </w:pPr>
            <w:r>
              <w:rPr>
                <w:rFonts w:ascii="Arial" w:cs="Arial" w:eastAsia="Arial" w:hAnsi="Arial"/>
                <w:sz w:val="18"/>
                <w:szCs w:val="18"/>
                <w:color w:val="auto"/>
              </w:rPr>
              <w:t>Other financing activities</w:t>
            </w:r>
          </w:p>
        </w:tc>
        <w:tc>
          <w:tcPr>
            <w:tcW w:w="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 — Automotive</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(933)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(7,791)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40" w:type="dxa"/>
            <w:vAlign w:val="bottom"/>
          </w:tcPr>
          <w:p>
            <w:pPr>
              <w:ind w:left="200"/>
              <w:spacing w:after="0"/>
              <w:rPr>
                <w:sz w:val="20"/>
                <w:szCs w:val="20"/>
                <w:color w:val="auto"/>
              </w:rPr>
            </w:pPr>
            <w:r>
              <w:rPr>
                <w:rFonts w:ascii="Arial" w:cs="Arial" w:eastAsia="Arial" w:hAnsi="Arial"/>
                <w:sz w:val="18"/>
                <w:szCs w:val="18"/>
                <w:color w:val="auto"/>
              </w:rPr>
              <w:t>Proceeds from issuance of debt (original maturities greater than three months)</w:t>
            </w: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4,871</w:t>
            </w: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on debt (original maturities greater than three months)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(3,983)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40" w:type="dxa"/>
            <w:vAlign w:val="bottom"/>
          </w:tcPr>
          <w:p>
            <w:pPr>
              <w:ind w:left="200"/>
              <w:spacing w:after="0"/>
              <w:rPr>
                <w:sz w:val="20"/>
                <w:szCs w:val="20"/>
                <w:color w:val="auto"/>
              </w:rPr>
            </w:pPr>
            <w:r>
              <w:rPr>
                <w:rFonts w:ascii="Arial" w:cs="Arial" w:eastAsia="Arial" w:hAnsi="Arial"/>
                <w:sz w:val="18"/>
                <w:szCs w:val="18"/>
                <w:color w:val="auto"/>
              </w:rPr>
              <w:t>Other financing activities</w:t>
            </w:r>
          </w:p>
        </w:tc>
        <w:tc>
          <w:tcPr>
            <w:tcW w:w="8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 — GM Financial</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6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8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(7,791)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Effect of exchange rate changes on cash and cash equivalents — GM Financial</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40" w:type="dxa"/>
            <w:vAlign w:val="bottom"/>
          </w:tcPr>
          <w:p>
            <w:pPr>
              <w:ind w:left="200"/>
              <w:spacing w:after="0"/>
              <w:rPr>
                <w:sz w:val="20"/>
                <w:szCs w:val="20"/>
                <w:color w:val="auto"/>
              </w:rPr>
            </w:pPr>
            <w:r>
              <w:rPr>
                <w:rFonts w:ascii="Arial" w:cs="Arial" w:eastAsia="Arial" w:hAnsi="Arial"/>
                <w:sz w:val="18"/>
                <w:szCs w:val="18"/>
                <w:color w:val="auto"/>
              </w:rPr>
              <w:t>Net transactions with Automotive</w:t>
            </w: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increase in cash and cash equivalents — GM Financial</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Cash and cash equivalents at beginning of period — GM Financial</w:t>
            </w: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 — GM Financial</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Effect of exchange rate changes on cash and cash equivalents — Automotive</w:t>
            </w: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60" w:type="dxa"/>
            <w:vAlign w:val="bottom"/>
            <w:gridSpan w:val="2"/>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322</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transactions with GM Financial</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40" w:type="dxa"/>
            <w:vAlign w:val="bottom"/>
            <w:vMerge w:val="restart"/>
          </w:tcPr>
          <w:p>
            <w:pPr>
              <w:ind w:left="200"/>
              <w:spacing w:after="0"/>
              <w:rPr>
                <w:sz w:val="20"/>
                <w:szCs w:val="20"/>
                <w:color w:val="auto"/>
              </w:rPr>
            </w:pPr>
            <w:r>
              <w:rPr>
                <w:rFonts w:ascii="Arial" w:cs="Arial" w:eastAsia="Arial" w:hAnsi="Arial"/>
                <w:sz w:val="18"/>
                <w:szCs w:val="18"/>
                <w:color w:val="auto"/>
              </w:rPr>
              <w:t>Net increase (decrease) in cash and cash equivalents — Automotive</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6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(590)</w:t>
            </w: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3,703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 reclassified as assets held for sale — Automotive</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Cash and cash equivalents at beginning of period — Automotive</w:t>
            </w: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21,061</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22,679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 — Automotive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20,471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26,773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the condensed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459"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w:t>
      </w:r>
    </w:p>
    <w:p>
      <w:pPr>
        <w:spacing w:after="0" w:line="177" w:lineRule="exact"/>
        <w:rPr>
          <w:sz w:val="20"/>
          <w:szCs w:val="20"/>
          <w:color w:val="auto"/>
        </w:rPr>
      </w:pPr>
    </w:p>
    <w:p>
      <w:pPr>
        <w:ind w:firstLine="228"/>
        <w:spacing w:after="0" w:line="294" w:lineRule="auto"/>
        <w:rPr>
          <w:sz w:val="20"/>
          <w:szCs w:val="20"/>
          <w:color w:val="auto"/>
        </w:rPr>
      </w:pPr>
      <w:r>
        <w:rPr>
          <w:rFonts w:ascii="Arial" w:cs="Arial" w:eastAsia="Arial" w:hAnsi="Arial"/>
          <w:sz w:val="16"/>
          <w:szCs w:val="16"/>
          <w:color w:val="auto"/>
        </w:rPr>
        <w:t>General Motors Company is sometimes referred to in this Quarterly Report on Form 10-Q as “we,” “our,” “us,” “ourselves,” the “Company,” “General Motors” or “GM.” General Motors Corporation is sometimes referred to in this Quarterly Report on Form 10-Q, for the periods on or before July 9, 2009, as “Old GM.” On July 10, 2009 in connection with the 363 Sale relating to Old GM’s Chapter 11 bankruptcy proceedings, General Motors Corporation changed its name to Motors Liquidation Company, which is sometimes referred to in this Quarterly Report on Form 10-Q for the periods after July 10, 2009 as “MLC.” MLC continues to exist as a distinct legal entity for the sole purpose of liquidating its remaining assets and liabilities.</w:t>
      </w:r>
    </w:p>
    <w:p>
      <w:pPr>
        <w:spacing w:after="0" w:line="116" w:lineRule="exact"/>
        <w:rPr>
          <w:sz w:val="20"/>
          <w:szCs w:val="20"/>
          <w:color w:val="auto"/>
        </w:rPr>
      </w:pPr>
    </w:p>
    <w:p>
      <w:pPr>
        <w:ind w:right="600" w:firstLine="228"/>
        <w:spacing w:after="0" w:line="332" w:lineRule="auto"/>
        <w:rPr>
          <w:sz w:val="20"/>
          <w:szCs w:val="20"/>
          <w:color w:val="auto"/>
        </w:rPr>
      </w:pPr>
      <w:r>
        <w:rPr>
          <w:rFonts w:ascii="Arial" w:cs="Arial" w:eastAsia="Arial" w:hAnsi="Arial"/>
          <w:sz w:val="16"/>
          <w:szCs w:val="16"/>
          <w:color w:val="auto"/>
        </w:rPr>
        <w:t>We design, build and sell cars, trucks and parts worldwide. We also conduct finance operations through General Motors Financial Company, Inc. (GM Financial). These financing operations consist principally of financing automobile purchases and leases for retail customers.</w:t>
      </w:r>
    </w:p>
    <w:p>
      <w:pPr>
        <w:spacing w:after="0" w:line="85" w:lineRule="exact"/>
        <w:rPr>
          <w:sz w:val="20"/>
          <w:szCs w:val="20"/>
          <w:color w:val="auto"/>
        </w:rPr>
      </w:pPr>
    </w:p>
    <w:p>
      <w:pPr>
        <w:ind w:right="60" w:firstLine="228"/>
        <w:spacing w:after="0" w:line="256" w:lineRule="auto"/>
        <w:rPr>
          <w:sz w:val="20"/>
          <w:szCs w:val="20"/>
          <w:color w:val="auto"/>
        </w:rPr>
      </w:pPr>
      <w:r>
        <w:rPr>
          <w:rFonts w:ascii="Arial" w:cs="Arial" w:eastAsia="Arial" w:hAnsi="Arial"/>
          <w:sz w:val="18"/>
          <w:szCs w:val="18"/>
          <w:color w:val="auto"/>
        </w:rPr>
        <w:t>We analyze the results of our business through our five segments: GM North America (GMNA), GM Europe (GME), GM International Operations (GMIO), GM South America (GMSA) and GM Financial. Nonsegment operations are classified as Corporate. Corporate includes investments in Ally Financial, Inc. (Ally Financial), certain centrally recorded income and costs, such as interest, income taxes and corporate expenditures and certain nonsegment specific revenues and expenses.</w:t>
      </w:r>
    </w:p>
    <w:p>
      <w:pPr>
        <w:spacing w:after="0" w:line="143" w:lineRule="exact"/>
        <w:rPr>
          <w:sz w:val="20"/>
          <w:szCs w:val="20"/>
          <w:color w:val="auto"/>
        </w:rPr>
      </w:pPr>
    </w:p>
    <w:p>
      <w:pPr>
        <w:ind w:right="40" w:firstLine="228"/>
        <w:spacing w:after="0" w:line="259" w:lineRule="auto"/>
        <w:rPr>
          <w:sz w:val="20"/>
          <w:szCs w:val="20"/>
          <w:color w:val="auto"/>
        </w:rPr>
      </w:pPr>
      <w:r>
        <w:rPr>
          <w:rFonts w:ascii="Arial" w:cs="Arial" w:eastAsia="Arial" w:hAnsi="Arial"/>
          <w:sz w:val="18"/>
          <w:szCs w:val="18"/>
          <w:color w:val="auto"/>
        </w:rPr>
        <w:t>We own a 9.9% equity interest in Ally Financial, which is accounted for as a cost method investment because we are not able to exercise significant influence. Ally Financial provides a broad range of financial services, including consumer vehicle financing, automotive dealership and other commercial financing, residential mortgage services and automobile service contracts.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Recent Accounting Standards</w:t>
      </w:r>
    </w:p>
    <w:p>
      <w:pPr>
        <w:spacing w:after="0" w:line="177" w:lineRule="exact"/>
        <w:rPr>
          <w:sz w:val="20"/>
          <w:szCs w:val="20"/>
          <w:color w:val="auto"/>
        </w:rPr>
      </w:pPr>
    </w:p>
    <w:p>
      <w:pPr>
        <w:ind w:right="20" w:firstLine="228"/>
        <w:spacing w:after="0" w:line="290" w:lineRule="auto"/>
        <w:rPr>
          <w:sz w:val="20"/>
          <w:szCs w:val="20"/>
          <w:color w:val="auto"/>
        </w:rPr>
      </w:pPr>
      <w:r>
        <w:rPr>
          <w:rFonts w:ascii="Arial" w:cs="Arial" w:eastAsia="Arial" w:hAnsi="Arial"/>
          <w:sz w:val="16"/>
          <w:szCs w:val="16"/>
          <w:color w:val="auto"/>
        </w:rPr>
        <w:t>The accompanying condensed consolidated financial statements have been prepared pursuant to the rules and regulations of the Securities and Exchange Commission (SEC) for interim financial information. Accordingly, they do not include all of the information and footnotes required by U.S. GAAP for complete financial statements. The accompanying condensed consolidated financial statements include all adjustments, composed of normal recurring adjustments, considered necessary by management to fairly state our results of operations, financial position and cash flows. The operating results for interim periods are not necessarily indicative of results that may be expected for any other interim period or for the full year. These condensed consolidated financial statements should be read in conjunction with the consolidated financial statements and notes thereto included in our Annual Report on Form 10-K for the year ended December 31, 2010 (2010 Form 10-K) as filed with the SEC.</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77" w:lineRule="exact"/>
        <w:rPr>
          <w:sz w:val="20"/>
          <w:szCs w:val="20"/>
          <w:color w:val="auto"/>
        </w:rPr>
      </w:pPr>
    </w:p>
    <w:p>
      <w:pPr>
        <w:ind w:right="100" w:firstLine="228"/>
        <w:spacing w:after="0" w:line="291" w:lineRule="auto"/>
        <w:rPr>
          <w:sz w:val="20"/>
          <w:szCs w:val="20"/>
          <w:color w:val="auto"/>
        </w:rPr>
      </w:pPr>
      <w:r>
        <w:rPr>
          <w:rFonts w:ascii="Arial" w:cs="Arial" w:eastAsia="Arial" w:hAnsi="Arial"/>
          <w:sz w:val="16"/>
          <w:szCs w:val="16"/>
          <w:color w:val="auto"/>
        </w:rPr>
        <w:t>The condensed consolidated financial statements include our accounts and those of our subsidiaries that we control due to ownership of a majority voting interest. We continually evaluate our involvement with variable interest entities (VIEs) to determine whether we have variable interests and are the primary beneficiary of the VIE. When this criteria is met, we are required to consolidate the VIE. Our share of earnings or losses of nonconsolidated affiliates is included in our consolidated operating results using the equity method of accounting when we are able to exercise significant influence over the operating and financial decisions of the nonconsolidated affiliate. We use the cost method of accounting if we are not able to exercise significant influence over the operating and financial decisions of the nonconsolidated affiliate. All intercompany balances and transactions have been eliminated in consolidation.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in the Preparation of the Financial Statements</w:t>
      </w:r>
    </w:p>
    <w:p>
      <w:pPr>
        <w:spacing w:after="0" w:line="177" w:lineRule="exact"/>
        <w:rPr>
          <w:sz w:val="20"/>
          <w:szCs w:val="20"/>
          <w:color w:val="auto"/>
        </w:rPr>
      </w:pPr>
    </w:p>
    <w:p>
      <w:pPr>
        <w:ind w:right="20" w:firstLine="228"/>
        <w:spacing w:after="0" w:line="298" w:lineRule="auto"/>
        <w:rPr>
          <w:sz w:val="20"/>
          <w:szCs w:val="20"/>
          <w:color w:val="auto"/>
        </w:rPr>
      </w:pPr>
      <w:r>
        <w:rPr>
          <w:rFonts w:ascii="Arial" w:cs="Arial" w:eastAsia="Arial" w:hAnsi="Arial"/>
          <w:sz w:val="16"/>
          <w:szCs w:val="16"/>
          <w:color w:val="auto"/>
        </w:rPr>
        <w:t>The condensed consolidated financial statements are prepared in conformity with U.S. GAAP, which requires the use of estimates, judgments and assumptions that affect the amounts of assets and liabilities at the reporting date and the amounts of revenue and expenses in the periods presented. We believe that the accounting estimates employed are appropriate and the resulting balances are reasonable; however, due to the inherent uncertainties in making estimates actual results could differ from the original estimates, requiring adjustments to these balances in future periods.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Financial</w:t>
      </w:r>
    </w:p>
    <w:p>
      <w:pPr>
        <w:spacing w:after="0" w:line="177" w:lineRule="exact"/>
        <w:rPr>
          <w:sz w:val="20"/>
          <w:szCs w:val="20"/>
          <w:color w:val="auto"/>
        </w:rPr>
      </w:pPr>
    </w:p>
    <w:p>
      <w:pPr>
        <w:ind w:right="180" w:firstLine="228"/>
        <w:spacing w:after="0" w:line="298" w:lineRule="auto"/>
        <w:rPr>
          <w:sz w:val="20"/>
          <w:szCs w:val="20"/>
          <w:color w:val="auto"/>
        </w:rPr>
      </w:pPr>
      <w:r>
        <w:rPr>
          <w:rFonts w:ascii="Arial" w:cs="Arial" w:eastAsia="Arial" w:hAnsi="Arial"/>
          <w:sz w:val="16"/>
          <w:szCs w:val="16"/>
          <w:color w:val="auto"/>
        </w:rPr>
        <w:t>The assets and liabilities of GM Financial, our automotive finance operations, are presented on a non-classified basis. The amounts presented for GM Financial have been adjusted to include the effect of our tax attributes on GM Financial’s deferred tax positions and provision for income taxes since the date of acquisition, which are not applicable to GM Financial on a stand-alone basis, and to eliminate the effect of transactions between GM Financial and the other members of the consolidated group. Accordingly, the amounts presented will differ from those presented by GM Financial on a stand-alone basis.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 Period Financial Statements Conformed to Current Period Presentation</w:t>
      </w:r>
    </w:p>
    <w:p>
      <w:pPr>
        <w:spacing w:after="0" w:line="177" w:lineRule="exact"/>
        <w:rPr>
          <w:sz w:val="20"/>
          <w:szCs w:val="20"/>
          <w:color w:val="auto"/>
        </w:rPr>
      </w:pPr>
    </w:p>
    <w:p>
      <w:pPr>
        <w:ind w:right="40" w:firstLine="228"/>
        <w:spacing w:after="0" w:line="294" w:lineRule="auto"/>
        <w:rPr>
          <w:sz w:val="20"/>
          <w:szCs w:val="20"/>
          <w:color w:val="auto"/>
        </w:rPr>
      </w:pPr>
      <w:r>
        <w:rPr>
          <w:rFonts w:ascii="Arial" w:cs="Arial" w:eastAsia="Arial" w:hAnsi="Arial"/>
          <w:sz w:val="16"/>
          <w:szCs w:val="16"/>
          <w:color w:val="auto"/>
        </w:rPr>
        <w:t>In the three and six months ended June 30, 2011 we have recorded foreign currency exchange gains and losses on debt as non-operating items. This is a change from prior period presentations in which foreign currency exchange gains and losses on debt were recorded in Automotive cost of sales. We have reclassified the prior periods to conform to our current presentation. The effects of this reclassification decreased Automotive cost of sales and Interest income and other non-operating income (expense), net by $26 million from July 10, 2009 through December 31, 2009, $150 million and $187 million in the three and six months ended June 30, 2010 and $89 million for the year ended December 31, 2010.</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Venezuelan Exchange Regulations</w:t>
      </w:r>
    </w:p>
    <w:p>
      <w:pPr>
        <w:spacing w:after="0" w:line="177" w:lineRule="exact"/>
        <w:rPr>
          <w:sz w:val="20"/>
          <w:szCs w:val="20"/>
          <w:color w:val="auto"/>
        </w:rPr>
      </w:pPr>
    </w:p>
    <w:p>
      <w:pPr>
        <w:ind w:right="40" w:firstLine="228"/>
        <w:spacing w:after="0" w:line="294" w:lineRule="auto"/>
        <w:rPr>
          <w:sz w:val="20"/>
          <w:szCs w:val="20"/>
          <w:color w:val="auto"/>
        </w:rPr>
      </w:pPr>
      <w:r>
        <w:rPr>
          <w:rFonts w:ascii="Arial" w:cs="Arial" w:eastAsia="Arial" w:hAnsi="Arial"/>
          <w:sz w:val="16"/>
          <w:szCs w:val="16"/>
          <w:color w:val="auto"/>
        </w:rPr>
        <w:t>Our Venezuelan subsidiaries changed their functional currency from Bolivar Fuerte (BsF), the local currency, to the U.S. Dollar, our reporting currency, on January 1, 2010 because of the hyperinflationary status of the Venezuelan economy. Pursuant to the official devaluation of the Venezuelan currency and establishment of the dual fixed exchange rates (essential rate of BsF 2.60 to $1.00 and nonessential rate of BsF 4.30 to $1.00) in January 2010, we remeasured the BsF denominated monetary assets and liabilities held by our Venezuelan subsidiaries at the nonessential rate of 4.30 BsF to $1.00. The remeasurement resulted in a charge of $25 million recorded in Automotive cost of sales in the three months ended March 31, 2010.</w:t>
      </w:r>
    </w:p>
    <w:p>
      <w:pPr>
        <w:spacing w:after="0" w:line="116" w:lineRule="exact"/>
        <w:rPr>
          <w:sz w:val="20"/>
          <w:szCs w:val="20"/>
          <w:color w:val="auto"/>
        </w:rPr>
      </w:pPr>
    </w:p>
    <w:p>
      <w:pPr>
        <w:ind w:right="260" w:firstLine="228"/>
        <w:spacing w:after="0" w:line="294" w:lineRule="auto"/>
        <w:rPr>
          <w:sz w:val="20"/>
          <w:szCs w:val="20"/>
          <w:color w:val="auto"/>
        </w:rPr>
      </w:pPr>
      <w:r>
        <w:rPr>
          <w:rFonts w:ascii="Arial" w:cs="Arial" w:eastAsia="Arial" w:hAnsi="Arial"/>
          <w:sz w:val="16"/>
          <w:szCs w:val="16"/>
          <w:color w:val="auto"/>
        </w:rPr>
        <w:t>In June 2010 the Venezuelan government introduced additional foreign currency exchange control regulations, which imposed restrictions on the use of the parallel foreign currency exchange market, thereby making it more difficult to convert BsF to U.S. Dollars. We periodically accessed the parallel exchange market, which historically enabled entities to obtain foreign currency for transactions that could not be processed by the Commission for the Administration of Currency Exchange (CADIVI). The restrictions on the foreign currency exchange market could affect our Venezuelan subsidiaries’ ability to pay non-BsF denominated obligations that do not qualify to be processed by CADIVI at the official exchange rates as well as our ability to benefit from those operations.</w:t>
      </w:r>
    </w:p>
    <w:p>
      <w:pPr>
        <w:spacing w:after="0" w:line="116" w:lineRule="exact"/>
        <w:rPr>
          <w:sz w:val="20"/>
          <w:szCs w:val="20"/>
          <w:color w:val="auto"/>
        </w:rPr>
      </w:pPr>
    </w:p>
    <w:p>
      <w:pPr>
        <w:jc w:val="both"/>
        <w:ind w:right="260" w:firstLine="228"/>
        <w:spacing w:after="0" w:line="256" w:lineRule="auto"/>
        <w:rPr>
          <w:sz w:val="20"/>
          <w:szCs w:val="20"/>
          <w:color w:val="auto"/>
        </w:rPr>
      </w:pPr>
      <w:r>
        <w:rPr>
          <w:rFonts w:ascii="Arial" w:cs="Arial" w:eastAsia="Arial" w:hAnsi="Arial"/>
          <w:sz w:val="18"/>
          <w:szCs w:val="18"/>
          <w:color w:val="auto"/>
        </w:rPr>
        <w:t>In December 2010 another official devaluation of the Venezuelan currency was announced that eliminated the essential rate effective January 1, 2011. The devaluation did not have an effect on the 2010 consolidated financial statements; however, it has affected results of operations in 2011 because our Venezuelan subsidiaries no longer realize gains that result from favorable foreign currency exchanges processed by CADIVI at the essential rate for the requests submitted subsequent to the devaluation date.</w:t>
      </w:r>
    </w:p>
    <w:p>
      <w:pPr>
        <w:spacing w:after="0" w:line="143" w:lineRule="exact"/>
        <w:rPr>
          <w:sz w:val="20"/>
          <w:szCs w:val="20"/>
          <w:color w:val="auto"/>
        </w:rPr>
      </w:pPr>
    </w:p>
    <w:p>
      <w:pPr>
        <w:ind w:right="160" w:firstLine="228"/>
        <w:spacing w:after="0" w:line="332" w:lineRule="auto"/>
        <w:rPr>
          <w:sz w:val="20"/>
          <w:szCs w:val="20"/>
          <w:color w:val="auto"/>
        </w:rPr>
      </w:pPr>
      <w:r>
        <w:rPr>
          <w:rFonts w:ascii="Arial" w:cs="Arial" w:eastAsia="Arial" w:hAnsi="Arial"/>
          <w:sz w:val="16"/>
          <w:szCs w:val="16"/>
          <w:color w:val="auto"/>
        </w:rPr>
        <w:t>The following tables provide financial information for our Venezuelan subsidiaries at June 30, 2011 and December 31, 2010 and for the three and six months ended June 30, 2011 and 2010 which include amounts receivable from and payable to, and transactions with, affiliated entities (dollars 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June 30, 2011</w:t>
            </w:r>
          </w:p>
        </w:tc>
        <w:tc>
          <w:tcPr>
            <w:tcW w:w="4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1"/>
              </w:rPr>
              <w:t>December 31, 2010</w:t>
            </w:r>
          </w:p>
        </w:tc>
      </w:tr>
      <w:tr>
        <w:trPr>
          <w:trHeight w:val="210"/>
        </w:trPr>
        <w:tc>
          <w:tcPr>
            <w:tcW w:w="5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automotive assets (a)</w:t>
            </w:r>
          </w:p>
        </w:tc>
        <w:tc>
          <w:tcPr>
            <w:tcW w:w="3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4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8"/>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5400" w:type="dxa"/>
            <w:vAlign w:val="bottom"/>
          </w:tcPr>
          <w:p>
            <w:pPr>
              <w:spacing w:after="0"/>
              <w:rPr>
                <w:sz w:val="20"/>
                <w:szCs w:val="20"/>
                <w:color w:val="auto"/>
              </w:rPr>
            </w:pPr>
            <w:r>
              <w:rPr>
                <w:rFonts w:ascii="Arial" w:cs="Arial" w:eastAsia="Arial" w:hAnsi="Arial"/>
                <w:sz w:val="18"/>
                <w:szCs w:val="18"/>
                <w:color w:val="auto"/>
              </w:rPr>
              <w:t>Total automotive liabilities (b)</w:t>
            </w:r>
          </w:p>
        </w:tc>
        <w:tc>
          <w:tcPr>
            <w:tcW w:w="3480" w:type="dxa"/>
            <w:vAlign w:val="bottom"/>
            <w:gridSpan w:val="2"/>
          </w:tcPr>
          <w:p>
            <w:pPr>
              <w:ind w:left="3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1,001</w:t>
            </w:r>
          </w:p>
        </w:tc>
        <w:tc>
          <w:tcPr>
            <w:tcW w:w="80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985</w:t>
            </w:r>
          </w:p>
        </w:tc>
        <w:tc>
          <w:tcPr>
            <w:tcW w:w="100" w:type="dxa"/>
            <w:vAlign w:val="bottom"/>
          </w:tcPr>
          <w:p>
            <w:pPr>
              <w:spacing w:after="0"/>
              <w:rPr>
                <w:sz w:val="19"/>
                <w:szCs w:val="19"/>
                <w:color w:val="auto"/>
              </w:rPr>
            </w:pP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89"/>
              </w:rPr>
              <w:t>Three Months</w:t>
            </w:r>
          </w:p>
        </w:tc>
        <w:tc>
          <w:tcPr>
            <w:tcW w:w="120" w:type="dxa"/>
            <w:vAlign w:val="bottom"/>
          </w:tcPr>
          <w:p>
            <w:pPr>
              <w:spacing w:after="0"/>
              <w:rPr>
                <w:sz w:val="14"/>
                <w:szCs w:val="14"/>
                <w:color w:val="auto"/>
              </w:rPr>
            </w:pPr>
          </w:p>
        </w:tc>
        <w:tc>
          <w:tcPr>
            <w:tcW w:w="12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8"/>
              </w:rPr>
              <w:t>Six Months</w:t>
            </w:r>
          </w:p>
        </w:tc>
      </w:tr>
      <w:tr>
        <w:trPr>
          <w:trHeight w:val="149"/>
        </w:trPr>
        <w:tc>
          <w:tcPr>
            <w:tcW w:w="434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88"/>
              </w:rPr>
              <w:t>Ended</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Ended</w:t>
            </w:r>
          </w:p>
        </w:tc>
      </w:tr>
      <w:tr>
        <w:trPr>
          <w:trHeight w:val="161"/>
        </w:trPr>
        <w:tc>
          <w:tcPr>
            <w:tcW w:w="434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2"/>
              </w:rPr>
              <w:t>June 30,</w:t>
            </w:r>
          </w:p>
        </w:tc>
        <w:tc>
          <w:tcPr>
            <w:tcW w:w="120" w:type="dxa"/>
            <w:vAlign w:val="bottom"/>
          </w:tcPr>
          <w:p>
            <w:pPr>
              <w:spacing w:after="0"/>
              <w:rPr>
                <w:sz w:val="14"/>
                <w:szCs w:val="14"/>
                <w:color w:val="auto"/>
              </w:rPr>
            </w:pPr>
          </w:p>
        </w:tc>
        <w:tc>
          <w:tcPr>
            <w:tcW w:w="12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2"/>
              </w:rPr>
              <w:t>June 30,</w:t>
            </w:r>
          </w:p>
        </w:tc>
      </w:tr>
      <w:tr>
        <w:trPr>
          <w:trHeight w:val="142"/>
        </w:trPr>
        <w:tc>
          <w:tcPr>
            <w:tcW w:w="434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420" w:type="dxa"/>
            <w:vAlign w:val="bottom"/>
            <w:tcBorders>
              <w:top w:val="single" w:sz="8" w:color="auto"/>
            </w:tcBorders>
            <w:gridSpan w:val="2"/>
          </w:tcPr>
          <w:p>
            <w:pPr>
              <w:jc w:val="right"/>
              <w:ind w:right="2"/>
              <w:spacing w:after="0" w:line="142" w:lineRule="exact"/>
              <w:rPr>
                <w:sz w:val="20"/>
                <w:szCs w:val="20"/>
                <w:color w:val="auto"/>
              </w:rPr>
            </w:pPr>
            <w:r>
              <w:rPr>
                <w:rFonts w:ascii="Arial" w:cs="Arial" w:eastAsia="Arial" w:hAnsi="Arial"/>
                <w:sz w:val="14"/>
                <w:szCs w:val="14"/>
                <w:b w:val="1"/>
                <w:bCs w:val="1"/>
                <w:color w:val="auto"/>
              </w:rPr>
              <w:t>2011</w:t>
            </w:r>
          </w:p>
        </w:tc>
        <w:tc>
          <w:tcPr>
            <w:tcW w:w="800" w:type="dxa"/>
            <w:vAlign w:val="bottom"/>
            <w:tcBorders>
              <w:top w:val="single" w:sz="8" w:color="auto"/>
            </w:tcBorders>
            <w:gridSpan w:val="2"/>
          </w:tcPr>
          <w:p>
            <w:pPr>
              <w:jc w:val="center"/>
              <w:ind w:left="326"/>
              <w:spacing w:after="0" w:line="142" w:lineRule="exact"/>
              <w:rPr>
                <w:sz w:val="20"/>
                <w:szCs w:val="20"/>
                <w:color w:val="auto"/>
              </w:rPr>
            </w:pPr>
            <w:r>
              <w:rPr>
                <w:rFonts w:ascii="Arial" w:cs="Arial" w:eastAsia="Arial" w:hAnsi="Arial"/>
                <w:sz w:val="14"/>
                <w:szCs w:val="14"/>
                <w:b w:val="1"/>
                <w:bCs w:val="1"/>
                <w:color w:val="auto"/>
                <w:w w:val="89"/>
              </w:rPr>
              <w:t>2010</w:t>
            </w:r>
          </w:p>
        </w:tc>
        <w:tc>
          <w:tcPr>
            <w:tcW w:w="400" w:type="dxa"/>
            <w:vAlign w:val="bottom"/>
          </w:tcPr>
          <w:p>
            <w:pPr>
              <w:spacing w:after="0"/>
              <w:rPr>
                <w:sz w:val="12"/>
                <w:szCs w:val="12"/>
                <w:color w:val="auto"/>
              </w:rPr>
            </w:pPr>
          </w:p>
        </w:tc>
        <w:tc>
          <w:tcPr>
            <w:tcW w:w="420" w:type="dxa"/>
            <w:vAlign w:val="bottom"/>
            <w:tcBorders>
              <w:top w:val="single" w:sz="8" w:color="auto"/>
            </w:tcBorders>
            <w:gridSpan w:val="2"/>
          </w:tcPr>
          <w:p>
            <w:pPr>
              <w:jc w:val="right"/>
              <w:ind w:right="2"/>
              <w:spacing w:after="0" w:line="142" w:lineRule="exact"/>
              <w:rPr>
                <w:sz w:val="20"/>
                <w:szCs w:val="20"/>
                <w:color w:val="auto"/>
              </w:rPr>
            </w:pPr>
            <w:r>
              <w:rPr>
                <w:rFonts w:ascii="Arial" w:cs="Arial" w:eastAsia="Arial" w:hAnsi="Arial"/>
                <w:sz w:val="14"/>
                <w:szCs w:val="14"/>
                <w:b w:val="1"/>
                <w:bCs w:val="1"/>
                <w:color w:val="auto"/>
              </w:rPr>
              <w:t>2011</w:t>
            </w:r>
          </w:p>
        </w:tc>
        <w:tc>
          <w:tcPr>
            <w:tcW w:w="800" w:type="dxa"/>
            <w:vAlign w:val="bottom"/>
            <w:tcBorders>
              <w:top w:val="single" w:sz="8" w:color="auto"/>
            </w:tcBorders>
            <w:gridSpan w:val="2"/>
          </w:tcPr>
          <w:p>
            <w:pPr>
              <w:jc w:val="center"/>
              <w:ind w:left="326"/>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2"/>
                <w:szCs w:val="12"/>
                <w:color w:val="auto"/>
              </w:rPr>
            </w:pPr>
          </w:p>
        </w:tc>
      </w:tr>
      <w:tr>
        <w:trPr>
          <w:trHeight w:val="210"/>
        </w:trPr>
        <w:tc>
          <w:tcPr>
            <w:tcW w:w="43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net sales and revenue</w:t>
            </w:r>
          </w:p>
        </w:tc>
        <w:tc>
          <w:tcPr>
            <w:tcW w:w="4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433</w:t>
            </w:r>
          </w:p>
        </w:tc>
        <w:tc>
          <w:tcPr>
            <w:tcW w:w="4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$ 249</w:t>
            </w: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805</w:t>
            </w:r>
          </w:p>
        </w:tc>
        <w:tc>
          <w:tcPr>
            <w:tcW w:w="4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$ 494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4340" w:type="dxa"/>
            <w:vAlign w:val="bottom"/>
          </w:tcPr>
          <w:p>
            <w:pPr>
              <w:spacing w:after="0"/>
              <w:rPr>
                <w:sz w:val="20"/>
                <w:szCs w:val="20"/>
                <w:color w:val="auto"/>
              </w:rPr>
            </w:pPr>
            <w:r>
              <w:rPr>
                <w:rFonts w:ascii="Arial" w:cs="Arial" w:eastAsia="Arial" w:hAnsi="Arial"/>
                <w:sz w:val="18"/>
                <w:szCs w:val="18"/>
                <w:color w:val="auto"/>
              </w:rPr>
              <w:t>Net income attributable to stockholders (c)</w:t>
            </w:r>
          </w:p>
        </w:tc>
        <w:tc>
          <w:tcPr>
            <w:tcW w:w="4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48</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88"/>
              </w:rPr>
              <w:t>$ 109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50</w:t>
            </w:r>
          </w:p>
        </w:tc>
        <w:tc>
          <w:tcPr>
            <w:tcW w:w="800" w:type="dxa"/>
            <w:vAlign w:val="bottom"/>
            <w:gridSpan w:val="2"/>
          </w:tcPr>
          <w:p>
            <w:pPr>
              <w:jc w:val="center"/>
              <w:ind w:left="326"/>
              <w:spacing w:after="0"/>
              <w:rPr>
                <w:sz w:val="20"/>
                <w:szCs w:val="20"/>
                <w:color w:val="auto"/>
              </w:rPr>
            </w:pPr>
            <w:r>
              <w:rPr>
                <w:rFonts w:ascii="Arial" w:cs="Arial" w:eastAsia="Arial" w:hAnsi="Arial"/>
                <w:sz w:val="18"/>
                <w:szCs w:val="18"/>
                <w:color w:val="auto"/>
                <w:w w:val="88"/>
              </w:rPr>
              <w:t>$ 215</w:t>
            </w:r>
          </w:p>
        </w:tc>
        <w:tc>
          <w:tcPr>
            <w:tcW w:w="100" w:type="dxa"/>
            <w:vAlign w:val="bottom"/>
          </w:tcPr>
          <w:p>
            <w:pPr>
              <w:spacing w:after="0"/>
              <w:rPr>
                <w:sz w:val="19"/>
                <w:szCs w:val="19"/>
                <w:color w:val="auto"/>
              </w:rPr>
            </w:pPr>
          </w:p>
        </w:tc>
      </w:tr>
      <w:tr>
        <w:trPr>
          <w:trHeight w:val="356"/>
        </w:trPr>
        <w:tc>
          <w:tcPr>
            <w:tcW w:w="4340" w:type="dxa"/>
            <w:vAlign w:val="bottom"/>
          </w:tcPr>
          <w:p>
            <w:pPr>
              <w:spacing w:after="0"/>
              <w:rPr>
                <w:sz w:val="24"/>
                <w:szCs w:val="24"/>
                <w:color w:val="auto"/>
              </w:rPr>
            </w:pPr>
          </w:p>
        </w:tc>
        <w:tc>
          <w:tcPr>
            <w:tcW w:w="4140" w:type="dxa"/>
            <w:vAlign w:val="bottom"/>
          </w:tcPr>
          <w:p>
            <w:pPr>
              <w:jc w:val="right"/>
              <w:ind w:right="263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89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92" w:lineRule="exact"/>
        <w:rPr>
          <w:sz w:val="20"/>
          <w:szCs w:val="20"/>
          <w:color w:val="auto"/>
        </w:rPr>
      </w:pPr>
    </w:p>
    <w:p>
      <w:pPr>
        <w:ind w:left="460" w:right="54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BsF denominated and non-BsF denominated monetary assets of $333 million and $613 million at June 30, 2011 and $393 million and $527 million at December 31, 2010.</w:t>
      </w:r>
    </w:p>
    <w:p>
      <w:pPr>
        <w:spacing w:after="0" w:line="50" w:lineRule="exact"/>
        <w:rPr>
          <w:rFonts w:ascii="Arial" w:cs="Arial" w:eastAsia="Arial" w:hAnsi="Arial"/>
          <w:sz w:val="18"/>
          <w:szCs w:val="18"/>
          <w:color w:val="auto"/>
        </w:rPr>
      </w:pPr>
    </w:p>
    <w:p>
      <w:pPr>
        <w:ind w:left="460" w:right="28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BsF denominated and non-BsF denominated monetary liabilities of $533 million and $468 million at June 30, 2011 and $661 million and $324 million at December 31, 2010.</w:t>
      </w:r>
    </w:p>
    <w:p>
      <w:pPr>
        <w:spacing w:after="0" w:line="50" w:lineRule="exact"/>
        <w:rPr>
          <w:rFonts w:ascii="Arial" w:cs="Arial" w:eastAsia="Arial" w:hAnsi="Arial"/>
          <w:sz w:val="18"/>
          <w:szCs w:val="18"/>
          <w:color w:val="auto"/>
        </w:rPr>
      </w:pPr>
    </w:p>
    <w:p>
      <w:pPr>
        <w:ind w:left="460" w:right="20" w:hanging="452"/>
        <w:spacing w:after="0" w:line="291"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a gain of $119 million related to the devaluation of the BsF in January 2010 and a gain of $125 million due to favorable foreign currency exchanges that were processed by CADIVI in the three months ended June 30, 2010. The $119 million gain on the devaluation was offset by a $144 million loss recorded in the U.S. on BsF denominated assets, which is not included in the Net income attributable to stockholders reported above. Included in the three and six months ended June 30, 2011 are gains of $0 million and $5 million related to favorable foreign currency exchanges that were processed by CADIVI at the essential rate. The gains in the three and six months ended June 30, 2011 are related to requests for foreign currency exchanges submitted to CADIVI prior to the devaluation effective January 1, 2011.</w:t>
      </w:r>
    </w:p>
    <w:p>
      <w:pPr>
        <w:spacing w:after="0" w:line="120" w:lineRule="exact"/>
        <w:rPr>
          <w:sz w:val="20"/>
          <w:szCs w:val="20"/>
          <w:color w:val="auto"/>
        </w:rPr>
      </w:pPr>
    </w:p>
    <w:p>
      <w:pPr>
        <w:ind w:right="20" w:firstLine="228"/>
        <w:spacing w:after="0" w:line="306" w:lineRule="auto"/>
        <w:rPr>
          <w:sz w:val="20"/>
          <w:szCs w:val="20"/>
          <w:color w:val="auto"/>
        </w:rPr>
      </w:pPr>
      <w:r>
        <w:rPr>
          <w:rFonts w:ascii="Arial" w:cs="Arial" w:eastAsia="Arial" w:hAnsi="Arial"/>
          <w:sz w:val="16"/>
          <w:szCs w:val="16"/>
          <w:color w:val="auto"/>
        </w:rPr>
        <w:t>The total amount pending government approval for settlement at June 30, 2011 and December 31, 2010 was BsF 2.2 billion (equivalent to $516 million) and BsF 1.9 billion (equivalent to $432 million), for which some requests have been pending from 2007. The amounts outstanding at June 30, 2011 and December 31, 2010 include payables to affiliated entities of $384 million and $263 million, each of which include dividends payable of $144 million.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Non-Cash Activity — Investing Cash Flows</w:t>
      </w:r>
    </w:p>
    <w:p>
      <w:pPr>
        <w:spacing w:after="0" w:line="177" w:lineRule="exact"/>
        <w:rPr>
          <w:sz w:val="20"/>
          <w:szCs w:val="20"/>
          <w:color w:val="auto"/>
        </w:rPr>
      </w:pPr>
    </w:p>
    <w:p>
      <w:pPr>
        <w:ind w:right="40" w:firstLine="228"/>
        <w:spacing w:after="0" w:line="332" w:lineRule="auto"/>
        <w:rPr>
          <w:sz w:val="20"/>
          <w:szCs w:val="20"/>
          <w:color w:val="auto"/>
        </w:rPr>
      </w:pPr>
      <w:r>
        <w:rPr>
          <w:rFonts w:ascii="Arial" w:cs="Arial" w:eastAsia="Arial" w:hAnsi="Arial"/>
          <w:sz w:val="16"/>
          <w:szCs w:val="16"/>
          <w:color w:val="auto"/>
        </w:rPr>
        <w:t>The following table summarizes the amounts accrued for property expenditures at June 30, 2011 and 2010. These amounts are excluded from Expenditures for property within the investing section of the condensed consolidated statements of cash flows because no cash has been expended (dollars in millions):</w:t>
      </w:r>
    </w:p>
    <w:p>
      <w:pPr>
        <w:spacing w:after="0" w:line="121" w:lineRule="exact"/>
        <w:rPr>
          <w:sz w:val="20"/>
          <w:szCs w:val="20"/>
          <w:color w:val="auto"/>
        </w:rPr>
      </w:pPr>
    </w:p>
    <w:p>
      <w:pPr>
        <w:ind w:left="10440"/>
        <w:spacing w:after="0"/>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42"/>
        </w:trPr>
        <w:tc>
          <w:tcPr>
            <w:tcW w:w="6220" w:type="dxa"/>
            <w:vAlign w:val="bottom"/>
            <w:tcBorders>
              <w:bottom w:val="single" w:sz="8" w:color="CCEEFF"/>
            </w:tcBorders>
          </w:tcPr>
          <w:p>
            <w:pPr>
              <w:spacing w:after="0"/>
              <w:rPr>
                <w:sz w:val="12"/>
                <w:szCs w:val="12"/>
                <w:color w:val="auto"/>
              </w:rPr>
            </w:pPr>
          </w:p>
        </w:tc>
        <w:tc>
          <w:tcPr>
            <w:tcW w:w="380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6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expenditures for property</w:t>
            </w:r>
          </w:p>
        </w:tc>
        <w:tc>
          <w:tcPr>
            <w:tcW w:w="38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$2,989</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$1,782</w:t>
            </w:r>
          </w:p>
        </w:tc>
        <w:tc>
          <w:tcPr>
            <w:tcW w:w="100" w:type="dxa"/>
            <w:vAlign w:val="bottom"/>
            <w:shd w:val="clear" w:color="auto" w:fill="CCEEFF"/>
          </w:tcPr>
          <w:p>
            <w:pPr>
              <w:spacing w:after="0"/>
              <w:rPr>
                <w:sz w:val="18"/>
                <w:szCs w:val="18"/>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Correction of Presentation in Condensed Consolidated Financial Statements</w:t>
      </w:r>
    </w:p>
    <w:p>
      <w:pPr>
        <w:spacing w:after="0" w:line="177" w:lineRule="exact"/>
        <w:rPr>
          <w:sz w:val="20"/>
          <w:szCs w:val="20"/>
          <w:color w:val="auto"/>
        </w:rPr>
      </w:pPr>
    </w:p>
    <w:p>
      <w:pPr>
        <w:ind w:right="40" w:firstLine="228"/>
        <w:spacing w:after="0" w:line="256" w:lineRule="auto"/>
        <w:rPr>
          <w:sz w:val="20"/>
          <w:szCs w:val="20"/>
          <w:color w:val="auto"/>
        </w:rPr>
      </w:pPr>
      <w:r>
        <w:rPr>
          <w:rFonts w:ascii="Arial" w:cs="Arial" w:eastAsia="Arial" w:hAnsi="Arial"/>
          <w:sz w:val="18"/>
          <w:szCs w:val="18"/>
          <w:color w:val="auto"/>
        </w:rPr>
        <w:t>We have corrected certain amounts disclosed in Note 8 to our condensed consolidated financial statements included in our Quarterly Report for the period ended June 30, 2010. Although we do not consider the effects of these disclosure errors to be material, we have corrected the amounts in the notes to the condensed consolidated financial statements. Originally reported and corrected amounts are included in the affected notes to the condensed consolidated financial statements which follow.</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Principles</w:t>
      </w:r>
    </w:p>
    <w:p>
      <w:pPr>
        <w:spacing w:after="0" w:line="177" w:lineRule="exact"/>
        <w:rPr>
          <w:sz w:val="20"/>
          <w:szCs w:val="20"/>
          <w:color w:val="auto"/>
        </w:rPr>
      </w:pPr>
    </w:p>
    <w:p>
      <w:pPr>
        <w:ind w:right="80" w:firstLine="228"/>
        <w:spacing w:after="0" w:line="290" w:lineRule="auto"/>
        <w:rPr>
          <w:sz w:val="20"/>
          <w:szCs w:val="20"/>
          <w:color w:val="auto"/>
        </w:rPr>
      </w:pPr>
      <w:r>
        <w:rPr>
          <w:rFonts w:ascii="Arial" w:cs="Arial" w:eastAsia="Arial" w:hAnsi="Arial"/>
          <w:sz w:val="16"/>
          <w:szCs w:val="16"/>
          <w:color w:val="auto"/>
        </w:rPr>
        <w:t>In September 2009 the Financial Accounting Standards Board (FASB) issued Accounting Standard Update (ASU) 2009-13, “Multiple-Deliverable Revenue Arrangements” (ASU 2009-13). ASU 2009-13 addresses the unit of accounting for multiple-element arrangements. ASU 2009-13 revises the method by which consideration is allocated among the units of accounting. Specifically, the overall consideration is allocated to each deliverable by establishing a selling price for individual deliverables based on a hierarchy of evidence, involving vendor-specific objective evidence, other third party evidence of the selling price or the reporting entity’s best estimate of the selling price of individual deliverables in the arrangement. ASU 2009-13 was effective prospectively for revenue arrangements entered into or materially modified in fiscal years beginning on or after June 15, 2010. The adoption of ASU 2009-13 did not have a material effect on the condensed consolidated financial statements.</w:t>
      </w:r>
    </w:p>
    <w:p>
      <w:pPr>
        <w:spacing w:after="0" w:line="118" w:lineRule="exact"/>
        <w:rPr>
          <w:sz w:val="20"/>
          <w:szCs w:val="20"/>
          <w:color w:val="auto"/>
        </w:rPr>
      </w:pPr>
    </w:p>
    <w:p>
      <w:pPr>
        <w:ind w:right="80" w:firstLine="228"/>
        <w:spacing w:after="0" w:line="259" w:lineRule="auto"/>
        <w:rPr>
          <w:sz w:val="20"/>
          <w:szCs w:val="20"/>
          <w:color w:val="auto"/>
        </w:rPr>
      </w:pPr>
      <w:r>
        <w:rPr>
          <w:rFonts w:ascii="Arial" w:cs="Arial" w:eastAsia="Arial" w:hAnsi="Arial"/>
          <w:sz w:val="18"/>
          <w:szCs w:val="18"/>
          <w:color w:val="auto"/>
        </w:rPr>
        <w:t>In December 2010 the FASB issued ASU 2010-28, “Intangibles — Goodwill and Other: When to Perform Step 2 of the Goodwill Impairment Test for Reporting Units with Zero or Negative Carrying Amounts” (ASU 2010-28). The amendments in ASU 2010-28 modify Step 1 of the goodwill impairment test for reporting units with zero or negative carrying amounts. For those reporting units, an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entity is required to perform Step 2 of the goodwill impairment test if it is more likely than not that a goodwill impairment exists. ASU 2010-28 is effective for fiscal years, and interim periods within those years, beginning after December 15, 2010. Any resulting goodwill impairment is recorded as a cumulative-effect adjustment to beginning Retained earnings at the date of adoption with future impairments recorded to earnings. Refer to Note 9 for additional information on the adoption of ASU 2010-28 and its effect on the condensed consolidated financial statements.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Not Yet Adopted</w:t>
      </w:r>
    </w:p>
    <w:p>
      <w:pPr>
        <w:spacing w:after="0" w:line="177" w:lineRule="exact"/>
        <w:rPr>
          <w:sz w:val="20"/>
          <w:szCs w:val="20"/>
          <w:color w:val="auto"/>
        </w:rPr>
      </w:pPr>
    </w:p>
    <w:p>
      <w:pPr>
        <w:ind w:right="20" w:firstLine="228"/>
        <w:spacing w:after="0" w:line="289" w:lineRule="auto"/>
        <w:rPr>
          <w:sz w:val="20"/>
          <w:szCs w:val="20"/>
          <w:color w:val="auto"/>
        </w:rPr>
      </w:pPr>
      <w:r>
        <w:rPr>
          <w:rFonts w:ascii="Arial" w:cs="Arial" w:eastAsia="Arial" w:hAnsi="Arial"/>
          <w:sz w:val="16"/>
          <w:szCs w:val="16"/>
          <w:color w:val="auto"/>
        </w:rPr>
        <w:t>In May 2011 the FASB issued ASU 2011-04, “Fair Value Measurement: Amendments to Achieve Common Fair Value Measurement and Disclosure Requirements in U.S. GAAP and IFRSs” (ASU 2011-04). Key provisions of the amendments in ASU 2011-04 include: (1) a prohibition on grouping financial instruments for purposes of determining fair value, except in limited cases; (2) an extension of the prohibition against the use of a blockage factor to all fair value measurements; and (3) a requirement that for recurring Level 3 fair value measurements, entities disclose quantitative information about unobservable inputs, a description of the valuation process used and qualitative details about the sensitivity of the measurements. For items not carried at fair value but for which fair value is disclosed, entities will be required to disclose the level within the fair value hierarchy that applies to the fair value measurement disclosed. This ASU is effective for interim and annual periods beginning after December 15, 2011. The adoption of ASU 2011-04 is not expected to have a significant effect on our fair value measurements utilized within the condensed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 and Disposals of Businesses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Additional GM Korea Interests</w:t>
      </w:r>
    </w:p>
    <w:p>
      <w:pPr>
        <w:spacing w:after="0" w:line="177" w:lineRule="exact"/>
        <w:rPr>
          <w:sz w:val="20"/>
          <w:szCs w:val="20"/>
          <w:color w:val="auto"/>
        </w:rPr>
      </w:pPr>
    </w:p>
    <w:p>
      <w:pPr>
        <w:ind w:right="60" w:firstLine="228"/>
        <w:spacing w:after="0" w:line="255" w:lineRule="auto"/>
        <w:rPr>
          <w:sz w:val="20"/>
          <w:szCs w:val="20"/>
          <w:color w:val="auto"/>
        </w:rPr>
      </w:pPr>
      <w:r>
        <w:rPr>
          <w:rFonts w:ascii="Arial" w:cs="Arial" w:eastAsia="Arial" w:hAnsi="Arial"/>
          <w:sz w:val="18"/>
          <w:szCs w:val="18"/>
          <w:color w:val="auto"/>
        </w:rPr>
        <w:t>In March 2011 we completed the acquisition of an additional 6.9% interest in GM Korea Company, formerly GM Daewoo Auto &amp; Technology Co. (GM Korea) for a cash purchase price of $100 million. The transaction was accounted for as an equity transaction as we retain the controlling financial interest in GM Korea. As a result of this transaction we reduced our equity attributable to Noncontrolling interests by $134 million and our Accumulated other comprehensive income by $7 million, and increased our Capital surplus by $41 million. After completing this transaction, we now own 77.0% of the outstanding shares of GM Korea.</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Saab Sale</w:t>
      </w:r>
    </w:p>
    <w:p>
      <w:pPr>
        <w:spacing w:after="0" w:line="177" w:lineRule="exact"/>
        <w:rPr>
          <w:sz w:val="20"/>
          <w:szCs w:val="20"/>
          <w:color w:val="auto"/>
        </w:rPr>
      </w:pPr>
    </w:p>
    <w:p>
      <w:pPr>
        <w:ind w:right="20" w:firstLine="228"/>
        <w:spacing w:after="0" w:line="255" w:lineRule="auto"/>
        <w:rPr>
          <w:sz w:val="20"/>
          <w:szCs w:val="20"/>
          <w:color w:val="auto"/>
        </w:rPr>
      </w:pPr>
      <w:r>
        <w:rPr>
          <w:rFonts w:ascii="Arial" w:cs="Arial" w:eastAsia="Arial" w:hAnsi="Arial"/>
          <w:sz w:val="18"/>
          <w:szCs w:val="18"/>
          <w:color w:val="auto"/>
        </w:rPr>
        <w:t>In February 2010 we completed the sale of Saab Automobile AB (Saab) and in May 2010 we completed the sale of Saab Automobile GB to Spyker Cars NV. Of the negotiated cash purchase price of $74 million, we received $50 million at closing and received the remaining $24 million in July 2010. We also received preference shares in Saab with a face value of $326 million and an estimated fair value that is insignificant and received $114 million as repayment of the debtor-in-possession financing that we provided to Saab during 2009. In the three months ended March 31, 2010 we recorded a gain of $123 million in Interest income and other non-operating income, net.</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GM Financial</w:t>
      </w:r>
    </w:p>
    <w:p>
      <w:pPr>
        <w:spacing w:after="0" w:line="177" w:lineRule="exact"/>
        <w:rPr>
          <w:sz w:val="20"/>
          <w:szCs w:val="20"/>
          <w:color w:val="auto"/>
        </w:rPr>
      </w:pPr>
    </w:p>
    <w:p>
      <w:pPr>
        <w:ind w:right="280" w:firstLine="228"/>
        <w:spacing w:after="0" w:line="255" w:lineRule="auto"/>
        <w:rPr>
          <w:sz w:val="20"/>
          <w:szCs w:val="20"/>
          <w:color w:val="auto"/>
        </w:rPr>
      </w:pPr>
      <w:r>
        <w:rPr>
          <w:rFonts w:ascii="Arial" w:cs="Arial" w:eastAsia="Arial" w:hAnsi="Arial"/>
          <w:sz w:val="18"/>
          <w:szCs w:val="18"/>
          <w:color w:val="auto"/>
        </w:rPr>
        <w:t>In October 2010 we acquired 100% of the outstanding equity interests of GM Financial (formerly AmeriCredit Corp.), an automotive finance company, for cash of $3.5 billion. The results of GM Financial are included in our results beginning October 1, 2010. The following table summarizes the actual amounts of revenue and earnings of GM Financial included in our condensed consolidated financial statements for the three and six months ended June 30, 2011 and the supplemental pro forma revenue and earnings of the combined entity for the three and six months ended June 30, 2010 as if the acquisition had occurred on January 1, 2010 (dollars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80" w:type="dxa"/>
            <w:vAlign w:val="bottom"/>
            <w:gridSpan w:val="3"/>
          </w:tcPr>
          <w:p>
            <w:pPr>
              <w:ind w:left="720"/>
              <w:spacing w:after="0"/>
              <w:rPr>
                <w:sz w:val="20"/>
                <w:szCs w:val="20"/>
                <w:color w:val="auto"/>
              </w:rPr>
            </w:pPr>
            <w:r>
              <w:rPr>
                <w:rFonts w:ascii="Arial" w:cs="Arial" w:eastAsia="Arial" w:hAnsi="Arial"/>
                <w:sz w:val="14"/>
                <w:szCs w:val="14"/>
                <w:b w:val="1"/>
                <w:bCs w:val="1"/>
                <w:color w:val="auto"/>
              </w:rPr>
              <w:t>GM Financial Amounts</w:t>
            </w: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4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80" w:type="dxa"/>
            <w:vAlign w:val="bottom"/>
            <w:gridSpan w:val="3"/>
          </w:tcPr>
          <w:p>
            <w:pPr>
              <w:ind w:left="720"/>
              <w:spacing w:after="0"/>
              <w:rPr>
                <w:sz w:val="20"/>
                <w:szCs w:val="20"/>
                <w:color w:val="auto"/>
              </w:rPr>
            </w:pPr>
            <w:r>
              <w:rPr>
                <w:rFonts w:ascii="Arial" w:cs="Arial" w:eastAsia="Arial" w:hAnsi="Arial"/>
                <w:sz w:val="14"/>
                <w:szCs w:val="14"/>
                <w:b w:val="1"/>
                <w:bCs w:val="1"/>
                <w:color w:val="auto"/>
              </w:rPr>
              <w:t>Included In Results For</w:t>
            </w: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60" w:type="dxa"/>
            <w:vAlign w:val="bottom"/>
            <w:gridSpan w:val="5"/>
          </w:tcPr>
          <w:p>
            <w:pPr>
              <w:ind w:left="780"/>
              <w:spacing w:after="0"/>
              <w:rPr>
                <w:sz w:val="20"/>
                <w:szCs w:val="20"/>
                <w:color w:val="auto"/>
              </w:rPr>
            </w:pPr>
            <w:r>
              <w:rPr>
                <w:rFonts w:ascii="Arial" w:cs="Arial" w:eastAsia="Arial" w:hAnsi="Arial"/>
                <w:sz w:val="14"/>
                <w:szCs w:val="14"/>
                <w:b w:val="1"/>
                <w:bCs w:val="1"/>
                <w:color w:val="auto"/>
              </w:rPr>
              <w:t>Pro Forma-Combined</w:t>
            </w:r>
          </w:p>
        </w:tc>
      </w:tr>
      <w:tr>
        <w:trPr>
          <w:trHeight w:val="129"/>
        </w:trPr>
        <w:tc>
          <w:tcPr>
            <w:tcW w:w="4300" w:type="dxa"/>
            <w:vAlign w:val="bottom"/>
          </w:tcPr>
          <w:p>
            <w:pPr>
              <w:spacing w:after="0"/>
              <w:rPr>
                <w:sz w:val="11"/>
                <w:szCs w:val="11"/>
                <w:color w:val="auto"/>
              </w:rPr>
            </w:pPr>
          </w:p>
        </w:tc>
        <w:tc>
          <w:tcPr>
            <w:tcW w:w="20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Three Months Ended</w:t>
            </w:r>
          </w:p>
        </w:tc>
        <w:tc>
          <w:tcPr>
            <w:tcW w:w="10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Six Months Ended</w:t>
            </w: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Three Months Ended</w:t>
            </w:r>
          </w:p>
        </w:tc>
        <w:tc>
          <w:tcPr>
            <w:tcW w:w="10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Six Months Ended</w:t>
            </w:r>
          </w:p>
        </w:tc>
        <w:tc>
          <w:tcPr>
            <w:tcW w:w="100" w:type="dxa"/>
            <w:vAlign w:val="bottom"/>
          </w:tcPr>
          <w:p>
            <w:pPr>
              <w:spacing w:after="0"/>
              <w:rPr>
                <w:sz w:val="11"/>
                <w:szCs w:val="11"/>
                <w:color w:val="auto"/>
              </w:rPr>
            </w:pPr>
          </w:p>
        </w:tc>
      </w:tr>
      <w:tr>
        <w:trPr>
          <w:trHeight w:val="161"/>
        </w:trPr>
        <w:tc>
          <w:tcPr>
            <w:tcW w:w="4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2011</w:t>
            </w:r>
          </w:p>
        </w:tc>
        <w:tc>
          <w:tcPr>
            <w:tcW w:w="1480" w:type="dxa"/>
            <w:vAlign w:val="bottom"/>
            <w:gridSpan w:val="3"/>
          </w:tcPr>
          <w:p>
            <w:pPr>
              <w:ind w:left="140"/>
              <w:spacing w:after="0"/>
              <w:rPr>
                <w:sz w:val="20"/>
                <w:szCs w:val="20"/>
                <w:color w:val="auto"/>
              </w:rPr>
            </w:pPr>
            <w:r>
              <w:rPr>
                <w:rFonts w:ascii="Arial" w:cs="Arial" w:eastAsia="Arial" w:hAnsi="Arial"/>
                <w:sz w:val="14"/>
                <w:szCs w:val="14"/>
                <w:b w:val="1"/>
                <w:bCs w:val="1"/>
                <w:color w:val="auto"/>
              </w:rPr>
              <w:t>June 30, 2011</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w w:val="94"/>
              </w:rPr>
              <w:t>June 30, 2010</w:t>
            </w:r>
          </w:p>
        </w:tc>
        <w:tc>
          <w:tcPr>
            <w:tcW w:w="12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2010</w:t>
            </w:r>
          </w:p>
        </w:tc>
      </w:tr>
      <w:tr>
        <w:trPr>
          <w:trHeight w:val="210"/>
        </w:trPr>
        <w:tc>
          <w:tcPr>
            <w:tcW w:w="43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net sales and revenue</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8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79"/>
              </w:rPr>
              <w:t>625</w:t>
            </w:r>
          </w:p>
        </w:tc>
        <w:tc>
          <w:tcPr>
            <w:tcW w:w="4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33,525</w:t>
            </w:r>
          </w:p>
        </w:tc>
        <w:tc>
          <w:tcPr>
            <w:tcW w:w="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65,349</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4300" w:type="dxa"/>
            <w:vAlign w:val="bottom"/>
          </w:tcPr>
          <w:p>
            <w:pPr>
              <w:spacing w:after="0"/>
              <w:rPr>
                <w:sz w:val="20"/>
                <w:szCs w:val="20"/>
                <w:color w:val="auto"/>
              </w:rPr>
            </w:pPr>
            <w:r>
              <w:rPr>
                <w:rFonts w:ascii="Arial" w:cs="Arial" w:eastAsia="Arial" w:hAnsi="Arial"/>
                <w:sz w:val="18"/>
                <w:szCs w:val="18"/>
                <w:color w:val="auto"/>
              </w:rPr>
              <w:t>Net income attributable to stockholders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161</w:t>
            </w:r>
          </w:p>
        </w:tc>
        <w:tc>
          <w:tcPr>
            <w:tcW w:w="800" w:type="dxa"/>
            <w:vAlign w:val="bottom"/>
          </w:tcPr>
          <w:p>
            <w:pPr>
              <w:spacing w:after="0"/>
              <w:rPr>
                <w:sz w:val="19"/>
                <w:szCs w:val="19"/>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220</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820"/>
              <w:spacing w:after="0"/>
              <w:rPr>
                <w:sz w:val="20"/>
                <w:szCs w:val="20"/>
                <w:color w:val="auto"/>
              </w:rPr>
            </w:pPr>
            <w:r>
              <w:rPr>
                <w:rFonts w:ascii="Arial" w:cs="Arial" w:eastAsia="Arial" w:hAnsi="Arial"/>
                <w:sz w:val="18"/>
                <w:szCs w:val="18"/>
                <w:color w:val="auto"/>
              </w:rPr>
              <w:t>1,696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2,884</w:t>
            </w:r>
          </w:p>
        </w:tc>
        <w:tc>
          <w:tcPr>
            <w:tcW w:w="100" w:type="dxa"/>
            <w:vAlign w:val="bottom"/>
          </w:tcPr>
          <w:p>
            <w:pPr>
              <w:spacing w:after="0"/>
              <w:rPr>
                <w:sz w:val="19"/>
                <w:szCs w:val="19"/>
                <w:color w:val="auto"/>
              </w:rPr>
            </w:pPr>
          </w:p>
        </w:tc>
      </w:tr>
    </w:tbl>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Marketable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information regarding marketable securities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w w:val="85"/>
              </w:rPr>
              <w:t>June 30, 2011</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85"/>
              </w:rPr>
              <w:t>December 31, 2010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7"/>
              </w:rPr>
              <w:t>Unrealized</w:t>
            </w:r>
          </w:p>
        </w:tc>
        <w:tc>
          <w:tcPr>
            <w:tcW w:w="1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Fair</w:t>
            </w: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7"/>
              </w:rPr>
              <w:t>Unrealized</w:t>
            </w:r>
          </w:p>
        </w:tc>
        <w:tc>
          <w:tcPr>
            <w:tcW w:w="1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Cost</w:t>
            </w:r>
          </w:p>
        </w:tc>
        <w:tc>
          <w:tcPr>
            <w:tcW w:w="280" w:type="dxa"/>
            <w:vAlign w:val="bottom"/>
          </w:tcPr>
          <w:p>
            <w:pPr>
              <w:spacing w:after="0"/>
              <w:rPr>
                <w:sz w:val="12"/>
                <w:szCs w:val="12"/>
                <w:color w:val="auto"/>
              </w:rPr>
            </w:pPr>
          </w:p>
        </w:tc>
        <w:tc>
          <w:tcPr>
            <w:tcW w:w="3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2"/>
              </w:rPr>
              <w:t>Gains</w:t>
            </w:r>
          </w:p>
        </w:tc>
        <w:tc>
          <w:tcPr>
            <w:tcW w:w="280" w:type="dxa"/>
            <w:vAlign w:val="bottom"/>
          </w:tcPr>
          <w:p>
            <w:pPr>
              <w:spacing w:after="0"/>
              <w:rPr>
                <w:sz w:val="12"/>
                <w:szCs w:val="12"/>
                <w:color w:val="auto"/>
              </w:rPr>
            </w:pPr>
          </w:p>
        </w:tc>
        <w:tc>
          <w:tcPr>
            <w:tcW w:w="3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4"/>
              </w:rPr>
              <w:t>Losses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0"/>
              </w:rPr>
              <w:t>Value</w:t>
            </w:r>
          </w:p>
        </w:tc>
        <w:tc>
          <w:tcPr>
            <w:tcW w:w="500" w:type="dxa"/>
            <w:vAlign w:val="bottom"/>
          </w:tcPr>
          <w:p>
            <w:pPr>
              <w:jc w:val="right"/>
              <w:ind w:right="35"/>
              <w:spacing w:after="0" w:line="142" w:lineRule="exact"/>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2"/>
                <w:szCs w:val="12"/>
                <w:color w:val="auto"/>
              </w:rPr>
            </w:pPr>
          </w:p>
        </w:tc>
        <w:tc>
          <w:tcPr>
            <w:tcW w:w="64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Gains</w:t>
            </w:r>
          </w:p>
        </w:tc>
        <w:tc>
          <w:tcPr>
            <w:tcW w:w="3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4"/>
              </w:rPr>
              <w:t>Losses</w:t>
            </w:r>
          </w:p>
        </w:tc>
        <w:tc>
          <w:tcPr>
            <w:tcW w:w="280" w:type="dxa"/>
            <w:vAlign w:val="bottom"/>
          </w:tcPr>
          <w:p>
            <w:pPr>
              <w:spacing w:after="0"/>
              <w:rPr>
                <w:sz w:val="12"/>
                <w:szCs w:val="12"/>
                <w:color w:val="auto"/>
              </w:rPr>
            </w:pPr>
          </w:p>
        </w:tc>
        <w:tc>
          <w:tcPr>
            <w:tcW w:w="60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Marketable Securities</w:t>
            </w: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United States government and agencies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6,692</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6,695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$2,023</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200"/>
              <w:spacing w:after="0"/>
              <w:rPr>
                <w:sz w:val="20"/>
                <w:szCs w:val="20"/>
                <w:color w:val="auto"/>
              </w:rPr>
            </w:pPr>
            <w:r>
              <w:rPr>
                <w:rFonts w:ascii="Arial" w:cs="Arial" w:eastAsia="Arial" w:hAnsi="Arial"/>
                <w:sz w:val="18"/>
                <w:szCs w:val="18"/>
                <w:color w:val="auto"/>
              </w:rPr>
              <w:t>Sovereign debt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371</w:t>
            </w:r>
          </w:p>
        </w:tc>
        <w:tc>
          <w:tcPr>
            <w:tcW w:w="500" w:type="dxa"/>
            <w:vAlign w:val="bottom"/>
          </w:tcPr>
          <w:p>
            <w:pPr>
              <w:jc w:val="right"/>
              <w:spacing w:after="0"/>
              <w:rPr>
                <w:sz w:val="20"/>
                <w:szCs w:val="20"/>
                <w:color w:val="auto"/>
              </w:rPr>
            </w:pPr>
            <w:r>
              <w:rPr>
                <w:rFonts w:ascii="Arial" w:cs="Arial" w:eastAsia="Arial" w:hAnsi="Arial"/>
                <w:sz w:val="18"/>
                <w:szCs w:val="18"/>
                <w:color w:val="auto"/>
              </w:rPr>
              <w:t>773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Certificates of deposit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200"/>
              <w:spacing w:after="0"/>
              <w:rPr>
                <w:sz w:val="20"/>
                <w:szCs w:val="20"/>
                <w:color w:val="auto"/>
              </w:rPr>
            </w:pPr>
            <w:r>
              <w:rPr>
                <w:rFonts w:ascii="Arial" w:cs="Arial" w:eastAsia="Arial" w:hAnsi="Arial"/>
                <w:sz w:val="18"/>
                <w:szCs w:val="18"/>
                <w:color w:val="auto"/>
              </w:rPr>
              <w:t>Corporate debt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4,002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4,004</w:t>
            </w:r>
          </w:p>
        </w:tc>
        <w:tc>
          <w:tcPr>
            <w:tcW w:w="500" w:type="dxa"/>
            <w:vAlign w:val="bottom"/>
          </w:tcPr>
          <w:p>
            <w:pPr>
              <w:jc w:val="right"/>
              <w:spacing w:after="0"/>
              <w:rPr>
                <w:sz w:val="20"/>
                <w:szCs w:val="20"/>
                <w:color w:val="auto"/>
              </w:rPr>
            </w:pPr>
            <w:r>
              <w:rPr>
                <w:rFonts w:ascii="Arial" w:cs="Arial" w:eastAsia="Arial" w:hAnsi="Arial"/>
                <w:sz w:val="18"/>
                <w:szCs w:val="18"/>
                <w:color w:val="auto"/>
              </w:rPr>
              <w:t>1,670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500" w:type="dxa"/>
            <w:vAlign w:val="bottom"/>
          </w:tcPr>
          <w:p>
            <w:pPr>
              <w:jc w:val="right"/>
              <w:spacing w:after="0"/>
              <w:rPr>
                <w:sz w:val="20"/>
                <w:szCs w:val="20"/>
                <w:color w:val="auto"/>
              </w:rPr>
            </w:pPr>
            <w:r>
              <w:rPr>
                <w:rFonts w:ascii="Arial" w:cs="Arial" w:eastAsia="Arial" w:hAnsi="Arial"/>
                <w:sz w:val="18"/>
                <w:szCs w:val="18"/>
                <w:color w:val="auto"/>
              </w:rPr>
              <w:t>1,669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12,148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3"/>
              </w:rPr>
              <w:t>12,153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Total trading securities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145</w:t>
            </w:r>
          </w:p>
        </w:tc>
        <w:tc>
          <w:tcPr>
            <w:tcW w:w="500" w:type="dxa"/>
            <w:vAlign w:val="bottom"/>
          </w:tcPr>
          <w:p>
            <w:pPr>
              <w:jc w:val="right"/>
              <w:spacing w:after="0"/>
              <w:rPr>
                <w:sz w:val="20"/>
                <w:szCs w:val="20"/>
                <w:color w:val="auto"/>
              </w:rPr>
            </w:pPr>
            <w:r>
              <w:rPr>
                <w:rFonts w:ascii="Arial" w:cs="Arial" w:eastAsia="Arial" w:hAnsi="Arial"/>
                <w:sz w:val="18"/>
                <w:szCs w:val="18"/>
                <w:color w:val="auto"/>
              </w:rPr>
              <w:t>129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10</w:t>
            </w:r>
          </w:p>
        </w:tc>
        <w:tc>
          <w:tcPr>
            <w:tcW w:w="200" w:type="dxa"/>
            <w:vAlign w:val="bottom"/>
          </w:tcPr>
          <w:p>
            <w:pPr>
              <w:spacing w:after="0"/>
              <w:rPr>
                <w:sz w:val="18"/>
                <w:szCs w:val="18"/>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50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Total marketable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12,289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3"/>
              </w:rPr>
              <w:t>12,298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5,549</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5,555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228"/>
        <w:spacing w:after="0" w:line="259" w:lineRule="auto"/>
        <w:rPr>
          <w:sz w:val="20"/>
          <w:szCs w:val="20"/>
          <w:color w:val="auto"/>
        </w:rPr>
      </w:pPr>
      <w:r>
        <w:rPr>
          <w:rFonts w:ascii="Arial" w:cs="Arial" w:eastAsia="Arial" w:hAnsi="Arial"/>
          <w:sz w:val="18"/>
          <w:szCs w:val="18"/>
          <w:color w:val="auto"/>
        </w:rPr>
        <w:t>We maintained $93 million and $89 million of the above trading securities as compensating balances to support letters of credit of $78 million and $74 million at June 30, 2011 and December 31, 2010. We have access to these securities in the normal course of business; however, the letters of credit may be withdrawn if the minimum collateral balance is not maintained.</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summarizes securities classified as Cash and cash equivalents and restricted cash and marketable securities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June 30, 2011</w:t>
            </w:r>
          </w:p>
        </w:tc>
        <w:tc>
          <w:tcPr>
            <w:tcW w:w="36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1"/>
              </w:rPr>
              <w:t>December 31, 2010</w:t>
            </w:r>
          </w:p>
        </w:tc>
      </w:tr>
      <w:tr>
        <w:trPr>
          <w:trHeight w:val="210"/>
        </w:trPr>
        <w:tc>
          <w:tcPr>
            <w:tcW w:w="67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Securities classified as cash and cash equivalents</w:t>
            </w:r>
          </w:p>
        </w:tc>
        <w:tc>
          <w:tcPr>
            <w:tcW w:w="20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13,592</w:t>
            </w: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6720" w:type="dxa"/>
            <w:vAlign w:val="bottom"/>
          </w:tcPr>
          <w:p>
            <w:pPr>
              <w:spacing w:after="0"/>
              <w:rPr>
                <w:sz w:val="20"/>
                <w:szCs w:val="20"/>
                <w:color w:val="auto"/>
              </w:rPr>
            </w:pPr>
            <w:r>
              <w:rPr>
                <w:rFonts w:ascii="Arial" w:cs="Arial" w:eastAsia="Arial" w:hAnsi="Arial"/>
                <w:sz w:val="18"/>
                <w:szCs w:val="18"/>
                <w:color w:val="auto"/>
              </w:rPr>
              <w:t>Securities classified as restricted cash and marketable securities (a)</w:t>
            </w:r>
          </w:p>
        </w:tc>
        <w:tc>
          <w:tcPr>
            <w:tcW w:w="220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1,602</w:t>
            </w:r>
          </w:p>
        </w:tc>
        <w:tc>
          <w:tcPr>
            <w:tcW w:w="70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1,474</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58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Securities classified as restricted cash and marketable securities are recorded in Other current assets and deferred income taxes and Other assets and deferred income taxes.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Refer to Note 19 for classes of securities underlying Cash and cash equivalents and restricted cash and marketable securities.</w:t>
      </w:r>
    </w:p>
    <w:p>
      <w:pPr>
        <w:spacing w:after="0" w:line="171" w:lineRule="exact"/>
        <w:rPr>
          <w:sz w:val="20"/>
          <w:szCs w:val="20"/>
          <w:color w:val="auto"/>
        </w:rPr>
      </w:pPr>
    </w:p>
    <w:p>
      <w:pPr>
        <w:ind w:right="200" w:firstLine="228"/>
        <w:spacing w:after="0" w:line="268" w:lineRule="auto"/>
        <w:rPr>
          <w:sz w:val="20"/>
          <w:szCs w:val="20"/>
          <w:color w:val="auto"/>
        </w:rPr>
      </w:pPr>
      <w:r>
        <w:rPr>
          <w:rFonts w:ascii="Arial" w:cs="Arial" w:eastAsia="Arial" w:hAnsi="Arial"/>
          <w:sz w:val="18"/>
          <w:szCs w:val="18"/>
          <w:color w:val="auto"/>
        </w:rPr>
        <w:t>The following table summarizes proceeds from and realized gains and losses on disposals of investments in marketable securities classified as available-for-sale and sold prior to maturity (dollars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tcPr>
          <w:p>
            <w:pPr>
              <w:jc w:val="center"/>
              <w:ind w:left="40"/>
              <w:spacing w:after="0"/>
              <w:rPr>
                <w:sz w:val="20"/>
                <w:szCs w:val="20"/>
                <w:color w:val="auto"/>
              </w:rPr>
            </w:pPr>
            <w:r>
              <w:rPr>
                <w:rFonts w:ascii="Arial" w:cs="Arial" w:eastAsia="Arial" w:hAnsi="Arial"/>
                <w:sz w:val="14"/>
                <w:szCs w:val="14"/>
                <w:b w:val="1"/>
                <w:bCs w:val="1"/>
                <w:color w:val="auto"/>
                <w:w w:val="89"/>
              </w:rPr>
              <w:t>Three Months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4"/>
          </w:tcPr>
          <w:p>
            <w:pPr>
              <w:jc w:val="center"/>
              <w:ind w:left="40"/>
              <w:spacing w:after="0"/>
              <w:rPr>
                <w:sz w:val="20"/>
                <w:szCs w:val="20"/>
                <w:color w:val="auto"/>
              </w:rPr>
            </w:pPr>
            <w:r>
              <w:rPr>
                <w:rFonts w:ascii="Arial" w:cs="Arial" w:eastAsia="Arial" w:hAnsi="Arial"/>
                <w:sz w:val="14"/>
                <w:szCs w:val="14"/>
                <w:b w:val="1"/>
                <w:bCs w:val="1"/>
                <w:color w:val="auto"/>
                <w:w w:val="88"/>
              </w:rPr>
              <w:t>Six Months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8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gridSpan w:val="2"/>
          </w:tcPr>
          <w:p>
            <w:pPr>
              <w:jc w:val="center"/>
              <w:ind w:right="123"/>
              <w:spacing w:after="0" w:line="149" w:lineRule="exact"/>
              <w:rPr>
                <w:sz w:val="20"/>
                <w:szCs w:val="20"/>
                <w:color w:val="auto"/>
              </w:rPr>
            </w:pPr>
            <w:r>
              <w:rPr>
                <w:rFonts w:ascii="Arial" w:cs="Arial" w:eastAsia="Arial" w:hAnsi="Arial"/>
                <w:sz w:val="14"/>
                <w:szCs w:val="14"/>
                <w:b w:val="1"/>
                <w:bCs w:val="1"/>
                <w:color w:val="auto"/>
                <w:w w:val="84"/>
              </w:rPr>
              <w:t>Ended</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tcPr>
          <w:p>
            <w:pPr>
              <w:jc w:val="center"/>
              <w:ind w:right="123"/>
              <w:spacing w:after="0" w:line="149" w:lineRule="exact"/>
              <w:rPr>
                <w:sz w:val="20"/>
                <w:szCs w:val="20"/>
                <w:color w:val="auto"/>
              </w:rPr>
            </w:pPr>
            <w:r>
              <w:rPr>
                <w:rFonts w:ascii="Arial" w:cs="Arial" w:eastAsia="Arial" w:hAnsi="Arial"/>
                <w:sz w:val="14"/>
                <w:szCs w:val="14"/>
                <w:b w:val="1"/>
                <w:bCs w:val="1"/>
                <w:color w:val="auto"/>
                <w:w w:val="88"/>
              </w:rPr>
              <w:t>Ended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8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center"/>
              <w:ind w:left="20"/>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4"/>
          </w:tcPr>
          <w:p>
            <w:pPr>
              <w:jc w:val="center"/>
              <w:ind w:left="40"/>
              <w:spacing w:after="0"/>
              <w:rPr>
                <w:sz w:val="20"/>
                <w:szCs w:val="20"/>
                <w:color w:val="auto"/>
              </w:rPr>
            </w:pPr>
            <w:r>
              <w:rPr>
                <w:rFonts w:ascii="Arial" w:cs="Arial" w:eastAsia="Arial" w:hAnsi="Arial"/>
                <w:sz w:val="14"/>
                <w:szCs w:val="14"/>
                <w:b w:val="1"/>
                <w:bCs w:val="1"/>
                <w:color w:val="auto"/>
                <w:w w:val="89"/>
              </w:rPr>
              <w:t>June 30,</w:t>
            </w:r>
          </w:p>
        </w:tc>
        <w:tc>
          <w:tcPr>
            <w:tcW w:w="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200" w:type="dxa"/>
            <w:vAlign w:val="bottom"/>
          </w:tcPr>
          <w:p>
            <w:pPr>
              <w:spacing w:after="0"/>
              <w:rPr>
                <w:sz w:val="12"/>
                <w:szCs w:val="12"/>
                <w:color w:val="auto"/>
              </w:rPr>
            </w:pPr>
          </w:p>
        </w:tc>
        <w:tc>
          <w:tcPr>
            <w:tcW w:w="4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9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40" w:type="dxa"/>
            <w:vAlign w:val="bottom"/>
          </w:tcPr>
          <w:p>
            <w:pPr>
              <w:spacing w:after="0"/>
              <w:rPr>
                <w:sz w:val="12"/>
                <w:szCs w:val="12"/>
                <w:color w:val="auto"/>
              </w:rPr>
            </w:pPr>
          </w:p>
        </w:tc>
        <w:tc>
          <w:tcPr>
            <w:tcW w:w="8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8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Sales proceeds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132</w:t>
            </w:r>
          </w:p>
        </w:tc>
        <w:tc>
          <w:tcPr>
            <w:tcW w:w="5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249</w:t>
            </w:r>
          </w:p>
        </w:tc>
        <w:tc>
          <w:tcPr>
            <w:tcW w:w="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Realized gains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Realized losses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8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6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54" w:lineRule="exact"/>
        <w:rPr>
          <w:sz w:val="20"/>
          <w:szCs w:val="20"/>
          <w:color w:val="auto"/>
        </w:rPr>
      </w:pPr>
    </w:p>
    <w:p>
      <w:pPr>
        <w:ind w:right="380" w:firstLine="228"/>
        <w:spacing w:after="0" w:line="268" w:lineRule="auto"/>
        <w:rPr>
          <w:sz w:val="20"/>
          <w:szCs w:val="20"/>
          <w:color w:val="auto"/>
        </w:rPr>
      </w:pPr>
      <w:r>
        <w:rPr>
          <w:rFonts w:ascii="Arial" w:cs="Arial" w:eastAsia="Arial" w:hAnsi="Arial"/>
          <w:sz w:val="18"/>
          <w:szCs w:val="18"/>
          <w:color w:val="auto"/>
        </w:rPr>
        <w:t>The following table summarizes the fair value of investments classified as available-for-sale securities by contractual maturity at June 30, 2011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4"/>
          </w:tcPr>
          <w:p>
            <w:pPr>
              <w:spacing w:after="0"/>
              <w:rPr>
                <w:sz w:val="20"/>
                <w:szCs w:val="20"/>
                <w:color w:val="auto"/>
              </w:rPr>
            </w:pPr>
            <w:r>
              <w:rPr>
                <w:rFonts w:ascii="Arial" w:cs="Arial" w:eastAsia="Arial" w:hAnsi="Arial"/>
                <w:sz w:val="14"/>
                <w:szCs w:val="14"/>
                <w:b w:val="1"/>
                <w:bCs w:val="1"/>
                <w:color w:val="auto"/>
                <w:w w:val="88"/>
              </w:rPr>
              <w:t>Amortized Cost</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6"/>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Due in one year or less</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10,039</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2"/>
              </w:rPr>
              <w:t>$ 10,042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2,109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2,111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maturities of available-for-sale debt securities</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12,148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1"/>
              </w:rPr>
              <w:t>$ 12,153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5. Finance Receivables, net</w:t>
            </w: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862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Automotive Financing — GM Financial</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8600" w:type="dxa"/>
            <w:vAlign w:val="bottom"/>
          </w:tcPr>
          <w:p>
            <w:pPr>
              <w:ind w:left="220"/>
              <w:spacing w:after="0"/>
              <w:rPr>
                <w:sz w:val="20"/>
                <w:szCs w:val="20"/>
                <w:color w:val="auto"/>
              </w:rPr>
            </w:pPr>
            <w:r>
              <w:rPr>
                <w:rFonts w:ascii="Arial" w:cs="Arial" w:eastAsia="Arial" w:hAnsi="Arial"/>
                <w:sz w:val="18"/>
                <w:szCs w:val="18"/>
                <w:color w:val="auto"/>
              </w:rPr>
              <w:t>The following table summarizes the components of Finance receivables, net (dollars in millions):</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8600" w:type="dxa"/>
            <w:vAlign w:val="bottom"/>
          </w:tcPr>
          <w:p>
            <w:pPr>
              <w:spacing w:after="0"/>
              <w:rPr>
                <w:sz w:val="24"/>
                <w:szCs w:val="2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83"/>
              </w:rPr>
              <w:t>June 30, 2011</w:t>
            </w: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gridSpan w:val="6"/>
          </w:tcPr>
          <w:p>
            <w:pPr>
              <w:spacing w:after="0"/>
              <w:rPr>
                <w:sz w:val="20"/>
                <w:szCs w:val="20"/>
                <w:color w:val="auto"/>
              </w:rPr>
            </w:pPr>
            <w:r>
              <w:rPr>
                <w:rFonts w:ascii="Arial" w:cs="Arial" w:eastAsia="Arial" w:hAnsi="Arial"/>
                <w:sz w:val="14"/>
                <w:szCs w:val="14"/>
                <w:b w:val="1"/>
                <w:bCs w:val="1"/>
                <w:color w:val="auto"/>
                <w:w w:val="93"/>
              </w:rPr>
              <w:t>December 31, 2010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Pre-acquisition finance receivables</w:t>
            </w: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5,887</w:t>
            </w:r>
          </w:p>
        </w:tc>
        <w:tc>
          <w:tcPr>
            <w:tcW w:w="4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7,724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Post-acquisition finance receivables</w:t>
            </w:r>
          </w:p>
        </w:tc>
        <w:tc>
          <w:tcPr>
            <w:tcW w:w="3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3,223</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Total finance receivables</w:t>
            </w:r>
          </w:p>
        </w:tc>
        <w:tc>
          <w:tcPr>
            <w:tcW w:w="3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12"/>
              <w:spacing w:after="0"/>
              <w:rPr>
                <w:sz w:val="20"/>
                <w:szCs w:val="20"/>
                <w:color w:val="auto"/>
              </w:rPr>
            </w:pPr>
            <w:r>
              <w:rPr>
                <w:rFonts w:ascii="Arial" w:cs="Arial" w:eastAsia="Arial" w:hAnsi="Arial"/>
                <w:sz w:val="18"/>
                <w:szCs w:val="18"/>
                <w:color w:val="auto"/>
                <w:w w:val="88"/>
              </w:rPr>
              <w:t>9,110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8,648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Purchase price premium</w:t>
            </w:r>
          </w:p>
        </w:tc>
        <w:tc>
          <w:tcPr>
            <w:tcW w:w="3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423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Less non-accretable discount on pre-acquisition finance receivables</w:t>
            </w:r>
          </w:p>
        </w:tc>
        <w:tc>
          <w:tcPr>
            <w:tcW w:w="3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color w:val="auto"/>
              </w:rPr>
              <w:t>(524)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Less allowance for loan losses on post-acquisition receivables</w:t>
            </w:r>
          </w:p>
        </w:tc>
        <w:tc>
          <w:tcPr>
            <w:tcW w:w="360" w:type="dxa"/>
            <w:vAlign w:val="bottom"/>
          </w:tcPr>
          <w:p>
            <w:pPr>
              <w:spacing w:after="0"/>
              <w:rPr>
                <w:sz w:val="19"/>
                <w:szCs w:val="19"/>
                <w:color w:val="auto"/>
              </w:rPr>
            </w:pPr>
          </w:p>
        </w:tc>
        <w:tc>
          <w:tcPr>
            <w:tcW w:w="820" w:type="dxa"/>
            <w:vAlign w:val="bottom"/>
            <w:gridSpan w:val="3"/>
          </w:tcPr>
          <w:p>
            <w:pPr>
              <w:jc w:val="right"/>
              <w:ind w:right="252"/>
              <w:spacing w:after="0"/>
              <w:rPr>
                <w:sz w:val="20"/>
                <w:szCs w:val="20"/>
                <w:color w:val="auto"/>
              </w:rPr>
            </w:pPr>
            <w:r>
              <w:rPr>
                <w:rFonts w:ascii="Arial" w:cs="Arial" w:eastAsia="Arial" w:hAnsi="Arial"/>
                <w:sz w:val="18"/>
                <w:szCs w:val="18"/>
                <w:color w:val="auto"/>
              </w:rPr>
              <w:t>(108)</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4"/>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Total finance receivables, net</w:t>
            </w: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8,587</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8,197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vMerge w:val="restart"/>
          </w:tcPr>
          <w:p>
            <w:pPr>
              <w:ind w:left="220"/>
              <w:spacing w:after="0"/>
              <w:rPr>
                <w:sz w:val="20"/>
                <w:szCs w:val="20"/>
                <w:color w:val="auto"/>
              </w:rPr>
            </w:pPr>
            <w:r>
              <w:rPr>
                <w:rFonts w:ascii="Arial" w:cs="Arial" w:eastAsia="Arial" w:hAnsi="Arial"/>
                <w:sz w:val="18"/>
                <w:szCs w:val="18"/>
                <w:color w:val="auto"/>
              </w:rPr>
              <w:t>The following table summarizes activity for finance receivables (dollars in millions):</w:t>
            </w: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86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8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gridSpan w:val="5"/>
          </w:tcPr>
          <w:p>
            <w:pPr>
              <w:spacing w:after="0"/>
              <w:rPr>
                <w:sz w:val="20"/>
                <w:szCs w:val="20"/>
                <w:color w:val="auto"/>
              </w:rPr>
            </w:pPr>
            <w:r>
              <w:rPr>
                <w:rFonts w:ascii="Arial" w:cs="Arial" w:eastAsia="Arial" w:hAnsi="Arial"/>
                <w:sz w:val="14"/>
                <w:szCs w:val="14"/>
                <w:b w:val="1"/>
                <w:bCs w:val="1"/>
                <w:color w:val="auto"/>
              </w:rPr>
              <w:t>Three Months</w:t>
            </w:r>
          </w:p>
        </w:tc>
        <w:tc>
          <w:tcPr>
            <w:tcW w:w="300" w:type="dxa"/>
            <w:vAlign w:val="bottom"/>
          </w:tcPr>
          <w:p>
            <w:pPr>
              <w:spacing w:after="0"/>
              <w:rPr>
                <w:sz w:val="24"/>
                <w:szCs w:val="24"/>
                <w:color w:val="auto"/>
              </w:rPr>
            </w:pPr>
          </w:p>
        </w:tc>
        <w:tc>
          <w:tcPr>
            <w:tcW w:w="90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gridSpan w:val="5"/>
          </w:tcPr>
          <w:p>
            <w:pPr>
              <w:ind w:left="220"/>
              <w:spacing w:after="0" w:line="149" w:lineRule="exact"/>
              <w:rPr>
                <w:sz w:val="20"/>
                <w:szCs w:val="20"/>
                <w:color w:val="auto"/>
              </w:rPr>
            </w:pPr>
            <w:r>
              <w:rPr>
                <w:rFonts w:ascii="Arial" w:cs="Arial" w:eastAsia="Arial" w:hAnsi="Arial"/>
                <w:sz w:val="14"/>
                <w:szCs w:val="14"/>
                <w:b w:val="1"/>
                <w:bCs w:val="1"/>
                <w:color w:val="auto"/>
              </w:rPr>
              <w:t>Ended</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gridSpan w:val="5"/>
          </w:tcPr>
          <w:p>
            <w:pPr>
              <w:ind w:left="20"/>
              <w:spacing w:after="0"/>
              <w:rPr>
                <w:sz w:val="20"/>
                <w:szCs w:val="20"/>
                <w:color w:val="auto"/>
              </w:rPr>
            </w:pPr>
            <w:r>
              <w:rPr>
                <w:rFonts w:ascii="Arial" w:cs="Arial" w:eastAsia="Arial" w:hAnsi="Arial"/>
                <w:sz w:val="14"/>
                <w:szCs w:val="14"/>
                <w:b w:val="1"/>
                <w:bCs w:val="1"/>
                <w:color w:val="auto"/>
              </w:rPr>
              <w:t>June 30, 2011</w:t>
            </w:r>
          </w:p>
        </w:tc>
        <w:tc>
          <w:tcPr>
            <w:tcW w:w="300" w:type="dxa"/>
            <w:vAlign w:val="bottom"/>
          </w:tcPr>
          <w:p>
            <w:pPr>
              <w:spacing w:after="0"/>
              <w:rPr>
                <w:sz w:val="14"/>
                <w:szCs w:val="14"/>
                <w:color w:val="auto"/>
              </w:rPr>
            </w:pPr>
          </w:p>
        </w:tc>
        <w:tc>
          <w:tcPr>
            <w:tcW w:w="900" w:type="dxa"/>
            <w:vAlign w:val="bottom"/>
            <w:gridSpan w:val="5"/>
          </w:tcPr>
          <w:p>
            <w:pPr>
              <w:ind w:left="20"/>
              <w:spacing w:after="0"/>
              <w:rPr>
                <w:sz w:val="20"/>
                <w:szCs w:val="20"/>
                <w:color w:val="auto"/>
              </w:rPr>
            </w:pPr>
            <w:r>
              <w:rPr>
                <w:rFonts w:ascii="Arial" w:cs="Arial" w:eastAsia="Arial" w:hAnsi="Arial"/>
                <w:sz w:val="14"/>
                <w:szCs w:val="14"/>
                <w:b w:val="1"/>
                <w:bCs w:val="1"/>
                <w:color w:val="auto"/>
                <w:w w:val="94"/>
              </w:rPr>
              <w:t>June 30, 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beginning of period</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8,750</w:t>
            </w:r>
          </w:p>
        </w:tc>
        <w:tc>
          <w:tcPr>
            <w:tcW w:w="4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8,648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Loans purchased</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1,349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2,487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Charge-offs</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Principal collections and other</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(859)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4"/>
          </w:tcPr>
          <w:p>
            <w:pPr>
              <w:jc w:val="right"/>
              <w:ind w:right="40"/>
              <w:spacing w:after="0"/>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360" w:type="dxa"/>
            <w:vAlign w:val="bottom"/>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9,110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9,110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20" w:type="dxa"/>
            <w:vAlign w:val="bottom"/>
            <w:gridSpan w:val="2"/>
            <w:vMerge w:val="restart"/>
          </w:tcPr>
          <w:p>
            <w:pPr>
              <w:jc w:val="right"/>
              <w:ind w:right="2732"/>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62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jc w:val="both"/>
        <w:ind w:right="40" w:firstLine="228"/>
        <w:spacing w:after="0" w:line="259" w:lineRule="auto"/>
        <w:rPr>
          <w:sz w:val="20"/>
          <w:szCs w:val="20"/>
          <w:color w:val="auto"/>
        </w:rPr>
      </w:pPr>
      <w:r>
        <w:rPr>
          <w:rFonts w:ascii="Arial" w:cs="Arial" w:eastAsia="Arial" w:hAnsi="Arial"/>
          <w:sz w:val="18"/>
          <w:szCs w:val="18"/>
          <w:color w:val="auto"/>
        </w:rPr>
        <w:t>Finance contracts are purchased by GM Financial from automobile dealers without recourse, and accordingly, the dealer has no liability to GM Financial if the consumer defaults on the contract. Finance receivables are collateralized by vehicle titles and GM Financial has the right to repossess the vehicle in the event the consumer defaults on the payment terms of the contract.</w:t>
      </w:r>
    </w:p>
    <w:p>
      <w:pPr>
        <w:spacing w:after="0" w:line="140" w:lineRule="exact"/>
        <w:rPr>
          <w:sz w:val="20"/>
          <w:szCs w:val="20"/>
          <w:color w:val="auto"/>
        </w:rPr>
      </w:pPr>
    </w:p>
    <w:p>
      <w:pPr>
        <w:ind w:right="380" w:firstLine="228"/>
        <w:spacing w:after="0" w:line="268" w:lineRule="auto"/>
        <w:rPr>
          <w:sz w:val="20"/>
          <w:szCs w:val="20"/>
          <w:color w:val="auto"/>
        </w:rPr>
      </w:pPr>
      <w:r>
        <w:rPr>
          <w:rFonts w:ascii="Arial" w:cs="Arial" w:eastAsia="Arial" w:hAnsi="Arial"/>
          <w:sz w:val="18"/>
          <w:szCs w:val="18"/>
          <w:color w:val="auto"/>
        </w:rPr>
        <w:t>At June 30, 2011 and December 31, 2010 the accrual of finance charge income has been suspended on delinquent finance receivables of $419 million and $491 million.</w:t>
      </w:r>
    </w:p>
    <w:p>
      <w:pPr>
        <w:spacing w:after="0" w:line="132" w:lineRule="exact"/>
        <w:rPr>
          <w:sz w:val="20"/>
          <w:szCs w:val="20"/>
          <w:color w:val="auto"/>
        </w:rPr>
      </w:pPr>
    </w:p>
    <w:p>
      <w:pPr>
        <w:ind w:right="180" w:firstLine="228"/>
        <w:spacing w:after="0" w:line="255" w:lineRule="auto"/>
        <w:rPr>
          <w:sz w:val="20"/>
          <w:szCs w:val="20"/>
          <w:color w:val="auto"/>
        </w:rPr>
      </w:pPr>
      <w:r>
        <w:rPr>
          <w:rFonts w:ascii="Arial" w:cs="Arial" w:eastAsia="Arial" w:hAnsi="Arial"/>
          <w:sz w:val="18"/>
          <w:szCs w:val="18"/>
          <w:color w:val="auto"/>
        </w:rPr>
        <w:t>GM Financial reviews its pre-acquisition portfolio for differences between contractual cash flows and the cash flows expected to be collected from its initial investment in the pre-acquisition portfolio to determine if the difference is attributable, at least, in part to credit quality. At June 30, 2011 improvement in the performance of the pre-acquisition portfolio indicated that the non-accretable discount exceeded expected future credit losses by $187 million. At June 30, 2011 GM Financial transferred this excess non-accretable discount as an offset to finance receivables premium. GM Financial will recognize this excess as finance charge income over the remaining life of the portfolio.</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activity for purchase price premium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420" w:type="dxa"/>
            <w:vAlign w:val="bottom"/>
          </w:tcPr>
          <w:p>
            <w:pPr>
              <w:spacing w:after="0"/>
              <w:rPr>
                <w:sz w:val="14"/>
                <w:szCs w:val="14"/>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w w:val="98"/>
              </w:rPr>
              <w:t>Ended</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 2011</w:t>
            </w:r>
          </w:p>
        </w:tc>
        <w:tc>
          <w:tcPr>
            <w:tcW w:w="42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June 30, 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beginning of period</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4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Amortization of premium</w:t>
            </w:r>
          </w:p>
        </w:tc>
        <w:tc>
          <w:tcPr>
            <w:tcW w:w="16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(59)</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Transfer from non-accretable discount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(187)</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
        </w:trPr>
        <w:tc>
          <w:tcPr>
            <w:tcW w:w="8800" w:type="dxa"/>
            <w:vAlign w:val="bottom"/>
            <w:gridSpan w:val="2"/>
            <w:vMerge w:val="restart"/>
          </w:tcPr>
          <w:p>
            <w:pPr>
              <w:spacing w:after="0"/>
              <w:rPr>
                <w:sz w:val="20"/>
                <w:szCs w:val="20"/>
                <w:color w:val="auto"/>
              </w:rPr>
            </w:pPr>
            <w:r>
              <w:rPr>
                <w:rFonts w:ascii="Arial" w:cs="Arial" w:eastAsia="Arial" w:hAnsi="Arial"/>
                <w:sz w:val="18"/>
                <w:szCs w:val="18"/>
                <w:color w:val="auto"/>
              </w:rPr>
              <w:t>Balance at end of period</w:t>
            </w: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800" w:type="dxa"/>
            <w:vAlign w:val="bottom"/>
            <w:gridSpan w:val="2"/>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109</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vMerge w:val="restart"/>
          </w:tcPr>
          <w:p>
            <w:pPr>
              <w:ind w:left="220"/>
              <w:spacing w:after="0"/>
              <w:rPr>
                <w:sz w:val="20"/>
                <w:szCs w:val="20"/>
                <w:color w:val="auto"/>
              </w:rPr>
            </w:pPr>
            <w:r>
              <w:rPr>
                <w:rFonts w:ascii="Arial" w:cs="Arial" w:eastAsia="Arial" w:hAnsi="Arial"/>
                <w:sz w:val="18"/>
                <w:szCs w:val="18"/>
                <w:color w:val="auto"/>
              </w:rPr>
              <w:t>The following table summarizes activity for non-accretable pre-acquisition discount (dollars in millions):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87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8780" w:type="dxa"/>
            <w:vAlign w:val="bottom"/>
          </w:tcPr>
          <w:p>
            <w:pPr>
              <w:spacing w:after="0"/>
              <w:rPr>
                <w:sz w:val="24"/>
                <w:szCs w:val="2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420" w:type="dxa"/>
            <w:vAlign w:val="bottom"/>
          </w:tcPr>
          <w:p>
            <w:pPr>
              <w:spacing w:after="0"/>
              <w:rPr>
                <w:sz w:val="24"/>
                <w:szCs w:val="24"/>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w w:val="98"/>
              </w:rPr>
              <w:t>Ended</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 2011</w:t>
            </w:r>
          </w:p>
        </w:tc>
        <w:tc>
          <w:tcPr>
            <w:tcW w:w="42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June 30, 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beginning of period</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4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Recoveries</w:t>
            </w:r>
          </w:p>
        </w:tc>
        <w:tc>
          <w:tcPr>
            <w:tcW w:w="16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71</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Charge-offs</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(124)</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Transfer to finance receivables premium</w:t>
            </w:r>
          </w:p>
        </w:tc>
        <w:tc>
          <w:tcPr>
            <w:tcW w:w="16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(187)</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524</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vMerge w:val="restart"/>
          </w:tcPr>
          <w:p>
            <w:pPr>
              <w:ind w:left="220"/>
              <w:spacing w:after="0"/>
              <w:rPr>
                <w:sz w:val="20"/>
                <w:szCs w:val="20"/>
                <w:color w:val="auto"/>
              </w:rPr>
            </w:pPr>
            <w:r>
              <w:rPr>
                <w:rFonts w:ascii="Arial" w:cs="Arial" w:eastAsia="Arial" w:hAnsi="Arial"/>
                <w:sz w:val="18"/>
                <w:szCs w:val="18"/>
                <w:color w:val="auto"/>
                <w:w w:val="98"/>
              </w:rPr>
              <w:t>The following table summarizes activity for the allowance for post-acquisition loan losses (dollars in millions):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87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8780" w:type="dxa"/>
            <w:vAlign w:val="bottom"/>
          </w:tcPr>
          <w:p>
            <w:pPr>
              <w:spacing w:after="0"/>
              <w:rPr>
                <w:sz w:val="24"/>
                <w:szCs w:val="2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420" w:type="dxa"/>
            <w:vAlign w:val="bottom"/>
          </w:tcPr>
          <w:p>
            <w:pPr>
              <w:spacing w:after="0"/>
              <w:rPr>
                <w:sz w:val="24"/>
                <w:szCs w:val="24"/>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w w:val="98"/>
              </w:rPr>
              <w:t>Ended</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 2011</w:t>
            </w:r>
          </w:p>
        </w:tc>
        <w:tc>
          <w:tcPr>
            <w:tcW w:w="42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June 30, 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beginning of period</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4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16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45</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Charge-offs</w:t>
            </w:r>
          </w:p>
        </w:tc>
        <w:tc>
          <w:tcPr>
            <w:tcW w:w="16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(6)</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108</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8800" w:type="dxa"/>
            <w:vAlign w:val="bottom"/>
            <w:gridSpan w:val="2"/>
            <w:vMerge w:val="restart"/>
          </w:tcPr>
          <w:p>
            <w:pPr>
              <w:jc w:val="right"/>
              <w:ind w:right="2912"/>
              <w:spacing w:after="0"/>
              <w:rPr>
                <w:sz w:val="20"/>
                <w:szCs w:val="20"/>
                <w:color w:val="auto"/>
              </w:rPr>
            </w:pPr>
            <w:r>
              <w:rPr>
                <w:rFonts w:ascii="Arial" w:cs="Arial" w:eastAsia="Arial" w:hAnsi="Arial"/>
                <w:sz w:val="18"/>
                <w:szCs w:val="18"/>
                <w:color w:val="auto"/>
              </w:rPr>
              <w:t>11</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8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Quality</w:t>
      </w:r>
    </w:p>
    <w:p>
      <w:pPr>
        <w:spacing w:after="0" w:line="171" w:lineRule="exact"/>
        <w:rPr>
          <w:sz w:val="20"/>
          <w:szCs w:val="20"/>
          <w:color w:val="auto"/>
        </w:rPr>
      </w:pPr>
    </w:p>
    <w:p>
      <w:pPr>
        <w:ind w:right="280" w:firstLine="228"/>
        <w:spacing w:after="0" w:line="332" w:lineRule="auto"/>
        <w:rPr>
          <w:sz w:val="20"/>
          <w:szCs w:val="20"/>
          <w:color w:val="auto"/>
        </w:rPr>
      </w:pPr>
      <w:r>
        <w:rPr>
          <w:rFonts w:ascii="Arial" w:cs="Arial" w:eastAsia="Arial" w:hAnsi="Arial"/>
          <w:sz w:val="16"/>
          <w:szCs w:val="16"/>
          <w:color w:val="auto"/>
        </w:rPr>
        <w:t>Credit bureau scores, generally referred to as FICO scores, are determined during GM Financial’s automotive loan origination process. The following table summarizes the credit risk profile of finance receivables by FICO score band, determined at origination (dollars 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June 30, 2011</w:t>
            </w:r>
          </w:p>
        </w:tc>
        <w:tc>
          <w:tcPr>
            <w:tcW w:w="420" w:type="dxa"/>
            <w:vAlign w:val="bottom"/>
          </w:tcPr>
          <w:p>
            <w:pPr>
              <w:spacing w:after="0"/>
              <w:rPr>
                <w:sz w:val="14"/>
                <w:szCs w:val="14"/>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4"/>
              </w:rPr>
              <w:t>December 31, 2010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FICO score less than 540</w:t>
            </w:r>
          </w:p>
        </w:tc>
        <w:tc>
          <w:tcPr>
            <w:tcW w:w="3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4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8"/>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FICO score 540 to 599</w:t>
            </w:r>
          </w:p>
        </w:tc>
        <w:tc>
          <w:tcPr>
            <w:tcW w:w="3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3,794</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FICO score 600 to 659</w:t>
            </w:r>
          </w:p>
        </w:tc>
        <w:tc>
          <w:tcPr>
            <w:tcW w:w="3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2,672</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FICO score 660 and greater</w:t>
            </w:r>
          </w:p>
        </w:tc>
        <w:tc>
          <w:tcPr>
            <w:tcW w:w="3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939</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Total finance receivables</w:t>
            </w:r>
          </w:p>
        </w:tc>
        <w:tc>
          <w:tcPr>
            <w:tcW w:w="3580" w:type="dxa"/>
            <w:vAlign w:val="bottom"/>
            <w:gridSpan w:val="2"/>
            <w:shd w:val="clear" w:color="auto" w:fill="CCEEFF"/>
          </w:tcPr>
          <w:p>
            <w:pPr>
              <w:ind w:left="33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9,110</w:t>
            </w:r>
          </w:p>
        </w:tc>
        <w:tc>
          <w:tcPr>
            <w:tcW w:w="8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Delinquency</w:t>
      </w:r>
    </w:p>
    <w:p>
      <w:pPr>
        <w:spacing w:after="0" w:line="171" w:lineRule="exact"/>
        <w:rPr>
          <w:sz w:val="20"/>
          <w:szCs w:val="20"/>
          <w:color w:val="auto"/>
        </w:rPr>
      </w:pPr>
    </w:p>
    <w:p>
      <w:pPr>
        <w:ind w:right="300" w:firstLine="228"/>
        <w:spacing w:after="0" w:line="268" w:lineRule="auto"/>
        <w:rPr>
          <w:sz w:val="20"/>
          <w:szCs w:val="20"/>
          <w:color w:val="auto"/>
        </w:rPr>
      </w:pPr>
      <w:r>
        <w:rPr>
          <w:rFonts w:ascii="Arial" w:cs="Arial" w:eastAsia="Arial" w:hAnsi="Arial"/>
          <w:sz w:val="18"/>
          <w:szCs w:val="18"/>
          <w:color w:val="auto"/>
        </w:rPr>
        <w:t>The following table summarizes finance receivables more than 30 days delinquent, but not yet in repossession, and in repossession, but not yet charged-off (dollars in millions):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June 30, 2011</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88"/>
              </w:rPr>
              <w:t>December 31, 2010</w:t>
            </w:r>
          </w:p>
        </w:tc>
        <w:tc>
          <w:tcPr>
            <w:tcW w:w="0" w:type="dxa"/>
            <w:vAlign w:val="bottom"/>
          </w:tcPr>
          <w:p>
            <w:pPr>
              <w:spacing w:after="0"/>
              <w:rPr>
                <w:sz w:val="1"/>
                <w:szCs w:val="1"/>
                <w:color w:val="auto"/>
              </w:rPr>
            </w:pPr>
          </w:p>
        </w:tc>
      </w:tr>
      <w:tr>
        <w:trPr>
          <w:trHeight w:val="142"/>
        </w:trPr>
        <w:tc>
          <w:tcPr>
            <w:tcW w:w="676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Amount</w:t>
            </w:r>
          </w:p>
        </w:tc>
        <w:tc>
          <w:tcPr>
            <w:tcW w:w="54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1"/>
              </w:rPr>
              <w:t>Percent</w:t>
            </w:r>
          </w:p>
        </w:tc>
        <w:tc>
          <w:tcPr>
            <w:tcW w:w="3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Amount</w:t>
            </w:r>
          </w:p>
        </w:tc>
        <w:tc>
          <w:tcPr>
            <w:tcW w:w="54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1"/>
              </w:rPr>
              <w:t>Percent</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Delinquent contracts</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31 to 60 days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398</w:t>
            </w:r>
          </w:p>
        </w:tc>
        <w:tc>
          <w:tcPr>
            <w:tcW w:w="1360" w:type="dxa"/>
            <w:vAlign w:val="bottom"/>
            <w:gridSpan w:val="3"/>
          </w:tcPr>
          <w:p>
            <w:pPr>
              <w:jc w:val="right"/>
              <w:ind w:right="240"/>
              <w:spacing w:after="0"/>
              <w:rPr>
                <w:sz w:val="20"/>
                <w:szCs w:val="20"/>
                <w:color w:val="auto"/>
              </w:rPr>
            </w:pPr>
            <w:r>
              <w:rPr>
                <w:rFonts w:ascii="Arial" w:cs="Arial" w:eastAsia="Arial" w:hAnsi="Arial"/>
                <w:sz w:val="18"/>
                <w:szCs w:val="18"/>
                <w:color w:val="auto"/>
              </w:rPr>
              <w:t>4.4%</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535</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Greater-than-60 days</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158</w:t>
            </w: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Arial" w:cs="Arial" w:eastAsia="Arial" w:hAnsi="Arial"/>
                <w:sz w:val="18"/>
                <w:szCs w:val="18"/>
                <w:color w:val="auto"/>
              </w:rPr>
              <w:t>Total finance receivables more than 30 days delinquent</w:t>
            </w: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7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556</w:t>
            </w:r>
          </w:p>
        </w:tc>
        <w:tc>
          <w:tcPr>
            <w:tcW w:w="54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747</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8"/>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In repossession</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Arial" w:cs="Arial" w:eastAsia="Arial" w:hAnsi="Arial"/>
                <w:sz w:val="18"/>
                <w:szCs w:val="18"/>
                <w:color w:val="auto"/>
              </w:rPr>
              <w:t>Total finance receivables more than 30 days delinquent and in repossession</w:t>
            </w: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6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579</w:t>
            </w:r>
          </w:p>
        </w:tc>
        <w:tc>
          <w:tcPr>
            <w:tcW w:w="54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6.4%</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775</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An account is considered delinquent if a substantial portion of a scheduled payment has not been received by the date such payment was contractually due.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Delinquencies may vary from period to period based upon the average age of the portfolio, seasonality within the calendar year and economic factors.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Securitizations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Financing — GM Financial</w:t>
      </w:r>
    </w:p>
    <w:p>
      <w:pPr>
        <w:spacing w:after="0" w:line="177" w:lineRule="exact"/>
        <w:rPr>
          <w:sz w:val="20"/>
          <w:szCs w:val="20"/>
          <w:color w:val="auto"/>
        </w:rPr>
      </w:pPr>
    </w:p>
    <w:p>
      <w:pPr>
        <w:ind w:right="300" w:firstLine="228"/>
        <w:spacing w:after="0" w:line="268" w:lineRule="auto"/>
        <w:rPr>
          <w:sz w:val="20"/>
          <w:szCs w:val="20"/>
          <w:color w:val="auto"/>
        </w:rPr>
      </w:pPr>
      <w:r>
        <w:rPr>
          <w:rFonts w:ascii="Arial" w:cs="Arial" w:eastAsia="Arial" w:hAnsi="Arial"/>
          <w:sz w:val="18"/>
          <w:szCs w:val="18"/>
          <w:color w:val="auto"/>
        </w:rPr>
        <w:t>The following table summarizes securitization activity and cash flows from consolidated special purpose entities (SPEs) used for securitizations (dollars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8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Six Months</w:t>
            </w:r>
          </w:p>
        </w:tc>
      </w:tr>
      <w:tr>
        <w:trPr>
          <w:trHeight w:val="149"/>
        </w:trPr>
        <w:tc>
          <w:tcPr>
            <w:tcW w:w="9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right"/>
              <w:ind w:right="940"/>
              <w:spacing w:after="0" w:line="149" w:lineRule="exact"/>
              <w:rPr>
                <w:sz w:val="20"/>
                <w:szCs w:val="20"/>
                <w:color w:val="auto"/>
              </w:rPr>
            </w:pPr>
            <w:r>
              <w:rPr>
                <w:rFonts w:ascii="Arial" w:cs="Arial" w:eastAsia="Arial" w:hAnsi="Arial"/>
                <w:sz w:val="14"/>
                <w:szCs w:val="14"/>
                <w:b w:val="1"/>
                <w:bCs w:val="1"/>
                <w:color w:val="auto"/>
                <w:w w:val="98"/>
              </w:rPr>
              <w:t>Ended</w:t>
            </w:r>
          </w:p>
        </w:tc>
        <w:tc>
          <w:tcPr>
            <w:tcW w:w="14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9000" w:type="dxa"/>
            <w:vAlign w:val="bottom"/>
          </w:tcPr>
          <w:p>
            <w:pPr>
              <w:spacing w:after="0"/>
              <w:rPr>
                <w:sz w:val="14"/>
                <w:szCs w:val="14"/>
                <w:color w:val="auto"/>
              </w:rPr>
            </w:pPr>
          </w:p>
        </w:tc>
        <w:tc>
          <w:tcPr>
            <w:tcW w:w="154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 2011</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June 30, 2011</w:t>
            </w:r>
          </w:p>
        </w:tc>
      </w:tr>
      <w:tr>
        <w:trPr>
          <w:trHeight w:val="210"/>
        </w:trPr>
        <w:tc>
          <w:tcPr>
            <w:tcW w:w="9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Receivables securitized</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2,069</w:t>
            </w:r>
          </w:p>
        </w:tc>
        <w:tc>
          <w:tcPr>
            <w:tcW w:w="7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Net proceeds from securitization</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720"/>
              <w:spacing w:after="0"/>
              <w:rPr>
                <w:sz w:val="20"/>
                <w:szCs w:val="20"/>
                <w:color w:val="auto"/>
              </w:rPr>
            </w:pPr>
            <w:r>
              <w:rPr>
                <w:rFonts w:ascii="Arial" w:cs="Arial" w:eastAsia="Arial" w:hAnsi="Arial"/>
                <w:sz w:val="18"/>
                <w:szCs w:val="18"/>
                <w:color w:val="auto"/>
              </w:rPr>
              <w:t>1,950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2,750</w:t>
            </w:r>
          </w:p>
        </w:tc>
        <w:tc>
          <w:tcPr>
            <w:tcW w:w="100" w:type="dxa"/>
            <w:vAlign w:val="bottom"/>
          </w:tcPr>
          <w:p>
            <w:pPr>
              <w:spacing w:after="0"/>
              <w:rPr>
                <w:sz w:val="18"/>
                <w:szCs w:val="18"/>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Servicing fees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r>
      <w:tr>
        <w:trPr>
          <w:trHeight w:val="222"/>
        </w:trPr>
        <w:tc>
          <w:tcPr>
            <w:tcW w:w="9000" w:type="dxa"/>
            <w:vAlign w:val="bottom"/>
          </w:tcPr>
          <w:p>
            <w:pPr>
              <w:spacing w:after="0"/>
              <w:rPr>
                <w:sz w:val="20"/>
                <w:szCs w:val="20"/>
                <w:color w:val="auto"/>
              </w:rPr>
            </w:pPr>
            <w:r>
              <w:rPr>
                <w:rFonts w:ascii="Arial" w:cs="Arial" w:eastAsia="Arial" w:hAnsi="Arial"/>
                <w:sz w:val="18"/>
                <w:szCs w:val="18"/>
                <w:color w:val="auto"/>
              </w:rPr>
              <w:t>Distributions from trusts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720"/>
              <w:spacing w:after="0"/>
              <w:rPr>
                <w:sz w:val="20"/>
                <w:szCs w:val="20"/>
                <w:color w:val="auto"/>
              </w:rPr>
            </w:pPr>
            <w:r>
              <w:rPr>
                <w:rFonts w:ascii="Arial" w:cs="Arial" w:eastAsia="Arial" w:hAnsi="Arial"/>
                <w:sz w:val="18"/>
                <w:szCs w:val="18"/>
                <w:color w:val="auto"/>
              </w:rPr>
              <w:t>291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240" w:firstLine="228"/>
        <w:spacing w:after="0" w:line="268" w:lineRule="auto"/>
        <w:rPr>
          <w:sz w:val="20"/>
          <w:szCs w:val="20"/>
          <w:color w:val="auto"/>
        </w:rPr>
      </w:pPr>
      <w:r>
        <w:rPr>
          <w:rFonts w:ascii="Arial" w:cs="Arial" w:eastAsia="Arial" w:hAnsi="Arial"/>
          <w:sz w:val="18"/>
          <w:szCs w:val="18"/>
          <w:color w:val="auto"/>
        </w:rPr>
        <w:t>GM Financial retains servicing responsibilities for receivables transferred to certain SPEs. At June 30, 2011 and December 31, 2010 GM Financial serviced finance receivables that have been transferred to certain SPEs of $7.9 billion and $7.2 billion.</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At June 30, 2011 a Canadian subsidiary of GM Financial serviced leased assets of $1.2 billion for a third party.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Inventories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components of our inventories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June 30, 2011</w:t>
            </w:r>
          </w:p>
        </w:tc>
        <w:tc>
          <w:tcPr>
            <w:tcW w:w="36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1"/>
              </w:rPr>
              <w:t>December 31, 2010</w:t>
            </w:r>
          </w:p>
        </w:tc>
      </w:tr>
      <w:tr>
        <w:trPr>
          <w:trHeight w:val="210"/>
        </w:trPr>
        <w:tc>
          <w:tcPr>
            <w:tcW w:w="20" w:type="dxa"/>
            <w:vAlign w:val="bottom"/>
          </w:tcPr>
          <w:p>
            <w:pPr>
              <w:spacing w:after="0"/>
              <w:rPr>
                <w:sz w:val="18"/>
                <w:szCs w:val="18"/>
                <w:color w:val="auto"/>
              </w:rPr>
            </w:pPr>
          </w:p>
        </w:tc>
        <w:tc>
          <w:tcPr>
            <w:tcW w:w="61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Productive material, work in process and supplies</w:t>
            </w:r>
          </w:p>
        </w:tc>
        <w:tc>
          <w:tcPr>
            <w:tcW w:w="26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6,328</w:t>
            </w: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Finished product, including service parts</w:t>
            </w:r>
          </w:p>
        </w:tc>
        <w:tc>
          <w:tcPr>
            <w:tcW w:w="2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7,777</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Total inventories</w:t>
            </w:r>
          </w:p>
        </w:tc>
        <w:tc>
          <w:tcPr>
            <w:tcW w:w="28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14,105</w:t>
            </w:r>
          </w:p>
        </w:tc>
        <w:tc>
          <w:tcPr>
            <w:tcW w:w="7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Equity in Net Assets of Nonconsolidated Affiliates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177" w:lineRule="exact"/>
        <w:rPr>
          <w:sz w:val="20"/>
          <w:szCs w:val="20"/>
          <w:color w:val="auto"/>
        </w:rPr>
      </w:pPr>
    </w:p>
    <w:p>
      <w:pPr>
        <w:ind w:right="220" w:firstLine="228"/>
        <w:spacing w:after="0" w:line="268" w:lineRule="auto"/>
        <w:rPr>
          <w:sz w:val="20"/>
          <w:szCs w:val="20"/>
          <w:color w:val="auto"/>
        </w:rPr>
      </w:pPr>
      <w:r>
        <w:rPr>
          <w:rFonts w:ascii="Arial" w:cs="Arial" w:eastAsia="Arial" w:hAnsi="Arial"/>
          <w:sz w:val="18"/>
          <w:szCs w:val="18"/>
          <w:color w:val="auto"/>
        </w:rPr>
        <w:t>Nonconsolidated affiliates are entities in which an equity ownership interest is maintained and for which the equity method of accounting is used, due to the ability to exert significant influence over decisions relating to their operating and financial affairs.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components of Equity income, net of tax and gain on disposal of investments (dollars in millions):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89"/>
              </w:rPr>
              <w:t>Three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4"/>
          </w:tcPr>
          <w:p>
            <w:pPr>
              <w:ind w:left="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7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4"/>
                <w:szCs w:val="14"/>
                <w:b w:val="1"/>
                <w:bCs w:val="1"/>
                <w:color w:val="auto"/>
                <w:w w:val="89"/>
              </w:rPr>
              <w:t>June 30,</w:t>
            </w:r>
          </w:p>
        </w:tc>
        <w:tc>
          <w:tcPr>
            <w:tcW w:w="4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83"/>
              </w:rPr>
              <w:t>2011</w:t>
            </w: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2010</w:t>
            </w:r>
          </w:p>
        </w:tc>
        <w:tc>
          <w:tcPr>
            <w:tcW w:w="2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w w:val="83"/>
              </w:rPr>
              <w:t>2011</w:t>
            </w:r>
          </w:p>
        </w:tc>
        <w:tc>
          <w:tcPr>
            <w:tcW w:w="46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China JVs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$ 728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New Delphi (including gain on disposition)</w:t>
            </w: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1,727</w:t>
            </w:r>
          </w:p>
        </w:tc>
        <w:tc>
          <w:tcPr>
            <w:tcW w:w="4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Arial" w:cs="Arial" w:eastAsia="Arial" w:hAnsi="Arial"/>
                <w:sz w:val="18"/>
                <w:szCs w:val="18"/>
                <w:color w:val="auto"/>
              </w:rPr>
              <w:t>Total equity income, net of tax and gain on disposal of investments</w:t>
            </w: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2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382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411</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2,526</w:t>
            </w:r>
          </w:p>
        </w:tc>
        <w:tc>
          <w:tcPr>
            <w:tcW w:w="4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$ 814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of New Delphi</w:t>
      </w:r>
    </w:p>
    <w:p>
      <w:pPr>
        <w:spacing w:after="0" w:line="171" w:lineRule="exact"/>
        <w:rPr>
          <w:sz w:val="20"/>
          <w:szCs w:val="20"/>
          <w:color w:val="auto"/>
        </w:rPr>
      </w:pPr>
    </w:p>
    <w:p>
      <w:pPr>
        <w:ind w:right="40" w:firstLine="228"/>
        <w:spacing w:after="0" w:line="254" w:lineRule="auto"/>
        <w:rPr>
          <w:sz w:val="20"/>
          <w:szCs w:val="20"/>
          <w:color w:val="auto"/>
        </w:rPr>
      </w:pPr>
      <w:r>
        <w:rPr>
          <w:rFonts w:ascii="Arial" w:cs="Arial" w:eastAsia="Arial" w:hAnsi="Arial"/>
          <w:sz w:val="18"/>
          <w:szCs w:val="18"/>
          <w:color w:val="auto"/>
        </w:rPr>
        <w:t>In March 2011 we sold our Class A Membership Interests in Delphi Automotive LLP (New Delphi) to New Delphi for $3.8 billion. The Class A Membership Interests sold represented 100% of our direct and indirect interests in New Delphi and 100% of New Delphi’s Class A Membership Interests issued and outstanding. The sale terminated any direct and indirect obligation to loan New Delphi up to $500 million under a term loan facility established in October 2009 when New Delphi was created and the Class A Membership Interests were issued. New Delphi had not borrowed under this loan facility. In March 2011 we recorded a gain of $1.6 billion related to the sale in Equity income, net of tax and gain on disposal of investments. Our existing supply contracts with New Delphi were not affected by this transaction.</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Impairment of Investment in HKJV</w:t>
      </w:r>
    </w:p>
    <w:p>
      <w:pPr>
        <w:spacing w:after="0" w:line="171" w:lineRule="exact"/>
        <w:rPr>
          <w:sz w:val="20"/>
          <w:szCs w:val="20"/>
          <w:color w:val="auto"/>
        </w:rPr>
      </w:pPr>
    </w:p>
    <w:p>
      <w:pPr>
        <w:ind w:right="160" w:firstLine="228"/>
        <w:spacing w:after="0" w:line="288" w:lineRule="auto"/>
        <w:rPr>
          <w:sz w:val="20"/>
          <w:szCs w:val="20"/>
          <w:color w:val="auto"/>
        </w:rPr>
      </w:pPr>
      <w:r>
        <w:rPr>
          <w:rFonts w:ascii="Arial" w:cs="Arial" w:eastAsia="Arial" w:hAnsi="Arial"/>
          <w:sz w:val="16"/>
          <w:szCs w:val="16"/>
          <w:color w:val="auto"/>
        </w:rPr>
        <w:t>In December 2009 we and SAIC Motor Hong Kong Investment Limited (SAIC-HK) entered into a joint venture, SAIC GM Investment Limited (HKJV) to invest in automotive projects outside of markets in China, initially focusing on markets in India. On February 1, 2010 we sold certain of our operations in India (GM India), part of our GMIO segment to HKJV, in exchange for a promissory note due in 2013. The amount due under the promissory note may be partially reduced, or increased, based on GM India’s cumulative earnings before interest and taxes (EBIT) for the three year period ending December 31, 2012. In connection with the sale we recorded net consideration of $185 million and an insignificant gain. The sale transaction resulted in a loss of control and the deconsolidation of GM India in February 2010. Accordingly, we removed the assets and liabilities of GM India from our consolidated financial statements and recorded an equity interest in HKJV to reflect cash of $50 million we contributed to HKJV and a $123 million commitment to provide additional capital that we are required to make in accordance with the terms of the joint venture agreement. We recorded a corresponding liability to reflect our obligation to provide additional capital.</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20" w:firstLine="228"/>
        <w:spacing w:after="0" w:line="254" w:lineRule="auto"/>
        <w:rPr>
          <w:sz w:val="20"/>
          <w:szCs w:val="20"/>
          <w:color w:val="auto"/>
        </w:rPr>
      </w:pPr>
      <w:r>
        <w:rPr>
          <w:rFonts w:ascii="Arial" w:cs="Arial" w:eastAsia="Arial" w:hAnsi="Arial"/>
          <w:sz w:val="18"/>
          <w:szCs w:val="18"/>
          <w:color w:val="auto"/>
        </w:rPr>
        <w:t>In March 2011 there was a change in the local tax regulations which significantly extended the period of time over which GM India will receive certain value added tax based investment incentives. The delay in recovery of these incentives significantly affected GM India’s cash flow and EBIT forecasts, resulting in a decrease in the fair value of HKJV. The fair value of our investment in HKJV at March 31, 2011 was determined to be $112 million compared to a carrying amount of $151 million. The loss in value was considered to be other than temporary and, therefore, we recorded an impairment charge of $39 million in the three months ended March 31, 2011. In addition, we recorded other charges totaling $67 million related to our investment in the HKJV in the three months ended March 31, 2011.</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VMM Deconsolidation</w:t>
      </w:r>
    </w:p>
    <w:p>
      <w:pPr>
        <w:spacing w:after="0" w:line="171" w:lineRule="exact"/>
        <w:rPr>
          <w:sz w:val="20"/>
          <w:szCs w:val="20"/>
          <w:color w:val="auto"/>
        </w:rPr>
      </w:pPr>
    </w:p>
    <w:p>
      <w:pPr>
        <w:ind w:firstLine="228"/>
        <w:spacing w:after="0" w:line="298" w:lineRule="auto"/>
        <w:rPr>
          <w:sz w:val="20"/>
          <w:szCs w:val="20"/>
          <w:color w:val="auto"/>
        </w:rPr>
      </w:pPr>
      <w:r>
        <w:rPr>
          <w:rFonts w:ascii="Arial" w:cs="Arial" w:eastAsia="Arial" w:hAnsi="Arial"/>
          <w:sz w:val="16"/>
          <w:szCs w:val="16"/>
          <w:color w:val="auto"/>
        </w:rPr>
        <w:t>In June 2011 we entered into a new shareholder agreement with Fiat Powertrain Technologies SPA related to VM Motori (VMM) in Italy. Prior to the new shareholder agreement, we controlled VMM and consolidated VMM’s assets, liabilities and results of operations. Under the new shareholder agreement, we retain 50% ownership but no longer have control. Accordingly, we removed the assets and liabilities of VMM, which included allocated goodwill of $36 million from our GME reporting unit, from our consolidated financial statements and recorded an equity interest in the amount of $46 million.</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 in China JVs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our direct ownership interests in our Chinese joint ventures, collectively referred to as China JVs: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40" w:type="dxa"/>
            <w:vAlign w:val="bottom"/>
          </w:tcPr>
          <w:p>
            <w:pPr>
              <w:spacing w:after="0"/>
              <w:rPr>
                <w:sz w:val="14"/>
                <w:szCs w:val="14"/>
                <w:color w:val="auto"/>
              </w:rPr>
            </w:pPr>
          </w:p>
        </w:tc>
        <w:tc>
          <w:tcPr>
            <w:tcW w:w="2380" w:type="dxa"/>
            <w:vAlign w:val="bottom"/>
            <w:gridSpan w:val="4"/>
          </w:tcPr>
          <w:p>
            <w:pPr>
              <w:ind w:left="580"/>
              <w:spacing w:after="0"/>
              <w:rPr>
                <w:sz w:val="20"/>
                <w:szCs w:val="20"/>
                <w:color w:val="auto"/>
              </w:rPr>
            </w:pPr>
            <w:r>
              <w:rPr>
                <w:rFonts w:ascii="Arial" w:cs="Arial" w:eastAsia="Arial" w:hAnsi="Arial"/>
                <w:sz w:val="14"/>
                <w:szCs w:val="14"/>
                <w:b w:val="1"/>
                <w:bCs w:val="1"/>
                <w:color w:val="auto"/>
              </w:rPr>
              <w:t>Ownership Interest</w:t>
            </w:r>
          </w:p>
        </w:tc>
      </w:tr>
      <w:tr>
        <w:trPr>
          <w:trHeight w:val="142"/>
        </w:trPr>
        <w:tc>
          <w:tcPr>
            <w:tcW w:w="9040" w:type="dxa"/>
            <w:vAlign w:val="bottom"/>
          </w:tcPr>
          <w:p>
            <w:pPr>
              <w:spacing w:after="0"/>
              <w:rPr>
                <w:sz w:val="12"/>
                <w:szCs w:val="12"/>
                <w:color w:val="auto"/>
              </w:rPr>
            </w:pPr>
          </w:p>
        </w:tc>
        <w:tc>
          <w:tcPr>
            <w:tcW w:w="1480" w:type="dxa"/>
            <w:vAlign w:val="bottom"/>
            <w:tcBorders>
              <w:top w:val="single" w:sz="8" w:color="auto"/>
            </w:tcBorders>
            <w:gridSpan w:val="2"/>
          </w:tcPr>
          <w:p>
            <w:pPr>
              <w:jc w:val="right"/>
              <w:ind w:right="700"/>
              <w:spacing w:after="0" w:line="142" w:lineRule="exact"/>
              <w:rPr>
                <w:sz w:val="20"/>
                <w:szCs w:val="20"/>
                <w:color w:val="auto"/>
              </w:rPr>
            </w:pPr>
            <w:r>
              <w:rPr>
                <w:rFonts w:ascii="Arial" w:cs="Arial" w:eastAsia="Arial" w:hAnsi="Arial"/>
                <w:sz w:val="14"/>
                <w:szCs w:val="14"/>
                <w:b w:val="1"/>
                <w:bCs w:val="1"/>
                <w:color w:val="auto"/>
                <w:w w:val="83"/>
              </w:rPr>
              <w:t>June 30, 2011</w:t>
            </w: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June 30, 2010</w:t>
            </w:r>
          </w:p>
        </w:tc>
        <w:tc>
          <w:tcPr>
            <w:tcW w:w="100" w:type="dxa"/>
            <w:vAlign w:val="bottom"/>
          </w:tcPr>
          <w:p>
            <w:pPr>
              <w:spacing w:after="0"/>
              <w:rPr>
                <w:sz w:val="12"/>
                <w:szCs w:val="12"/>
                <w:color w:val="auto"/>
              </w:rPr>
            </w:pPr>
          </w:p>
        </w:tc>
      </w:tr>
      <w:tr>
        <w:trPr>
          <w:trHeight w:val="210"/>
        </w:trPr>
        <w:tc>
          <w:tcPr>
            <w:tcW w:w="9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Shanghai General Motors Co. Ltd. (SGM) (a)</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7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Shanghai GM (Shenyang) Norsom Motor Co., Ltd. (SGM Norsom)</w:t>
            </w: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25%</w:t>
            </w: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Shanghai GM Dong Yue Motors Co., Ltd. (SGM DY)</w:t>
            </w: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Shanghai GM Dong Yue Powertrain (SGM DYPT)</w:t>
            </w: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25%</w:t>
            </w: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SAIC-GM-Wuling Automobile Co., Ltd. (SGMW)</w:t>
            </w: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FAW-GM Light Duty Commercial Vehicle, Ltd. (FAW-GM)</w:t>
            </w: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50%</w:t>
            </w:r>
          </w:p>
        </w:tc>
        <w:tc>
          <w:tcPr>
            <w:tcW w:w="8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Pan Asia Technical Automotive Center Co., Ltd. (PATAC)</w:t>
            </w: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Shanghai OnStar Telematics Co., Ltd. (Shanghai OnStar)</w:t>
            </w: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40%</w:t>
            </w:r>
          </w:p>
        </w:tc>
        <w:tc>
          <w:tcPr>
            <w:tcW w:w="8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Shanghai Chengxin Used Car Operation and Management Co., Ltd. (Shanghai Chengxin Used Car)</w:t>
            </w: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Ownership interest in SGM was 49% in the period February 1, 2010 through June 30, 2010 and 50% in the month of January 2010.</w:t>
      </w:r>
    </w:p>
    <w:p>
      <w:pPr>
        <w:spacing w:after="0" w:line="171" w:lineRule="exact"/>
        <w:rPr>
          <w:sz w:val="20"/>
          <w:szCs w:val="20"/>
          <w:color w:val="auto"/>
        </w:rPr>
      </w:pPr>
    </w:p>
    <w:p>
      <w:pPr>
        <w:ind w:right="260" w:firstLine="228"/>
        <w:spacing w:after="0" w:line="268" w:lineRule="auto"/>
        <w:rPr>
          <w:sz w:val="20"/>
          <w:szCs w:val="20"/>
          <w:color w:val="auto"/>
        </w:rPr>
      </w:pPr>
      <w:r>
        <w:rPr>
          <w:rFonts w:ascii="Arial" w:cs="Arial" w:eastAsia="Arial" w:hAnsi="Arial"/>
          <w:sz w:val="18"/>
          <w:szCs w:val="18"/>
          <w:color w:val="auto"/>
        </w:rPr>
        <w:t>Sales and income of our China JVs are not consolidated into our financial statements; rather, our proportionate share of the earnings of each joint venture is reflected as Equity income, net of tax and gain on disposal of investments.</w:t>
      </w:r>
    </w:p>
    <w:p>
      <w:pPr>
        <w:spacing w:after="0" w:line="132" w:lineRule="exact"/>
        <w:rPr>
          <w:sz w:val="20"/>
          <w:szCs w:val="20"/>
          <w:color w:val="auto"/>
        </w:rPr>
      </w:pPr>
    </w:p>
    <w:p>
      <w:pPr>
        <w:ind w:firstLine="228"/>
        <w:spacing w:after="0" w:line="256" w:lineRule="auto"/>
        <w:rPr>
          <w:sz w:val="20"/>
          <w:szCs w:val="20"/>
          <w:color w:val="auto"/>
        </w:rPr>
      </w:pPr>
      <w:r>
        <w:rPr>
          <w:rFonts w:ascii="Arial" w:cs="Arial" w:eastAsia="Arial" w:hAnsi="Arial"/>
          <w:sz w:val="18"/>
          <w:szCs w:val="18"/>
          <w:color w:val="auto"/>
        </w:rPr>
        <w:t>SGM is a joint venture established in 1997 by Shanghai Automotive Industry Corporation (SAIC) (51%) and us (49%). SGM has interests in three other joint ventures in China — SGM Norsom, SGM DY and SGM DYPT. These three joint ventures are jointly held by SGM (50%), SAIC (25%) and us (25%). These four joint ventures are engaged in the production, import, and sale of a comprehensive range of products under the brands of Buick, Chevrolet and Cadillac. SGM also has interests in Shanghai OnStar (20%) and Shanghai Chengxin Used Car (33%).</w:t>
      </w:r>
    </w:p>
    <w:p>
      <w:pPr>
        <w:spacing w:after="0" w:line="143" w:lineRule="exact"/>
        <w:rPr>
          <w:sz w:val="20"/>
          <w:szCs w:val="20"/>
          <w:color w:val="auto"/>
        </w:rPr>
      </w:pPr>
    </w:p>
    <w:p>
      <w:pPr>
        <w:ind w:right="320" w:firstLine="228"/>
        <w:spacing w:after="0" w:line="255" w:lineRule="auto"/>
        <w:rPr>
          <w:sz w:val="20"/>
          <w:szCs w:val="20"/>
          <w:color w:val="auto"/>
        </w:rPr>
      </w:pPr>
      <w:r>
        <w:rPr>
          <w:rFonts w:ascii="Arial" w:cs="Arial" w:eastAsia="Arial" w:hAnsi="Arial"/>
          <w:sz w:val="18"/>
          <w:szCs w:val="18"/>
          <w:color w:val="auto"/>
        </w:rPr>
        <w:t>In February 2010 we sold a 1% ownership interest in SGM to SAIC-HK, reducing our ownership interest to 49%. The sale of the 1% ownership interest to SAIC was predicated on our ability to work with SAIC to obtain a $400 million line of credit from a commercial bank to us. We also received a call option to repurchase the 1% which is contingently exercisable based on events which we do not unilaterally control. As part of the loan arrangement SAIC provided a commitment whereby, in the event of default, SAIC will purchase the ownership interest in SGM that we pledged as collateral for the loan. We recorded an insignificant gain on this transaction.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20" w:firstLine="228"/>
        <w:spacing w:after="0" w:line="306" w:lineRule="auto"/>
        <w:rPr>
          <w:sz w:val="20"/>
          <w:szCs w:val="20"/>
          <w:color w:val="auto"/>
        </w:rPr>
      </w:pPr>
      <w:r>
        <w:rPr>
          <w:rFonts w:ascii="Arial" w:cs="Arial" w:eastAsia="Arial" w:hAnsi="Arial"/>
          <w:sz w:val="16"/>
          <w:szCs w:val="16"/>
          <w:color w:val="auto"/>
        </w:rPr>
        <w:t>In November 2010 we purchased an additional 10% interest in SGMW from the Liuzhou Wuling Motors Co., Ltd. and Liuzhou Mini Vehicles Factory, collectively the Wuling Group, for cash of $52 million plus an agreement to provide technical services to the Wuling Group for a period of three years. As a result of this transaction, we own 44%, SAIC owns 50.1% and certain Liuzhou investors own 5.9% of the outstanding stock of SGMW.</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Transactions with Nonconsolidated Affiliates</w:t>
      </w:r>
    </w:p>
    <w:p>
      <w:pPr>
        <w:spacing w:after="0" w:line="171" w:lineRule="exact"/>
        <w:rPr>
          <w:sz w:val="20"/>
          <w:szCs w:val="20"/>
          <w:color w:val="auto"/>
        </w:rPr>
      </w:pPr>
    </w:p>
    <w:p>
      <w:pPr>
        <w:ind w:right="40" w:firstLine="228"/>
        <w:spacing w:after="0" w:line="259" w:lineRule="auto"/>
        <w:rPr>
          <w:sz w:val="20"/>
          <w:szCs w:val="20"/>
          <w:color w:val="auto"/>
        </w:rPr>
      </w:pPr>
      <w:r>
        <w:rPr>
          <w:rFonts w:ascii="Arial" w:cs="Arial" w:eastAsia="Arial" w:hAnsi="Arial"/>
          <w:sz w:val="18"/>
          <w:szCs w:val="18"/>
          <w:color w:val="auto"/>
        </w:rPr>
        <w:t>Nonconsolidated affiliates are involved in various aspects of the development, production and marketing of cars, trucks and parts, and we purchase component parts and vehicles from certain nonconsolidated affiliates for resale to dealers. The following tables summarize the effects of transactions with nonconsolidated affiliates, which are not eliminated in consolidation (dollars in millions):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w w:val="89"/>
              </w:rPr>
              <w:t>Three Months</w:t>
            </w:r>
          </w:p>
        </w:tc>
        <w:tc>
          <w:tcPr>
            <w:tcW w:w="120" w:type="dxa"/>
            <w:vAlign w:val="bottom"/>
          </w:tcPr>
          <w:p>
            <w:pPr>
              <w:spacing w:after="0"/>
              <w:rPr>
                <w:sz w:val="14"/>
                <w:szCs w:val="14"/>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Six Months</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49"/>
        </w:trPr>
        <w:tc>
          <w:tcPr>
            <w:tcW w:w="7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8"/>
              </w:rPr>
              <w:t>Ended</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61"/>
        </w:trPr>
        <w:tc>
          <w:tcPr>
            <w:tcW w:w="7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center"/>
              <w:ind w:left="240"/>
              <w:spacing w:after="0"/>
              <w:rPr>
                <w:sz w:val="20"/>
                <w:szCs w:val="20"/>
                <w:color w:val="auto"/>
              </w:rPr>
            </w:pPr>
            <w:r>
              <w:rPr>
                <w:rFonts w:ascii="Arial" w:cs="Arial" w:eastAsia="Arial" w:hAnsi="Arial"/>
                <w:sz w:val="14"/>
                <w:szCs w:val="14"/>
                <w:b w:val="1"/>
                <w:bCs w:val="1"/>
                <w:color w:val="auto"/>
                <w:w w:val="89"/>
              </w:rPr>
              <w:t>June 30,</w:t>
            </w:r>
          </w:p>
        </w:tc>
        <w:tc>
          <w:tcPr>
            <w:tcW w:w="44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82"/>
              </w:rPr>
              <w:t>June 30,</w:t>
            </w:r>
          </w:p>
        </w:tc>
        <w:tc>
          <w:tcPr>
            <w:tcW w:w="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75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w w:val="83"/>
              </w:rPr>
              <w:t>2011</w:t>
            </w: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2010</w:t>
            </w:r>
          </w:p>
        </w:tc>
        <w:tc>
          <w:tcPr>
            <w:tcW w:w="5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w w:val="83"/>
              </w:rPr>
              <w:t>2011</w:t>
            </w: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2010</w:t>
            </w:r>
          </w:p>
        </w:tc>
        <w:tc>
          <w:tcPr>
            <w:tcW w:w="220" w:type="dxa"/>
            <w:vAlign w:val="bottom"/>
            <w:tcBorders>
              <w:bottom w:val="single" w:sz="8" w:color="CCEEFF"/>
            </w:tcBorders>
          </w:tcPr>
          <w:p>
            <w:pPr>
              <w:spacing w:after="0"/>
              <w:rPr>
                <w:sz w:val="12"/>
                <w:szCs w:val="12"/>
                <w:color w:val="auto"/>
              </w:rPr>
            </w:pPr>
          </w:p>
        </w:tc>
      </w:tr>
      <w:tr>
        <w:trPr>
          <w:trHeight w:val="196"/>
        </w:trPr>
        <w:tc>
          <w:tcPr>
            <w:tcW w:w="7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Results of Operations</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Automotive sales and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32"/>
              <w:spacing w:after="0"/>
              <w:rPr>
                <w:sz w:val="20"/>
                <w:szCs w:val="20"/>
                <w:color w:val="auto"/>
              </w:rPr>
            </w:pPr>
            <w:r>
              <w:rPr>
                <w:rFonts w:ascii="Arial" w:cs="Arial" w:eastAsia="Arial" w:hAnsi="Arial"/>
                <w:sz w:val="18"/>
                <w:szCs w:val="18"/>
                <w:color w:val="auto"/>
              </w:rPr>
              <w:t>852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740*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1,687</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1,519**</w:t>
            </w: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Automotive purchases, net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712*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1,327**</w:t>
            </w: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Automotive selling, general and administrative expense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72"/>
              <w:spacing w:after="0"/>
              <w:rPr>
                <w:sz w:val="20"/>
                <w:szCs w:val="20"/>
                <w:color w:val="auto"/>
              </w:rPr>
            </w:pPr>
            <w:r>
              <w:rPr>
                <w:rFonts w:ascii="Arial" w:cs="Arial" w:eastAsia="Arial" w:hAnsi="Arial"/>
                <w:sz w:val="18"/>
                <w:szCs w:val="18"/>
                <w:color w:val="auto"/>
              </w:rPr>
              <w:t>(2)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Automotive interest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r>
      <w:tr>
        <w:trPr>
          <w:trHeight w:val="222"/>
        </w:trPr>
        <w:tc>
          <w:tcPr>
            <w:tcW w:w="7540" w:type="dxa"/>
            <w:vAlign w:val="bottom"/>
          </w:tcPr>
          <w:p>
            <w:pPr>
              <w:spacing w:after="0"/>
              <w:rPr>
                <w:sz w:val="20"/>
                <w:szCs w:val="20"/>
                <w:color w:val="auto"/>
              </w:rPr>
            </w:pPr>
            <w:r>
              <w:rPr>
                <w:rFonts w:ascii="Arial" w:cs="Arial" w:eastAsia="Arial" w:hAnsi="Arial"/>
                <w:sz w:val="18"/>
                <w:szCs w:val="18"/>
                <w:color w:val="auto"/>
              </w:rPr>
              <w:t>Automotive interest income and other non-operating income (expense), net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32"/>
              <w:spacing w:after="0"/>
              <w:rPr>
                <w:sz w:val="20"/>
                <w:szCs w:val="20"/>
                <w:color w:val="auto"/>
              </w:rPr>
            </w:pPr>
            <w:r>
              <w:rPr>
                <w:rFonts w:ascii="Arial" w:cs="Arial" w:eastAsia="Arial" w:hAnsi="Arial"/>
                <w:sz w:val="18"/>
                <w:szCs w:val="18"/>
                <w:color w:val="auto"/>
              </w:rPr>
              <w:t>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10*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11</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14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Amounts originally reported as $479, $816, $0 and $0 in our Quarterly Report on Form 10-Q for the period ended June 30, 2010 (June 30, 2010 Form 10-Q). Refer to Note 2.</w:t>
      </w:r>
    </w:p>
    <w:p>
      <w:pPr>
        <w:spacing w:after="0" w:line="51"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Amounts originally reported as $909, $1,570, $0 and $0 in our June 30, 2010 Form 10-Q. Refer to Note 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June 30, 2011</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6"/>
          </w:tcPr>
          <w:p>
            <w:pPr>
              <w:spacing w:after="0"/>
              <w:rPr>
                <w:sz w:val="20"/>
                <w:szCs w:val="20"/>
                <w:color w:val="auto"/>
              </w:rPr>
            </w:pPr>
            <w:r>
              <w:rPr>
                <w:rFonts w:ascii="Arial" w:cs="Arial" w:eastAsia="Arial" w:hAnsi="Arial"/>
                <w:sz w:val="14"/>
                <w:szCs w:val="14"/>
                <w:b w:val="1"/>
                <w:bCs w:val="1"/>
                <w:color w:val="auto"/>
                <w:w w:val="91"/>
              </w:rPr>
              <w:t>December 31, 2010</w:t>
            </w:r>
          </w:p>
        </w:tc>
      </w:tr>
      <w:tr>
        <w:trPr>
          <w:trHeight w:val="196"/>
        </w:trPr>
        <w:tc>
          <w:tcPr>
            <w:tcW w:w="5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Position</w:t>
            </w:r>
          </w:p>
        </w:tc>
        <w:tc>
          <w:tcPr>
            <w:tcW w:w="28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Accounts and notes receivable, net</w:t>
            </w:r>
          </w:p>
        </w:tc>
        <w:tc>
          <w:tcPr>
            <w:tcW w:w="3160" w:type="dxa"/>
            <w:vAlign w:val="bottom"/>
            <w:gridSpan w:val="2"/>
          </w:tcPr>
          <w:p>
            <w:pPr>
              <w:ind w:left="28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836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97"/>
              </w:rPr>
              <w:t>1,618</w:t>
            </w:r>
          </w:p>
        </w:tc>
        <w:tc>
          <w:tcPr>
            <w:tcW w:w="10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(principally trade)</w:t>
            </w:r>
          </w:p>
        </w:tc>
        <w:tc>
          <w:tcPr>
            <w:tcW w:w="3160" w:type="dxa"/>
            <w:vAlign w:val="bottom"/>
            <w:gridSpan w:val="2"/>
            <w:shd w:val="clear" w:color="auto" w:fill="CCEEFF"/>
          </w:tcPr>
          <w:p>
            <w:pPr>
              <w:ind w:left="28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00" w:type="dxa"/>
            <w:vAlign w:val="bottom"/>
            <w:shd w:val="clear" w:color="auto" w:fill="CCEEFF"/>
          </w:tcPr>
          <w:p>
            <w:pPr>
              <w:spacing w:after="0"/>
              <w:rPr>
                <w:sz w:val="18"/>
                <w:szCs w:val="18"/>
                <w:color w:val="auto"/>
              </w:rPr>
            </w:pPr>
          </w:p>
        </w:tc>
      </w:tr>
      <w:tr>
        <w:trPr>
          <w:trHeight w:val="222"/>
        </w:trPr>
        <w:tc>
          <w:tcPr>
            <w:tcW w:w="5700" w:type="dxa"/>
            <w:vAlign w:val="bottom"/>
          </w:tcPr>
          <w:p>
            <w:pPr>
              <w:spacing w:after="0"/>
              <w:rPr>
                <w:sz w:val="20"/>
                <w:szCs w:val="20"/>
                <w:color w:val="auto"/>
              </w:rPr>
            </w:pPr>
            <w:r>
              <w:rPr>
                <w:rFonts w:ascii="Arial" w:cs="Arial" w:eastAsia="Arial" w:hAnsi="Arial"/>
                <w:sz w:val="18"/>
                <w:szCs w:val="18"/>
                <w:color w:val="auto"/>
              </w:rPr>
              <w:t>Deferred revenue and customer deposits</w:t>
            </w:r>
          </w:p>
        </w:tc>
        <w:tc>
          <w:tcPr>
            <w:tcW w:w="3160" w:type="dxa"/>
            <w:vAlign w:val="bottom"/>
            <w:gridSpan w:val="2"/>
          </w:tcPr>
          <w:p>
            <w:pPr>
              <w:ind w:left="28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72</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r>
      <w:tr>
        <w:trPr>
          <w:trHeight w:val="332"/>
        </w:trPr>
        <w:tc>
          <w:tcPr>
            <w:tcW w:w="57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88"/>
              </w:rPr>
              <w:t>Six Months</w:t>
            </w:r>
          </w:p>
        </w:tc>
      </w:tr>
      <w:tr>
        <w:trPr>
          <w:trHeight w:val="149"/>
        </w:trPr>
        <w:tc>
          <w:tcPr>
            <w:tcW w:w="57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center"/>
              <w:ind w:left="88"/>
              <w:spacing w:after="0" w:line="149" w:lineRule="exact"/>
              <w:rPr>
                <w:sz w:val="20"/>
                <w:szCs w:val="20"/>
                <w:color w:val="auto"/>
              </w:rPr>
            </w:pPr>
            <w:r>
              <w:rPr>
                <w:rFonts w:ascii="Arial" w:cs="Arial" w:eastAsia="Arial" w:hAnsi="Arial"/>
                <w:sz w:val="14"/>
                <w:szCs w:val="14"/>
                <w:b w:val="1"/>
                <w:bCs w:val="1"/>
                <w:color w:val="auto"/>
                <w:w w:val="88"/>
              </w:rPr>
              <w:t>Ended</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57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3"/>
          </w:tcPr>
          <w:p>
            <w:pPr>
              <w:jc w:val="center"/>
              <w:ind w:left="8"/>
              <w:spacing w:after="0"/>
              <w:rPr>
                <w:sz w:val="20"/>
                <w:szCs w:val="20"/>
                <w:color w:val="auto"/>
              </w:rPr>
            </w:pPr>
            <w:r>
              <w:rPr>
                <w:rFonts w:ascii="Arial" w:cs="Arial" w:eastAsia="Arial" w:hAnsi="Arial"/>
                <w:sz w:val="14"/>
                <w:szCs w:val="14"/>
                <w:b w:val="1"/>
                <w:bCs w:val="1"/>
                <w:color w:val="auto"/>
                <w:w w:val="89"/>
              </w:rPr>
              <w:t>June 30,</w:t>
            </w: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700" w:type="dxa"/>
            <w:vAlign w:val="bottom"/>
            <w:tcBorders>
              <w:bottom w:val="single" w:sz="8" w:color="CCEEFF"/>
            </w:tcBorders>
          </w:tcPr>
          <w:p>
            <w:pPr>
              <w:spacing w:after="0"/>
              <w:rPr>
                <w:sz w:val="12"/>
                <w:szCs w:val="12"/>
                <w:color w:val="auto"/>
              </w:rPr>
            </w:pPr>
          </w:p>
        </w:tc>
        <w:tc>
          <w:tcPr>
            <w:tcW w:w="286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tcPr>
          <w:p>
            <w:pPr>
              <w:jc w:val="right"/>
              <w:ind w:right="48"/>
              <w:spacing w:after="0" w:line="142" w:lineRule="exact"/>
              <w:rPr>
                <w:sz w:val="20"/>
                <w:szCs w:val="20"/>
                <w:color w:val="auto"/>
              </w:rPr>
            </w:pPr>
            <w:r>
              <w:rPr>
                <w:rFonts w:ascii="Arial" w:cs="Arial" w:eastAsia="Arial" w:hAnsi="Arial"/>
                <w:sz w:val="14"/>
                <w:szCs w:val="14"/>
                <w:b w:val="1"/>
                <w:bCs w:val="1"/>
                <w:color w:val="auto"/>
                <w:w w:val="83"/>
              </w:rPr>
              <w:t>2011</w:t>
            </w:r>
          </w:p>
        </w:tc>
        <w:tc>
          <w:tcPr>
            <w:tcW w:w="3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r>
      <w:tr>
        <w:trPr>
          <w:trHeight w:val="196"/>
        </w:trPr>
        <w:tc>
          <w:tcPr>
            <w:tcW w:w="5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w:t>
            </w:r>
          </w:p>
        </w:tc>
        <w:tc>
          <w:tcPr>
            <w:tcW w:w="2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Operating</w:t>
            </w:r>
          </w:p>
        </w:tc>
        <w:tc>
          <w:tcPr>
            <w:tcW w:w="2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5"/>
          </w:tcPr>
          <w:p>
            <w:pPr>
              <w:jc w:val="right"/>
              <w:ind w:right="320"/>
              <w:spacing w:after="0"/>
              <w:rPr>
                <w:sz w:val="20"/>
                <w:szCs w:val="20"/>
                <w:color w:val="auto"/>
              </w:rPr>
            </w:pPr>
            <w:r>
              <w:rPr>
                <w:rFonts w:ascii="Arial" w:cs="Arial" w:eastAsia="Arial" w:hAnsi="Arial"/>
                <w:sz w:val="18"/>
                <w:szCs w:val="18"/>
                <w:color w:val="auto"/>
              </w:rPr>
              <w:t>$1,904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rPr>
              <w:t>(18)*</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Investing</w:t>
            </w:r>
          </w:p>
        </w:tc>
        <w:tc>
          <w:tcPr>
            <w:tcW w:w="2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654</w:t>
            </w:r>
          </w:p>
        </w:tc>
        <w:tc>
          <w:tcPr>
            <w:tcW w:w="100" w:type="dxa"/>
            <w:vAlign w:val="bottom"/>
            <w:shd w:val="clear" w:color="auto" w:fill="CCEEFF"/>
          </w:tcPr>
          <w:p>
            <w:pPr>
              <w:spacing w:after="0"/>
              <w:rPr>
                <w:sz w:val="18"/>
                <w:szCs w:val="18"/>
                <w:color w:val="auto"/>
              </w:rPr>
            </w:pPr>
          </w:p>
        </w:tc>
      </w:tr>
      <w:tr>
        <w:trPr>
          <w:trHeight w:val="222"/>
        </w:trPr>
        <w:tc>
          <w:tcPr>
            <w:tcW w:w="5700" w:type="dxa"/>
            <w:vAlign w:val="bottom"/>
          </w:tcPr>
          <w:p>
            <w:pPr>
              <w:spacing w:after="0"/>
              <w:rPr>
                <w:sz w:val="20"/>
                <w:szCs w:val="20"/>
                <w:color w:val="auto"/>
              </w:rPr>
            </w:pPr>
            <w:r>
              <w:rPr>
                <w:rFonts w:ascii="Arial" w:cs="Arial" w:eastAsia="Arial" w:hAnsi="Arial"/>
                <w:sz w:val="18"/>
                <w:szCs w:val="18"/>
                <w:color w:val="auto"/>
              </w:rPr>
              <w:t>Financing</w:t>
            </w:r>
          </w:p>
        </w:tc>
        <w:tc>
          <w:tcPr>
            <w:tcW w:w="2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5620" w:right="4920" w:hanging="5612"/>
        <w:spacing w:after="0" w:line="525" w:lineRule="auto"/>
        <w:tabs>
          <w:tab w:leader="none" w:pos="448" w:val="left"/>
        </w:tabs>
        <w:numPr>
          <w:ilvl w:val="0"/>
          <w:numId w:val="8"/>
        </w:numPr>
        <w:rPr>
          <w:rFonts w:ascii="Arial" w:cs="Arial" w:eastAsia="Arial" w:hAnsi="Arial"/>
          <w:sz w:val="16"/>
          <w:szCs w:val="16"/>
          <w:color w:val="auto"/>
        </w:rPr>
      </w:pPr>
      <w:r>
        <w:rPr>
          <w:rFonts w:ascii="Arial" w:cs="Arial" w:eastAsia="Arial" w:hAnsi="Arial"/>
          <w:sz w:val="16"/>
          <w:szCs w:val="16"/>
          <w:color w:val="auto"/>
        </w:rPr>
        <w:t>Amount originally reported as $701 in our June 30, 2010 Form 10-Q. Refer to Note 2. 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Goodwill</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changes in the carrying amount of goodwill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GM</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GMNA</w:t>
            </w:r>
          </w:p>
        </w:tc>
        <w:tc>
          <w:tcPr>
            <w:tcW w:w="280" w:type="dxa"/>
            <w:vAlign w:val="bottom"/>
          </w:tcPr>
          <w:p>
            <w:pPr>
              <w:spacing w:after="0"/>
              <w:rPr>
                <w:sz w:val="14"/>
                <w:szCs w:val="14"/>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GME</w:t>
            </w:r>
          </w:p>
        </w:tc>
        <w:tc>
          <w:tcPr>
            <w:tcW w:w="12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rPr>
              <w:t>GMIO</w:t>
            </w:r>
          </w:p>
        </w:tc>
        <w:tc>
          <w:tcPr>
            <w:tcW w:w="540" w:type="dxa"/>
            <w:vAlign w:val="bottom"/>
            <w:gridSpan w:val="3"/>
          </w:tcPr>
          <w:p>
            <w:pPr>
              <w:spacing w:after="0"/>
              <w:rPr>
                <w:sz w:val="20"/>
                <w:szCs w:val="20"/>
                <w:color w:val="auto"/>
              </w:rPr>
            </w:pPr>
            <w:r>
              <w:rPr>
                <w:rFonts w:ascii="Arial" w:cs="Arial" w:eastAsia="Arial" w:hAnsi="Arial"/>
                <w:sz w:val="14"/>
                <w:szCs w:val="14"/>
                <w:b w:val="1"/>
                <w:bCs w:val="1"/>
                <w:color w:val="auto"/>
              </w:rPr>
              <w:t>GMSA</w:t>
            </w:r>
          </w:p>
        </w:tc>
        <w:tc>
          <w:tcPr>
            <w:tcW w:w="1000" w:type="dxa"/>
            <w:vAlign w:val="bottom"/>
            <w:gridSpan w:val="4"/>
          </w:tcPr>
          <w:p>
            <w:pPr>
              <w:ind w:left="140"/>
              <w:spacing w:after="0"/>
              <w:rPr>
                <w:sz w:val="20"/>
                <w:szCs w:val="20"/>
                <w:color w:val="auto"/>
              </w:rPr>
            </w:pPr>
            <w:r>
              <w:rPr>
                <w:rFonts w:ascii="Arial" w:cs="Arial" w:eastAsia="Arial" w:hAnsi="Arial"/>
                <w:sz w:val="14"/>
                <w:szCs w:val="14"/>
                <w:b w:val="1"/>
                <w:bCs w:val="1"/>
                <w:color w:val="auto"/>
              </w:rPr>
              <w:t>Automotive</w:t>
            </w:r>
          </w:p>
        </w:tc>
        <w:tc>
          <w:tcPr>
            <w:tcW w:w="12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Financial</w:t>
            </w:r>
          </w:p>
        </w:tc>
        <w:tc>
          <w:tcPr>
            <w:tcW w:w="6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January 1, 2011</w:t>
            </w:r>
          </w:p>
        </w:tc>
        <w:tc>
          <w:tcPr>
            <w:tcW w:w="1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26,394</w:t>
            </w: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$ 3,053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901</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165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30,513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79"/>
              </w:rPr>
              <w:t>1,265</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$31,778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Effect of adoption of ASU 2010-28</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(1,466)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(1,466)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Deconsolidation of entity (a)</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Goodwill acquired</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Effect of foreign currency translation and other</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2011</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26,394</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$ 1,251</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946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176</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28,767</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1,279</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30,046</w:t>
            </w: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8"/>
                <w:szCs w:val="18"/>
                <w:color w:val="auto"/>
              </w:rPr>
              <w:t>Accumulated impairment charges</w:t>
            </w:r>
          </w:p>
        </w:tc>
        <w:tc>
          <w:tcPr>
            <w:tcW w:w="1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580" w:type="dxa"/>
            <w:vAlign w:val="bottom"/>
            <w:gridSpan w:val="2"/>
            <w:vMerge w:val="continue"/>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$(1,861)</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(1,861)</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85"/>
              </w:rPr>
              <w:t>$ (1,861)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Refer to Note 8 for additional information concerning the deconsolidation of VMM.</w:t>
      </w:r>
    </w:p>
    <w:p>
      <w:pPr>
        <w:spacing w:after="0" w:line="171" w:lineRule="exact"/>
        <w:rPr>
          <w:sz w:val="20"/>
          <w:szCs w:val="20"/>
          <w:color w:val="auto"/>
        </w:rPr>
      </w:pPr>
    </w:p>
    <w:p>
      <w:pPr>
        <w:ind w:firstLine="228"/>
        <w:spacing w:after="0" w:line="294" w:lineRule="auto"/>
        <w:rPr>
          <w:sz w:val="20"/>
          <w:szCs w:val="20"/>
          <w:color w:val="auto"/>
        </w:rPr>
      </w:pPr>
      <w:r>
        <w:rPr>
          <w:rFonts w:ascii="Arial" w:cs="Arial" w:eastAsia="Arial" w:hAnsi="Arial"/>
          <w:sz w:val="16"/>
          <w:szCs w:val="16"/>
          <w:color w:val="auto"/>
        </w:rPr>
        <w:t>We adopted the provisions of ASU 2010-28 on January 1, 2011. GME had a negative carrying amount and despite the fair value of GME’s equity being greater than its carrying amount, we performed Step 2 of the goodwill impairment testing analysis. The adoption of ASU 2010-28 resulted in the recognition of a cumulative-effect adjustment to beginning Retained earnings of $1.5 billion for our GME reporting unit. GME continued to have a negative carrying amount and because it was more likely than not further goodwill impairment existed at March 31, 2011, an impairment charge of $395 million was recorded in Goodwill impairment charges during the three months ended March 31, 2011. Refer to Note 2 for additional information on ASU 2010-28.</w:t>
      </w:r>
    </w:p>
    <w:p>
      <w:pPr>
        <w:spacing w:after="0" w:line="116" w:lineRule="exact"/>
        <w:rPr>
          <w:sz w:val="20"/>
          <w:szCs w:val="20"/>
          <w:color w:val="auto"/>
        </w:rPr>
      </w:pPr>
    </w:p>
    <w:p>
      <w:pPr>
        <w:ind w:right="40" w:firstLine="228"/>
        <w:spacing w:after="0" w:line="294" w:lineRule="auto"/>
        <w:rPr>
          <w:sz w:val="20"/>
          <w:szCs w:val="20"/>
          <w:color w:val="auto"/>
        </w:rPr>
      </w:pPr>
      <w:r>
        <w:rPr>
          <w:rFonts w:ascii="Arial" w:cs="Arial" w:eastAsia="Arial" w:hAnsi="Arial"/>
          <w:sz w:val="16"/>
          <w:szCs w:val="16"/>
          <w:color w:val="auto"/>
        </w:rPr>
        <w:t>The valuation methodologies utilized to perform our goodwill impairment testing for GME were consistent with those used in our application of fresh-start reporting on July 10, 2009, as discussed in Note 2 to our consolidated financial statements contained in our 2010 Form 10-K, and in our 2010 annual goodwill impairment testing at October 1, 2010. The fair value measures used in our analyses were Level 3 measures. Because the fair value of goodwill can be measured only as a residual amount and cannot be determined directly, we calculated GME’s implied goodwill in the same manner that goodwill is recognized in a business combination pursuant to Accounting Standards Codification (ASC) 805 “Business Combinations.”</w:t>
      </w:r>
    </w:p>
    <w:p>
      <w:pPr>
        <w:spacing w:after="0" w:line="116" w:lineRule="exact"/>
        <w:rPr>
          <w:sz w:val="20"/>
          <w:szCs w:val="20"/>
          <w:color w:val="auto"/>
        </w:rPr>
      </w:pPr>
    </w:p>
    <w:p>
      <w:pPr>
        <w:ind w:right="20" w:firstLine="228"/>
        <w:spacing w:after="0" w:line="283" w:lineRule="auto"/>
        <w:rPr>
          <w:sz w:val="20"/>
          <w:szCs w:val="20"/>
          <w:color w:val="auto"/>
        </w:rPr>
      </w:pPr>
      <w:r>
        <w:rPr>
          <w:rFonts w:ascii="Arial" w:cs="Arial" w:eastAsia="Arial" w:hAnsi="Arial"/>
          <w:sz w:val="16"/>
          <w:szCs w:val="16"/>
          <w:color w:val="auto"/>
        </w:rPr>
        <w:t>In performing our Step 2 analyses, we utilized a discounted cash flow methodology to estimate the fair values of GME at January 1, 2011 and March 31, 2011. These fair value estimates utilized a weighted-average cost of capital of 17.0% and 16.5% at January 1, 2011 and March 31, 2011 that considered various factors including bond yields, risk premiums, and tax rates; a terminal value that was determined using a growth model that applied a long-term growth rate of 0.5% to our projected cash flows beyond 2015; and industry sales of 18.4 million and a market share for GME of 6.56% in 2011 increasing to industry sales of</w:t>
      </w:r>
    </w:p>
    <w:p>
      <w:pPr>
        <w:spacing w:after="0" w:line="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22.0 million vehicles and a 7.42% market share in 2015. The fair value of property was determined based on its highest and best use utilizing a combination of the market or sales comparison approach, the cost approach and/or the income approach. The fair values of GME’s brands were determined based on a relief from royalty method and the fair value of GME’s dealer network was determined on a cost approach. Based on these fair value measures, we determined GME’s implied goodwill represents only the fair-value-to-U.S. GAAP differences attributable to those assets and liabilities that gave rise to goodwill upon application of fresh-start reporting.</w:t>
      </w:r>
    </w:p>
    <w:p>
      <w:pPr>
        <w:spacing w:after="0" w:line="145" w:lineRule="exact"/>
        <w:rPr>
          <w:sz w:val="20"/>
          <w:szCs w:val="20"/>
          <w:color w:val="auto"/>
        </w:rPr>
      </w:pPr>
    </w:p>
    <w:p>
      <w:pPr>
        <w:ind w:right="20" w:firstLine="228"/>
        <w:spacing w:after="0" w:line="291" w:lineRule="auto"/>
        <w:rPr>
          <w:sz w:val="20"/>
          <w:szCs w:val="20"/>
          <w:color w:val="auto"/>
        </w:rPr>
      </w:pPr>
      <w:r>
        <w:rPr>
          <w:rFonts w:ascii="Arial" w:cs="Arial" w:eastAsia="Arial" w:hAnsi="Arial"/>
          <w:sz w:val="16"/>
          <w:szCs w:val="16"/>
          <w:color w:val="auto"/>
        </w:rPr>
        <w:t>Our Step 2 analyses indicated GME’s implied goodwill was less than its recorded goodwill; therefore, goodwill was adjusted at January 1, 2011 and March 31, 2011. The adjustments to goodwill represent the net decreases, from July 10, 2009 through January 1, 2011 and from January 1, 2011 through March 31, 2011, in the fair-value-to-U.S. GAAP differences attributable to those assets and liabilities that gave rise to goodwill upon our application of fresh-start reporting. The net decreases resulted primarily from: (1) a decrease in our nonperformance risk and an improvement in our incremental borrowing rates since July 10, 2009; (2) an increase in high quality corporate bond rates utilized to measure our employee benefit plan obligations since January 1, 2011; and (3) a decrease in credit spreads between high quality corporate bond rates and market interest rates for companies with similar nonperformance risk.</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firstLine="228"/>
        <w:spacing w:after="0" w:line="286" w:lineRule="auto"/>
        <w:rPr>
          <w:sz w:val="20"/>
          <w:szCs w:val="20"/>
          <w:color w:val="auto"/>
        </w:rPr>
      </w:pPr>
      <w:r>
        <w:rPr>
          <w:rFonts w:ascii="Arial" w:cs="Arial" w:eastAsia="Arial" w:hAnsi="Arial"/>
          <w:sz w:val="16"/>
          <w:szCs w:val="16"/>
          <w:color w:val="auto"/>
        </w:rPr>
        <w:t>Future goodwill impairments could occur within GME should the fair-value-to-U.S. GAAP differences decrease, GME continue to have a negative carrying amount, and the fair value of the GME reporting unit does not increase sufficiently to offset such decreases or such increase in fair value results in a corresponding increase in the fair value of other identifiable assets without giving rise to additional implied goodwill. The difference between these fair-value-to-U.S. GAAP differences would decrease upon an improvement in our credit rating or a decrease in credit spreads between high quality corporate bond rates and market interest rates, thus resulting in a decrease in the spread between our employee benefit related obligations under U.S. GAAP and their fair values. The fair-value-to-U.S. GAAP differences that gave rise to goodwill upon our application of fresh-start reporting within GME also included deferred tax asset valuation allowances. Similarly, a decrease would also occur upon reversal of our deferred tax asset valuation allowances within GME. Should the fair-value-to-U.S. GAAP differences decrease for these reasons, without an increase in the fair value of the GME reporting unit sufficient to offset such decreases, the implied goodwill balance will decline and future goodwill impairments would occur and may be material. Any declines would have a negative effect on our earnings and would be included in Goodwill impairment charges. Future goodwill impairments could also occur within our other reporting units, including GMNA, should we first fail Step 1 of the goodwill impairment testing analysis and the fair-value-to-U.S. GAAP differences noted above also decrease.</w:t>
      </w:r>
    </w:p>
    <w:p>
      <w:pPr>
        <w:spacing w:after="0" w:line="127" w:lineRule="exact"/>
        <w:rPr>
          <w:sz w:val="20"/>
          <w:szCs w:val="20"/>
          <w:color w:val="auto"/>
        </w:rPr>
      </w:pPr>
    </w:p>
    <w:p>
      <w:pPr>
        <w:jc w:val="both"/>
        <w:ind w:right="280" w:firstLine="228"/>
        <w:spacing w:after="0" w:line="255" w:lineRule="auto"/>
        <w:rPr>
          <w:sz w:val="20"/>
          <w:szCs w:val="20"/>
          <w:color w:val="auto"/>
        </w:rPr>
      </w:pPr>
      <w:r>
        <w:rPr>
          <w:rFonts w:ascii="Arial" w:cs="Arial" w:eastAsia="Arial" w:hAnsi="Arial"/>
          <w:sz w:val="18"/>
          <w:szCs w:val="18"/>
          <w:color w:val="auto"/>
        </w:rPr>
        <w:t>We believe future goodwill impairment charges could occur in 2011 related to GME because GME has a negative carrying amount and it is possible: (1) a decrease in the credit spreads between high quality corporate bond rates and market interest rates for companies with similar nonperformance risk could occur and/or (2) a decrease in our nonperformance risk or improvement in our credit rating could occur. As these events did not occur during the three months ended June 30, 2011, it was not more likely than not further goodwill impairment existed at June 30, 2011. Therefore, no impairment charge was recorded during the three months ended June 30, 2011.</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Intangible Assets, net</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components of intangible assets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8"/>
              </w:rPr>
              <w:t>June 30, 2011</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December 31, 2010</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78"/>
              </w:rPr>
              <w:t>Gross</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3"/>
              </w:rPr>
              <w:t>Gross</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Carrying</w:t>
            </w:r>
          </w:p>
        </w:tc>
        <w:tc>
          <w:tcPr>
            <w:tcW w:w="260" w:type="dxa"/>
            <w:vAlign w:val="bottom"/>
          </w:tcPr>
          <w:p>
            <w:pPr>
              <w:spacing w:after="0"/>
              <w:rPr>
                <w:sz w:val="12"/>
                <w:szCs w:val="12"/>
                <w:color w:val="auto"/>
              </w:rPr>
            </w:pP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320" w:type="dxa"/>
            <w:vAlign w:val="bottom"/>
          </w:tcPr>
          <w:p>
            <w:pPr>
              <w:spacing w:after="0"/>
              <w:rPr>
                <w:sz w:val="12"/>
                <w:szCs w:val="12"/>
                <w:color w:val="auto"/>
              </w:rPr>
            </w:pPr>
          </w:p>
        </w:tc>
        <w:tc>
          <w:tcPr>
            <w:tcW w:w="6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Carrying</w:t>
            </w:r>
          </w:p>
        </w:tc>
        <w:tc>
          <w:tcPr>
            <w:tcW w:w="240" w:type="dxa"/>
            <w:vAlign w:val="bottom"/>
          </w:tcPr>
          <w:p>
            <w:pPr>
              <w:spacing w:after="0"/>
              <w:rPr>
                <w:sz w:val="12"/>
                <w:szCs w:val="12"/>
                <w:color w:val="auto"/>
              </w:rPr>
            </w:pPr>
          </w:p>
        </w:tc>
        <w:tc>
          <w:tcPr>
            <w:tcW w:w="10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2"/>
                <w:szCs w:val="12"/>
                <w:color w:val="auto"/>
              </w:rPr>
            </w:pP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61"/>
        </w:trPr>
        <w:tc>
          <w:tcPr>
            <w:tcW w:w="5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0"/>
              </w:rPr>
              <w:t>Amount</w:t>
            </w:r>
          </w:p>
        </w:tc>
        <w:tc>
          <w:tcPr>
            <w:tcW w:w="26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Amount</w:t>
            </w:r>
          </w:p>
        </w:tc>
        <w:tc>
          <w:tcPr>
            <w:tcW w:w="320" w:type="dxa"/>
            <w:vAlign w:val="bottom"/>
          </w:tcPr>
          <w:p>
            <w:pPr>
              <w:spacing w:after="0"/>
              <w:rPr>
                <w:sz w:val="14"/>
                <w:szCs w:val="14"/>
                <w:color w:val="auto"/>
              </w:rPr>
            </w:pPr>
          </w:p>
        </w:tc>
        <w:tc>
          <w:tcPr>
            <w:tcW w:w="6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6"/>
              </w:rPr>
              <w:t>Amount</w:t>
            </w:r>
          </w:p>
        </w:tc>
        <w:tc>
          <w:tcPr>
            <w:tcW w:w="240" w:type="dxa"/>
            <w:vAlign w:val="bottom"/>
          </w:tcPr>
          <w:p>
            <w:pPr>
              <w:spacing w:after="0"/>
              <w:rPr>
                <w:sz w:val="14"/>
                <w:szCs w:val="14"/>
                <w:color w:val="auto"/>
              </w:rPr>
            </w:pPr>
          </w:p>
        </w:tc>
        <w:tc>
          <w:tcPr>
            <w:tcW w:w="10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Amortization</w:t>
            </w:r>
          </w:p>
        </w:tc>
        <w:tc>
          <w:tcPr>
            <w:tcW w:w="80" w:type="dxa"/>
            <w:vAlign w:val="bottom"/>
          </w:tcPr>
          <w:p>
            <w:pPr>
              <w:spacing w:after="0"/>
              <w:rPr>
                <w:sz w:val="14"/>
                <w:szCs w:val="14"/>
                <w:color w:val="auto"/>
              </w:rPr>
            </w:pPr>
          </w:p>
        </w:tc>
        <w:tc>
          <w:tcPr>
            <w:tcW w:w="6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10"/>
        </w:trPr>
        <w:tc>
          <w:tcPr>
            <w:tcW w:w="5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Technology and intellectual property</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7,771</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3,330</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7,751</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3,650</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Brands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5,509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300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5,209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5,439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5,217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Dealer network and customer relationships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2,256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2,172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Favorable contracts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534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526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color w:val="auto"/>
              </w:rPr>
              <w:t>Total amortizing intangible assets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9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16,089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5,181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10,908</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w w:val="83"/>
              </w:rPr>
              <w:t>15,907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4,200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11,707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Non amortizing in-process research and development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color w:val="auto"/>
              </w:rPr>
              <w:t>Total intangible assets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00" w:type="dxa"/>
            <w:vAlign w:val="bottom"/>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16,264</w:t>
            </w:r>
          </w:p>
        </w:tc>
        <w:tc>
          <w:tcPr>
            <w:tcW w:w="5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5,181</w:t>
            </w: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11,083</w:t>
            </w:r>
          </w:p>
        </w:tc>
        <w:tc>
          <w:tcPr>
            <w:tcW w:w="4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w w:val="83"/>
              </w:rPr>
              <w:t>16,082</w:t>
            </w:r>
          </w:p>
        </w:tc>
        <w:tc>
          <w:tcPr>
            <w:tcW w:w="460" w:type="dxa"/>
            <w:vAlign w:val="bottom"/>
            <w:gridSpan w:val="2"/>
          </w:tcPr>
          <w:p>
            <w:pPr>
              <w:jc w:val="right"/>
              <w:ind w:right="69"/>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4,200</w:t>
            </w:r>
          </w:p>
        </w:tc>
        <w:tc>
          <w:tcPr>
            <w:tcW w:w="2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11,882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amortization expense related to intangible assets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08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0"/>
              </w:rPr>
              <w:t>Three Months Ended</w:t>
            </w:r>
          </w:p>
        </w:tc>
        <w:tc>
          <w:tcPr>
            <w:tcW w:w="16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0"/>
              </w:rPr>
              <w:t>Six Months Ended</w:t>
            </w:r>
          </w:p>
        </w:tc>
      </w:tr>
      <w:tr>
        <w:trPr>
          <w:trHeight w:val="161"/>
        </w:trPr>
        <w:tc>
          <w:tcPr>
            <w:tcW w:w="47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40" w:type="dxa"/>
            <w:vAlign w:val="bottom"/>
            <w:gridSpan w:val="3"/>
          </w:tcPr>
          <w:p>
            <w:pPr>
              <w:jc w:val="center"/>
              <w:ind w:right="1020"/>
              <w:spacing w:after="0"/>
              <w:rPr>
                <w:sz w:val="20"/>
                <w:szCs w:val="20"/>
                <w:color w:val="auto"/>
              </w:rPr>
            </w:pPr>
            <w:r>
              <w:rPr>
                <w:rFonts w:ascii="Arial" w:cs="Arial" w:eastAsia="Arial" w:hAnsi="Arial"/>
                <w:sz w:val="14"/>
                <w:szCs w:val="14"/>
                <w:b w:val="1"/>
                <w:bCs w:val="1"/>
                <w:color w:val="auto"/>
                <w:w w:val="85"/>
              </w:rPr>
              <w:t>June 30,</w:t>
            </w:r>
          </w:p>
        </w:tc>
        <w:tc>
          <w:tcPr>
            <w:tcW w:w="1020" w:type="dxa"/>
            <w:vAlign w:val="bottom"/>
            <w:gridSpan w:val="2"/>
          </w:tcPr>
          <w:p>
            <w:pPr>
              <w:jc w:val="center"/>
              <w:ind w:left="427"/>
              <w:spacing w:after="0"/>
              <w:rPr>
                <w:sz w:val="20"/>
                <w:szCs w:val="20"/>
                <w:color w:val="auto"/>
              </w:rPr>
            </w:pPr>
            <w:r>
              <w:rPr>
                <w:rFonts w:ascii="Arial" w:cs="Arial" w:eastAsia="Arial" w:hAnsi="Arial"/>
                <w:sz w:val="14"/>
                <w:szCs w:val="14"/>
                <w:b w:val="1"/>
                <w:bCs w:val="1"/>
                <w:color w:val="auto"/>
                <w:w w:val="85"/>
              </w:rPr>
              <w:t>June 30,</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7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40" w:type="dxa"/>
            <w:vAlign w:val="bottom"/>
            <w:tcBorders>
              <w:top w:val="single" w:sz="8" w:color="auto"/>
            </w:tcBorders>
          </w:tcPr>
          <w:p>
            <w:pPr>
              <w:jc w:val="right"/>
              <w:ind w:right="66"/>
              <w:spacing w:after="0" w:line="142" w:lineRule="exact"/>
              <w:rPr>
                <w:sz w:val="20"/>
                <w:szCs w:val="20"/>
                <w:color w:val="auto"/>
              </w:rPr>
            </w:pPr>
            <w:r>
              <w:rPr>
                <w:rFonts w:ascii="Arial" w:cs="Arial" w:eastAsia="Arial" w:hAnsi="Arial"/>
                <w:sz w:val="14"/>
                <w:szCs w:val="14"/>
                <w:b w:val="1"/>
                <w:bCs w:val="1"/>
                <w:color w:val="auto"/>
              </w:rPr>
              <w:t>2011</w:t>
            </w:r>
          </w:p>
        </w:tc>
        <w:tc>
          <w:tcPr>
            <w:tcW w:w="106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2010</w:t>
            </w:r>
          </w:p>
        </w:tc>
        <w:tc>
          <w:tcPr>
            <w:tcW w:w="480" w:type="dxa"/>
            <w:vAlign w:val="bottom"/>
          </w:tcPr>
          <w:p>
            <w:pPr>
              <w:spacing w:after="0"/>
              <w:rPr>
                <w:sz w:val="12"/>
                <w:szCs w:val="12"/>
                <w:color w:val="auto"/>
              </w:rPr>
            </w:pPr>
          </w:p>
        </w:tc>
        <w:tc>
          <w:tcPr>
            <w:tcW w:w="540" w:type="dxa"/>
            <w:vAlign w:val="bottom"/>
            <w:tcBorders>
              <w:top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2011</w:t>
            </w:r>
          </w:p>
        </w:tc>
        <w:tc>
          <w:tcPr>
            <w:tcW w:w="4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2"/>
                <w:szCs w:val="12"/>
                <w:color w:val="auto"/>
              </w:rPr>
            </w:pPr>
          </w:p>
        </w:tc>
      </w:tr>
      <w:tr>
        <w:trPr>
          <w:trHeight w:val="210"/>
        </w:trPr>
        <w:tc>
          <w:tcPr>
            <w:tcW w:w="4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Amortization expense related to intangible assets, net</w:t>
            </w:r>
          </w:p>
        </w:tc>
        <w:tc>
          <w:tcPr>
            <w:tcW w:w="30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461</w:t>
            </w:r>
          </w:p>
        </w:tc>
        <w:tc>
          <w:tcPr>
            <w:tcW w:w="4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667</w:t>
            </w:r>
          </w:p>
        </w:tc>
        <w:tc>
          <w:tcPr>
            <w:tcW w:w="4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962</w:t>
            </w:r>
          </w:p>
        </w:tc>
        <w:tc>
          <w:tcPr>
            <w:tcW w:w="4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$1,403</w:t>
            </w:r>
          </w:p>
        </w:tc>
        <w:tc>
          <w:tcPr>
            <w:tcW w:w="100" w:type="dxa"/>
            <w:vAlign w:val="bottom"/>
            <w:tcBorders>
              <w:top w:val="single" w:sz="8" w:color="CCEEFF"/>
            </w:tcBorders>
            <w:shd w:val="clear" w:color="auto" w:fill="CCEEFF"/>
          </w:tcPr>
          <w:p>
            <w:pPr>
              <w:spacing w:after="0"/>
              <w:rPr>
                <w:sz w:val="18"/>
                <w:szCs w:val="18"/>
                <w:color w:val="auto"/>
              </w:rPr>
            </w:pPr>
          </w:p>
        </w:tc>
      </w:tr>
      <w:tr>
        <w:trPr>
          <w:trHeight w:val="363"/>
        </w:trPr>
        <w:tc>
          <w:tcPr>
            <w:tcW w:w="4700" w:type="dxa"/>
            <w:vAlign w:val="bottom"/>
          </w:tcPr>
          <w:p>
            <w:pPr>
              <w:spacing w:after="0"/>
              <w:rPr>
                <w:sz w:val="24"/>
                <w:szCs w:val="24"/>
                <w:color w:val="auto"/>
              </w:rPr>
            </w:pPr>
          </w:p>
        </w:tc>
        <w:tc>
          <w:tcPr>
            <w:tcW w:w="3020" w:type="dxa"/>
            <w:vAlign w:val="bottom"/>
          </w:tcPr>
          <w:p>
            <w:pPr>
              <w:jc w:val="right"/>
              <w:ind w:right="1832"/>
              <w:spacing w:after="0"/>
              <w:rPr>
                <w:sz w:val="20"/>
                <w:szCs w:val="20"/>
                <w:color w:val="auto"/>
              </w:rPr>
            </w:pPr>
            <w:r>
              <w:rPr>
                <w:rFonts w:ascii="Arial" w:cs="Arial" w:eastAsia="Arial" w:hAnsi="Arial"/>
                <w:sz w:val="18"/>
                <w:szCs w:val="18"/>
                <w:color w:val="auto"/>
              </w:rPr>
              <w:t>17</w:t>
            </w: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summarizes estimated amortization expense related to intangible assets in each of the next five fiscal years (dollars in millions):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Estimated</w:t>
            </w:r>
          </w:p>
        </w:tc>
      </w:tr>
      <w:tr>
        <w:trPr>
          <w:trHeight w:val="149"/>
        </w:trPr>
        <w:tc>
          <w:tcPr>
            <w:tcW w:w="1054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Amortization</w:t>
            </w:r>
          </w:p>
        </w:tc>
      </w:tr>
      <w:tr>
        <w:trPr>
          <w:trHeight w:val="161"/>
        </w:trPr>
        <w:tc>
          <w:tcPr>
            <w:tcW w:w="10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Expense</w:t>
            </w:r>
          </w:p>
        </w:tc>
      </w:tr>
      <w:tr>
        <w:trPr>
          <w:trHeight w:val="210"/>
        </w:trPr>
        <w:tc>
          <w:tcPr>
            <w:tcW w:w="10540" w:type="dxa"/>
            <w:vAlign w:val="bottom"/>
            <w:tcBorders>
              <w:top w:val="single" w:sz="8" w:color="CCEEFF"/>
            </w:tcBorders>
            <w:shd w:val="clear" w:color="auto" w:fill="CCEEFF"/>
          </w:tcPr>
          <w:p>
            <w:pPr>
              <w:jc w:val="right"/>
              <w:ind w:right="10092"/>
              <w:spacing w:after="0" w:line="202" w:lineRule="exact"/>
              <w:rPr>
                <w:sz w:val="20"/>
                <w:szCs w:val="20"/>
                <w:color w:val="auto"/>
              </w:rPr>
            </w:pPr>
            <w:r>
              <w:rPr>
                <w:rFonts w:ascii="Arial" w:cs="Arial" w:eastAsia="Arial" w:hAnsi="Arial"/>
                <w:sz w:val="18"/>
                <w:szCs w:val="18"/>
                <w:color w:val="auto"/>
                <w:w w:val="84"/>
              </w:rPr>
              <w:t>2012</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540" w:type="dxa"/>
            <w:vAlign w:val="bottom"/>
          </w:tcPr>
          <w:p>
            <w:pPr>
              <w:jc w:val="right"/>
              <w:ind w:right="10092"/>
              <w:spacing w:after="0"/>
              <w:rPr>
                <w:sz w:val="20"/>
                <w:szCs w:val="20"/>
                <w:color w:val="auto"/>
              </w:rPr>
            </w:pPr>
            <w:r>
              <w:rPr>
                <w:rFonts w:ascii="Arial" w:cs="Arial" w:eastAsia="Arial" w:hAnsi="Arial"/>
                <w:sz w:val="18"/>
                <w:szCs w:val="18"/>
                <w:color w:val="auto"/>
                <w:w w:val="84"/>
              </w:rPr>
              <w:t>2013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1,228</w:t>
            </w:r>
          </w:p>
        </w:tc>
        <w:tc>
          <w:tcPr>
            <w:tcW w:w="100" w:type="dxa"/>
            <w:vAlign w:val="bottom"/>
          </w:tcPr>
          <w:p>
            <w:pPr>
              <w:spacing w:after="0"/>
              <w:rPr>
                <w:sz w:val="18"/>
                <w:szCs w:val="18"/>
                <w:color w:val="auto"/>
              </w:rPr>
            </w:pPr>
          </w:p>
        </w:tc>
      </w:tr>
      <w:tr>
        <w:trPr>
          <w:trHeight w:val="216"/>
        </w:trPr>
        <w:tc>
          <w:tcPr>
            <w:tcW w:w="10540" w:type="dxa"/>
            <w:vAlign w:val="bottom"/>
            <w:shd w:val="clear" w:color="auto" w:fill="CCEEFF"/>
          </w:tcPr>
          <w:p>
            <w:pPr>
              <w:jc w:val="right"/>
              <w:ind w:right="10092"/>
              <w:spacing w:after="0"/>
              <w:rPr>
                <w:sz w:val="20"/>
                <w:szCs w:val="20"/>
                <w:color w:val="auto"/>
              </w:rPr>
            </w:pPr>
            <w:r>
              <w:rPr>
                <w:rFonts w:ascii="Arial" w:cs="Arial" w:eastAsia="Arial" w:hAnsi="Arial"/>
                <w:sz w:val="18"/>
                <w:szCs w:val="18"/>
                <w:color w:val="auto"/>
                <w:w w:val="84"/>
              </w:rPr>
              <w:t>2014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00" w:type="dxa"/>
            <w:vAlign w:val="bottom"/>
            <w:shd w:val="clear" w:color="auto" w:fill="CCEEFF"/>
          </w:tcPr>
          <w:p>
            <w:pPr>
              <w:spacing w:after="0"/>
              <w:rPr>
                <w:sz w:val="18"/>
                <w:szCs w:val="18"/>
                <w:color w:val="auto"/>
              </w:rPr>
            </w:pPr>
          </w:p>
        </w:tc>
      </w:tr>
      <w:tr>
        <w:trPr>
          <w:trHeight w:val="216"/>
        </w:trPr>
        <w:tc>
          <w:tcPr>
            <w:tcW w:w="10540" w:type="dxa"/>
            <w:vAlign w:val="bottom"/>
          </w:tcPr>
          <w:p>
            <w:pPr>
              <w:jc w:val="right"/>
              <w:ind w:right="10092"/>
              <w:spacing w:after="0"/>
              <w:rPr>
                <w:sz w:val="20"/>
                <w:szCs w:val="20"/>
                <w:color w:val="auto"/>
              </w:rPr>
            </w:pPr>
            <w:r>
              <w:rPr>
                <w:rFonts w:ascii="Arial" w:cs="Arial" w:eastAsia="Arial" w:hAnsi="Arial"/>
                <w:sz w:val="18"/>
                <w:szCs w:val="18"/>
                <w:color w:val="auto"/>
                <w:w w:val="84"/>
              </w:rPr>
              <w:t>2015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8"/>
                <w:szCs w:val="18"/>
                <w:color w:val="auto"/>
              </w:rPr>
            </w:pPr>
          </w:p>
        </w:tc>
      </w:tr>
      <w:tr>
        <w:trPr>
          <w:trHeight w:val="216"/>
        </w:trPr>
        <w:tc>
          <w:tcPr>
            <w:tcW w:w="10540" w:type="dxa"/>
            <w:vAlign w:val="bottom"/>
            <w:shd w:val="clear" w:color="auto" w:fill="CCEEFF"/>
          </w:tcPr>
          <w:p>
            <w:pPr>
              <w:jc w:val="right"/>
              <w:ind w:right="10092"/>
              <w:spacing w:after="0"/>
              <w:rPr>
                <w:sz w:val="20"/>
                <w:szCs w:val="20"/>
                <w:color w:val="auto"/>
              </w:rPr>
            </w:pPr>
            <w:r>
              <w:rPr>
                <w:rFonts w:ascii="Arial" w:cs="Arial" w:eastAsia="Arial" w:hAnsi="Arial"/>
                <w:sz w:val="18"/>
                <w:szCs w:val="18"/>
                <w:color w:val="auto"/>
                <w:w w:val="84"/>
              </w:rPr>
              <w:t>2016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18"/>
                <w:szCs w:val="18"/>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Variable Interest Entities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VIEs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Automotive</w:t>
      </w:r>
    </w:p>
    <w:p>
      <w:pPr>
        <w:spacing w:after="0" w:line="171" w:lineRule="exact"/>
        <w:rPr>
          <w:sz w:val="20"/>
          <w:szCs w:val="20"/>
          <w:color w:val="auto"/>
        </w:rPr>
      </w:pPr>
    </w:p>
    <w:p>
      <w:pPr>
        <w:ind w:right="140" w:firstLine="228"/>
        <w:spacing w:after="0" w:line="332" w:lineRule="auto"/>
        <w:rPr>
          <w:sz w:val="20"/>
          <w:szCs w:val="20"/>
          <w:color w:val="auto"/>
        </w:rPr>
      </w:pPr>
      <w:r>
        <w:rPr>
          <w:rFonts w:ascii="Arial" w:cs="Arial" w:eastAsia="Arial" w:hAnsi="Arial"/>
          <w:sz w:val="16"/>
          <w:szCs w:val="16"/>
          <w:color w:val="auto"/>
        </w:rPr>
        <w:t>VIEs that we do not control through a majority voting interest that are consolidated because we are the primary beneficiary primarily include certain vehicles sales and marketing joint ventures, the most significant of which is GM Egypt, and certain other automotive or financial support entities.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Liabilities recognized as a result of consolidating VIEs generally do not represent claims to us and assets recognized generally are for the benefit of the VIE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operations and cannot be used to satisfy our obligations. GM Korea, a non-wholly owned consolidated subsidiary that we control through a majority voting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is also a VIE because in the future it may require additional subordinated financial support. The creditors of GM Korea’s short-term debt of $157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$70 million, current derivative liabilities of $19 million and $111 million and long-term debt of $8 million and $835 million at June 30, 2011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31, 2010 do not have recourse to our general credit. In February 2011 we provided a guarantee to Korea Development Bank (a minority shareholder in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GM Korea), as trustee for the holders of GM Korea’s preferred shares, to redeem GM Korea’s preferred shares should GM Korea not redeem the shares.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guarantee decreased the amount of long-term debt which did not have recourse to our general credit in the six months ended June 30, 2011.</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summarizes the carrying amount of consolidated VIEs that we do not control through a majority voting interest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June 30, 2011</w:t>
            </w:r>
          </w:p>
        </w:tc>
        <w:tc>
          <w:tcPr>
            <w:tcW w:w="50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1"/>
              </w:rPr>
              <w:t>December 31, 2010</w:t>
            </w:r>
          </w:p>
        </w:tc>
        <w:tc>
          <w:tcPr>
            <w:tcW w:w="0" w:type="dxa"/>
            <w:vAlign w:val="bottom"/>
          </w:tcPr>
          <w:p>
            <w:pPr>
              <w:spacing w:after="0"/>
              <w:rPr>
                <w:sz w:val="1"/>
                <w:szCs w:val="1"/>
                <w:color w:val="auto"/>
              </w:rPr>
            </w:pPr>
          </w:p>
        </w:tc>
      </w:tr>
      <w:tr>
        <w:trPr>
          <w:trHeight w:val="196"/>
        </w:trPr>
        <w:tc>
          <w:tcPr>
            <w:tcW w:w="4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7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080" w:type="dxa"/>
            <w:vAlign w:val="bottom"/>
            <w:gridSpan w:val="2"/>
          </w:tcPr>
          <w:p>
            <w:pPr>
              <w:ind w:left="37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107</w:t>
            </w:r>
          </w:p>
        </w:tc>
        <w:tc>
          <w:tcPr>
            <w:tcW w:w="9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Accounts and notes receivable, net</w:t>
            </w:r>
          </w:p>
        </w:tc>
        <w:tc>
          <w:tcPr>
            <w:tcW w:w="3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106</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Inventories</w:t>
            </w:r>
          </w:p>
        </w:tc>
        <w:tc>
          <w:tcPr>
            <w:tcW w:w="3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94</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3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Property, net</w:t>
            </w:r>
          </w:p>
        </w:tc>
        <w:tc>
          <w:tcPr>
            <w:tcW w:w="3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56</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7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tcPr>
          <w:p>
            <w:pPr>
              <w:spacing w:after="0"/>
              <w:rPr>
                <w:sz w:val="20"/>
                <w:szCs w:val="20"/>
                <w:color w:val="auto"/>
              </w:rPr>
            </w:pPr>
            <w:r>
              <w:rPr>
                <w:rFonts w:ascii="Arial" w:cs="Arial" w:eastAsia="Arial" w:hAnsi="Arial"/>
                <w:sz w:val="18"/>
                <w:szCs w:val="18"/>
                <w:color w:val="auto"/>
              </w:rPr>
              <w:t>Total assets</w:t>
            </w:r>
          </w:p>
        </w:tc>
        <w:tc>
          <w:tcPr>
            <w:tcW w:w="4080" w:type="dxa"/>
            <w:vAlign w:val="bottom"/>
            <w:gridSpan w:val="2"/>
          </w:tcPr>
          <w:p>
            <w:pPr>
              <w:ind w:left="37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421</w:t>
            </w:r>
          </w:p>
        </w:tc>
        <w:tc>
          <w:tcPr>
            <w:tcW w:w="9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3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Accounts payable (principally trade)</w:t>
            </w:r>
          </w:p>
        </w:tc>
        <w:tc>
          <w:tcPr>
            <w:tcW w:w="4080" w:type="dxa"/>
            <w:vAlign w:val="bottom"/>
            <w:gridSpan w:val="2"/>
          </w:tcPr>
          <w:p>
            <w:pPr>
              <w:ind w:left="37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131</w:t>
            </w:r>
          </w:p>
        </w:tc>
        <w:tc>
          <w:tcPr>
            <w:tcW w:w="9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Short-term debt and current portion of long-term debt</w:t>
            </w:r>
          </w:p>
        </w:tc>
        <w:tc>
          <w:tcPr>
            <w:tcW w:w="3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Accrued liabilities</w:t>
            </w:r>
          </w:p>
        </w:tc>
        <w:tc>
          <w:tcPr>
            <w:tcW w:w="3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37</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7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700" w:type="dxa"/>
            <w:vAlign w:val="bottom"/>
          </w:tcPr>
          <w:p>
            <w:pPr>
              <w:spacing w:after="0"/>
              <w:rPr>
                <w:sz w:val="20"/>
                <w:szCs w:val="20"/>
                <w:color w:val="auto"/>
              </w:rPr>
            </w:pPr>
            <w:r>
              <w:rPr>
                <w:rFonts w:ascii="Arial" w:cs="Arial" w:eastAsia="Arial" w:hAnsi="Arial"/>
                <w:sz w:val="18"/>
                <w:szCs w:val="18"/>
                <w:color w:val="auto"/>
              </w:rPr>
              <w:t>Total liabilities</w:t>
            </w:r>
          </w:p>
        </w:tc>
        <w:tc>
          <w:tcPr>
            <w:tcW w:w="4080" w:type="dxa"/>
            <w:vAlign w:val="bottom"/>
            <w:gridSpan w:val="2"/>
          </w:tcPr>
          <w:p>
            <w:pPr>
              <w:ind w:left="37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236</w:t>
            </w:r>
          </w:p>
        </w:tc>
        <w:tc>
          <w:tcPr>
            <w:tcW w:w="9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780" w:type="dxa"/>
            <w:vAlign w:val="bottom"/>
            <w:vMerge w:val="restart"/>
          </w:tcPr>
          <w:p>
            <w:pPr>
              <w:ind w:left="920"/>
              <w:spacing w:after="0"/>
              <w:rPr>
                <w:sz w:val="20"/>
                <w:szCs w:val="20"/>
                <w:color w:val="auto"/>
              </w:rPr>
            </w:pPr>
            <w:r>
              <w:rPr>
                <w:rFonts w:ascii="Arial" w:cs="Arial" w:eastAsia="Arial" w:hAnsi="Arial"/>
                <w:sz w:val="18"/>
                <w:szCs w:val="18"/>
                <w:color w:val="auto"/>
              </w:rPr>
              <w:t>18</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70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The following table summarizes the amounts recorded in earnings related to consolidated VIEs we do not control through a majority voting interest (dollars in millions):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5"/>
          </w:tcPr>
          <w:p>
            <w:pPr>
              <w:jc w:val="right"/>
              <w:ind w:right="54"/>
              <w:spacing w:after="0"/>
              <w:rPr>
                <w:sz w:val="20"/>
                <w:szCs w:val="20"/>
                <w:color w:val="auto"/>
              </w:rPr>
            </w:pPr>
            <w:r>
              <w:rPr>
                <w:rFonts w:ascii="Arial" w:cs="Arial" w:eastAsia="Arial" w:hAnsi="Arial"/>
                <w:sz w:val="14"/>
                <w:szCs w:val="14"/>
                <w:b w:val="1"/>
                <w:bCs w:val="1"/>
                <w:color w:val="auto"/>
                <w:w w:val="89"/>
              </w:rPr>
              <w:t>Three Months Ended</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5"/>
          </w:tcPr>
          <w:p>
            <w:pPr>
              <w:ind w:left="4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7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4"/>
                <w:szCs w:val="14"/>
                <w:b w:val="1"/>
                <w:bCs w:val="1"/>
                <w:color w:val="auto"/>
                <w:w w:val="85"/>
              </w:rPr>
              <w:t>June 30,</w:t>
            </w:r>
          </w:p>
        </w:tc>
        <w:tc>
          <w:tcPr>
            <w:tcW w:w="42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0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2011</w:t>
            </w:r>
          </w:p>
        </w:tc>
        <w:tc>
          <w:tcPr>
            <w:tcW w:w="2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2010</w:t>
            </w:r>
          </w:p>
        </w:tc>
        <w:tc>
          <w:tcPr>
            <w:tcW w:w="46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gridSpan w:val="2"/>
          </w:tcPr>
          <w:p>
            <w:pPr>
              <w:jc w:val="right"/>
              <w:ind w:right="16"/>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3"/>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7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net sales and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4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337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Automotive cost of sales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188</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152</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287</w:t>
            </w: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Automotive selling, general and administrative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Other automotive expenses,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6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Automotive interest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Interest income and other non-operating income,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6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r>
      <w:tr>
        <w:trPr>
          <w:trHeight w:val="222"/>
        </w:trPr>
        <w:tc>
          <w:tcPr>
            <w:tcW w:w="708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21</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33</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60"/>
              <w:spacing w:after="0"/>
              <w:rPr>
                <w:sz w:val="20"/>
                <w:szCs w:val="20"/>
                <w:color w:val="auto"/>
              </w:rPr>
            </w:pPr>
            <w:r>
              <w:rPr>
                <w:rFonts w:ascii="Arial" w:cs="Arial" w:eastAsia="Arial" w:hAnsi="Arial"/>
                <w:sz w:val="18"/>
                <w:szCs w:val="18"/>
                <w:color w:val="auto"/>
              </w:rPr>
              <w:t>25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r>
      <w:tr>
        <w:trPr>
          <w:trHeight w:val="20"/>
        </w:trPr>
        <w:tc>
          <w:tcPr>
            <w:tcW w:w="70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Automotive Financing – GM Financial</w:t>
      </w:r>
    </w:p>
    <w:p>
      <w:pPr>
        <w:spacing w:after="0" w:line="171" w:lineRule="exact"/>
        <w:rPr>
          <w:sz w:val="20"/>
          <w:szCs w:val="20"/>
          <w:color w:val="auto"/>
        </w:rPr>
      </w:pPr>
    </w:p>
    <w:p>
      <w:pPr>
        <w:ind w:right="240" w:firstLine="228"/>
        <w:spacing w:after="0" w:line="332" w:lineRule="auto"/>
        <w:rPr>
          <w:sz w:val="20"/>
          <w:szCs w:val="20"/>
          <w:color w:val="auto"/>
        </w:rPr>
      </w:pPr>
      <w:r>
        <w:rPr>
          <w:rFonts w:ascii="Arial" w:cs="Arial" w:eastAsia="Arial" w:hAnsi="Arial"/>
          <w:sz w:val="16"/>
          <w:szCs w:val="16"/>
          <w:color w:val="auto"/>
        </w:rPr>
        <w:t>GM Financial finances its loan and lease origination volume through the use of credit facilities and securitization trusts that issue asset-backed securities to investors. GM Financial retains an interest in these credit facilities and securitization trusts which are structured without recourse.</w:t>
      </w:r>
    </w:p>
    <w:p>
      <w:pPr>
        <w:spacing w:after="0" w:line="85" w:lineRule="exact"/>
        <w:rPr>
          <w:sz w:val="20"/>
          <w:szCs w:val="20"/>
          <w:color w:val="auto"/>
        </w:rPr>
      </w:pPr>
    </w:p>
    <w:p>
      <w:pPr>
        <w:jc w:val="both"/>
        <w:ind w:right="80" w:firstLine="228"/>
        <w:spacing w:after="0" w:line="298" w:lineRule="auto"/>
        <w:rPr>
          <w:sz w:val="20"/>
          <w:szCs w:val="20"/>
          <w:color w:val="auto"/>
        </w:rPr>
      </w:pPr>
      <w:r>
        <w:rPr>
          <w:rFonts w:ascii="Arial" w:cs="Arial" w:eastAsia="Arial" w:hAnsi="Arial"/>
          <w:sz w:val="16"/>
          <w:szCs w:val="16"/>
          <w:color w:val="auto"/>
        </w:rPr>
        <w:t>GM Financial’s continuing involvement with the credit facilities and securitization trusts includes servicing loans and leases held by the SPEs and holding a residual interest in the SPE. The SPEs are considered VIEs because they do not have sufficient equity at risk, and are consolidated because GM Financial is the primary beneficiary and has the power over those activities that most significantly affect the economic performance of the SPEs, and has an obligation to absorb losses or the right to receive benefits from the SPEs which are potentially significant.</w:t>
      </w:r>
    </w:p>
    <w:p>
      <w:pPr>
        <w:spacing w:after="0" w:line="113" w:lineRule="exact"/>
        <w:rPr>
          <w:sz w:val="20"/>
          <w:szCs w:val="20"/>
          <w:color w:val="auto"/>
        </w:rPr>
      </w:pPr>
    </w:p>
    <w:p>
      <w:pPr>
        <w:ind w:right="320" w:firstLine="228"/>
        <w:spacing w:after="0" w:line="332" w:lineRule="auto"/>
        <w:rPr>
          <w:sz w:val="20"/>
          <w:szCs w:val="20"/>
          <w:color w:val="auto"/>
        </w:rPr>
      </w:pPr>
      <w:r>
        <w:rPr>
          <w:rFonts w:ascii="Arial" w:cs="Arial" w:eastAsia="Arial" w:hAnsi="Arial"/>
          <w:sz w:val="16"/>
          <w:szCs w:val="16"/>
          <w:color w:val="auto"/>
        </w:rPr>
        <w:t>GM Financial is not required to provide any additional financial support to its sponsored credit facilities and securitization SPEs. The finance receivables, leased assets and other assets held by these subsidiaries are not available to our creditors or creditors of our other subsidiaries.</w:t>
      </w:r>
    </w:p>
    <w:p>
      <w:pPr>
        <w:spacing w:after="0" w:line="85" w:lineRule="exact"/>
        <w:rPr>
          <w:sz w:val="20"/>
          <w:szCs w:val="20"/>
          <w:color w:val="auto"/>
        </w:rPr>
      </w:pPr>
    </w:p>
    <w:p>
      <w:pPr>
        <w:ind w:right="560" w:firstLine="228"/>
        <w:spacing w:after="0" w:line="268" w:lineRule="auto"/>
        <w:rPr>
          <w:sz w:val="20"/>
          <w:szCs w:val="20"/>
          <w:color w:val="auto"/>
        </w:rPr>
      </w:pPr>
      <w:r>
        <w:rPr>
          <w:rFonts w:ascii="Arial" w:cs="Arial" w:eastAsia="Arial" w:hAnsi="Arial"/>
          <w:sz w:val="18"/>
          <w:szCs w:val="18"/>
          <w:color w:val="auto"/>
        </w:rPr>
        <w:t>Refer to Notes 5, 6 and 13 for additional information on GM Financial’s involvement with the SPEs and disclosures related to the amounts held by the consolidated SPEs as of the balance sheet dates.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Nonconsolidated VIEs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Automotive</w:t>
      </w:r>
    </w:p>
    <w:p>
      <w:pPr>
        <w:spacing w:after="0" w:line="171" w:lineRule="exact"/>
        <w:rPr>
          <w:sz w:val="20"/>
          <w:szCs w:val="20"/>
          <w:color w:val="auto"/>
        </w:rPr>
      </w:pPr>
    </w:p>
    <w:p>
      <w:pPr>
        <w:ind w:right="460" w:firstLine="228"/>
        <w:spacing w:after="0" w:line="332" w:lineRule="auto"/>
        <w:rPr>
          <w:sz w:val="20"/>
          <w:szCs w:val="20"/>
          <w:color w:val="auto"/>
        </w:rPr>
      </w:pPr>
      <w:r>
        <w:rPr>
          <w:rFonts w:ascii="Arial" w:cs="Arial" w:eastAsia="Arial" w:hAnsi="Arial"/>
          <w:sz w:val="16"/>
          <w:szCs w:val="16"/>
          <w:color w:val="auto"/>
        </w:rPr>
        <w:t>VIEs that are not consolidated because we are not the primary beneficiary primarily include certain vehicle sales and marketing joint ventures and other automotive or financial support entities, including American Axle and Manufacturing Holdings, Inc. (American Axle), Ally Financial, Saab and HKJV.</w:t>
      </w:r>
    </w:p>
    <w:p>
      <w:pPr>
        <w:spacing w:after="0" w:line="85" w:lineRule="exact"/>
        <w:rPr>
          <w:sz w:val="20"/>
          <w:szCs w:val="20"/>
          <w:color w:val="auto"/>
        </w:rPr>
      </w:pPr>
    </w:p>
    <w:p>
      <w:pPr>
        <w:ind w:right="80" w:firstLine="228"/>
        <w:spacing w:after="0" w:line="291" w:lineRule="auto"/>
        <w:rPr>
          <w:sz w:val="20"/>
          <w:szCs w:val="20"/>
          <w:color w:val="auto"/>
        </w:rPr>
      </w:pPr>
      <w:r>
        <w:rPr>
          <w:rFonts w:ascii="Arial" w:cs="Arial" w:eastAsia="Arial" w:hAnsi="Arial"/>
          <w:sz w:val="16"/>
          <w:szCs w:val="16"/>
          <w:color w:val="auto"/>
        </w:rPr>
        <w:t>Variable interests in nonconsolidated VIEs include guarantees and financial support provided to certain current or previously divested suppliers in order to ensure that supply needs for production are not disrupted due to a supplier’s liquidity concerns or possible shutdowns. The maximum exposure to loss related to these VIEs is not expected to be in excess of the amount of net accounts and notes receivable recorded with the suppliers and any related guarantees and loan commitments. Investments in joint ventures that manufacture, market and sell vehicles in certain markets are typically self-funded and financed with no contractual terms that require us to provide future financial support. The maximum exposure to loss is not expected to be in excess of the carrying amount of the investments recorded in Equity in net assets of nonconsolidated affiliates and in any related capital funding requirements.</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45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120" w:firstLine="228"/>
        <w:spacing w:after="0" w:line="268" w:lineRule="auto"/>
        <w:rPr>
          <w:sz w:val="20"/>
          <w:szCs w:val="20"/>
          <w:color w:val="auto"/>
        </w:rPr>
      </w:pPr>
      <w:r>
        <w:rPr>
          <w:rFonts w:ascii="Arial" w:cs="Arial" w:eastAsia="Arial" w:hAnsi="Arial"/>
          <w:sz w:val="18"/>
          <w:szCs w:val="18"/>
          <w:color w:val="auto"/>
        </w:rPr>
        <w:t>The following table summarizes the amounts recorded for nonconsolidated VIEs and the related off-balance sheet guarantees and maximum exposure to loss, excluding Ally Financial that is disclosed in Note 24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4"/>
          </w:tcPr>
          <w:p>
            <w:pPr>
              <w:jc w:val="right"/>
              <w:ind w:right="374"/>
              <w:spacing w:after="0"/>
              <w:rPr>
                <w:sz w:val="20"/>
                <w:szCs w:val="20"/>
                <w:color w:val="auto"/>
              </w:rPr>
            </w:pPr>
            <w:r>
              <w:rPr>
                <w:rFonts w:ascii="Arial" w:cs="Arial" w:eastAsia="Arial" w:hAnsi="Arial"/>
                <w:sz w:val="14"/>
                <w:szCs w:val="14"/>
                <w:b w:val="1"/>
                <w:bCs w:val="1"/>
                <w:color w:val="auto"/>
              </w:rPr>
              <w:t>June 30, 2011</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5"/>
              </w:rPr>
              <w:t>December 31, 2010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9"/>
              </w:rPr>
              <w:t>Maximum</w:t>
            </w:r>
          </w:p>
        </w:tc>
        <w:tc>
          <w:tcPr>
            <w:tcW w:w="5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9"/>
              </w:rPr>
              <w:t>Maximum</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5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6"/>
              </w:rPr>
              <w:t>Carrying</w:t>
            </w:r>
          </w:p>
        </w:tc>
        <w:tc>
          <w:tcPr>
            <w:tcW w:w="58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7"/>
              </w:rPr>
              <w:t>Exposure</w:t>
            </w:r>
          </w:p>
        </w:tc>
        <w:tc>
          <w:tcPr>
            <w:tcW w:w="580" w:type="dxa"/>
            <w:vAlign w:val="bottom"/>
          </w:tcPr>
          <w:p>
            <w:pPr>
              <w:spacing w:after="0"/>
              <w:rPr>
                <w:sz w:val="12"/>
                <w:szCs w:val="12"/>
                <w:color w:val="auto"/>
              </w:rPr>
            </w:pPr>
          </w:p>
        </w:tc>
        <w:tc>
          <w:tcPr>
            <w:tcW w:w="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Carrying</w:t>
            </w:r>
          </w:p>
        </w:tc>
        <w:tc>
          <w:tcPr>
            <w:tcW w:w="560" w:type="dxa"/>
            <w:vAlign w:val="bottom"/>
          </w:tcPr>
          <w:p>
            <w:pPr>
              <w:spacing w:after="0"/>
              <w:rPr>
                <w:sz w:val="12"/>
                <w:szCs w:val="12"/>
                <w:color w:val="auto"/>
              </w:rPr>
            </w:pPr>
          </w:p>
        </w:tc>
        <w:tc>
          <w:tcPr>
            <w:tcW w:w="70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w w:val="87"/>
              </w:rPr>
              <w:t>Exposure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Amount</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14"/>
              <w:spacing w:after="0"/>
              <w:rPr>
                <w:sz w:val="20"/>
                <w:szCs w:val="20"/>
                <w:color w:val="auto"/>
              </w:rPr>
            </w:pPr>
            <w:r>
              <w:rPr>
                <w:rFonts w:ascii="Arial" w:cs="Arial" w:eastAsia="Arial" w:hAnsi="Arial"/>
                <w:sz w:val="14"/>
                <w:szCs w:val="14"/>
                <w:b w:val="1"/>
                <w:bCs w:val="1"/>
                <w:color w:val="auto"/>
                <w:w w:val="80"/>
              </w:rPr>
              <w:t>to Loss</w:t>
            </w:r>
          </w:p>
        </w:tc>
        <w:tc>
          <w:tcPr>
            <w:tcW w:w="58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Amount</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76"/>
              </w:rPr>
              <w:t>to Loss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9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Accounts and notes receivable, net</w:t>
            </w:r>
          </w:p>
        </w:tc>
        <w:tc>
          <w:tcPr>
            <w:tcW w:w="2160" w:type="dxa"/>
            <w:vAlign w:val="bottom"/>
            <w:gridSpan w:val="2"/>
          </w:tcPr>
          <w:p>
            <w:pPr>
              <w:ind w:left="196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660" w:type="dxa"/>
            <w:vAlign w:val="bottom"/>
            <w:gridSpan w:val="2"/>
          </w:tcPr>
          <w:p>
            <w:pPr>
              <w:ind w:left="580"/>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108</w:t>
            </w: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in net assets of nonconsolidated affiliates</w:t>
            </w:r>
          </w:p>
        </w:tc>
        <w:tc>
          <w:tcPr>
            <w:tcW w:w="1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9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216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660" w:type="dxa"/>
            <w:vAlign w:val="bottom"/>
            <w:gridSpan w:val="2"/>
            <w:shd w:val="clear" w:color="auto" w:fill="CCEEFF"/>
          </w:tcPr>
          <w:p>
            <w:pPr>
              <w:ind w:left="58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360" w:type="dxa"/>
            <w:vAlign w:val="bottom"/>
            <w:gridSpan w:val="3"/>
            <w:vMerge w:val="continue"/>
          </w:tcPr>
          <w:p>
            <w:pPr>
              <w:spacing w:after="0"/>
              <w:rPr>
                <w:sz w:val="18"/>
                <w:szCs w:val="18"/>
                <w:color w:val="auto"/>
              </w:rPr>
            </w:pP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 (principally trade)</w:t>
            </w:r>
          </w:p>
        </w:tc>
        <w:tc>
          <w:tcPr>
            <w:tcW w:w="216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60" w:type="dxa"/>
            <w:vAlign w:val="bottom"/>
            <w:gridSpan w:val="2"/>
            <w:shd w:val="clear" w:color="auto" w:fill="CCEEFF"/>
          </w:tcPr>
          <w:p>
            <w:pPr>
              <w:ind w:left="58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193</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660" w:type="dxa"/>
            <w:vAlign w:val="bottom"/>
            <w:gridSpan w:val="2"/>
            <w:shd w:val="clear" w:color="auto" w:fill="CCEEFF"/>
          </w:tcPr>
          <w:p>
            <w:pPr>
              <w:ind w:left="58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Off-Balance Sheet</w:t>
            </w:r>
          </w:p>
        </w:tc>
        <w:tc>
          <w:tcPr>
            <w:tcW w:w="1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360" w:type="dxa"/>
            <w:vAlign w:val="bottom"/>
            <w:gridSpan w:val="3"/>
            <w:vMerge w:val="continue"/>
          </w:tcPr>
          <w:p>
            <w:pPr>
              <w:spacing w:after="0"/>
              <w:rPr>
                <w:sz w:val="18"/>
                <w:szCs w:val="18"/>
                <w:color w:val="auto"/>
              </w:rPr>
            </w:pP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commitments (a)</w:t>
            </w:r>
          </w:p>
        </w:tc>
        <w:tc>
          <w:tcPr>
            <w:tcW w:w="1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8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Other guarantees</w:t>
            </w: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liquidity arrangements (b)</w:t>
            </w:r>
          </w:p>
        </w:tc>
        <w:tc>
          <w:tcPr>
            <w:tcW w:w="1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60" w:type="dxa"/>
            <w:vAlign w:val="bottom"/>
            <w:gridSpan w:val="3"/>
          </w:tcPr>
          <w:p>
            <w:pPr>
              <w:spacing w:after="0"/>
              <w:rPr>
                <w:sz w:val="20"/>
                <w:szCs w:val="20"/>
                <w:color w:val="auto"/>
              </w:rPr>
            </w:pPr>
            <w:r>
              <w:rPr>
                <w:rFonts w:ascii="Arial" w:cs="Arial" w:eastAsia="Arial" w:hAnsi="Arial"/>
                <w:sz w:val="18"/>
                <w:szCs w:val="18"/>
                <w:color w:val="auto"/>
              </w:rPr>
              <w:t>Total guarantees and liquidity arrangements</w:t>
            </w:r>
          </w:p>
        </w:tc>
        <w:tc>
          <w:tcPr>
            <w:tcW w:w="1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gridSpan w:val="2"/>
          </w:tcPr>
          <w:p>
            <w:pPr>
              <w:ind w:left="580"/>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241</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200" w:type="dxa"/>
            <w:vAlign w:val="bottom"/>
          </w:tcPr>
          <w:p>
            <w:pPr>
              <w:spacing w:after="0"/>
              <w:rPr>
                <w:sz w:val="8"/>
                <w:szCs w:val="8"/>
                <w:color w:val="auto"/>
              </w:rPr>
            </w:pPr>
          </w:p>
        </w:tc>
        <w:tc>
          <w:tcPr>
            <w:tcW w:w="1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Amounts at December 31, 2010 included undrawn loan commitments related to American Axle. In June 2011 the term loan facility was terminated.</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Amounts at June 30, 2011 and December 31, 2010 represented additional contingent future capital funding requirement related to HKJV.</w:t>
      </w:r>
    </w:p>
    <w:p>
      <w:pPr>
        <w:spacing w:after="0" w:line="171" w:lineRule="exact"/>
        <w:rPr>
          <w:sz w:val="20"/>
          <w:szCs w:val="20"/>
          <w:color w:val="auto"/>
        </w:rPr>
      </w:pPr>
    </w:p>
    <w:p>
      <w:pPr>
        <w:ind w:right="120" w:firstLine="228"/>
        <w:spacing w:after="0" w:line="259" w:lineRule="auto"/>
        <w:rPr>
          <w:sz w:val="20"/>
          <w:szCs w:val="20"/>
          <w:color w:val="auto"/>
        </w:rPr>
      </w:pPr>
      <w:r>
        <w:rPr>
          <w:rFonts w:ascii="Arial" w:cs="Arial" w:eastAsia="Arial" w:hAnsi="Arial"/>
          <w:sz w:val="18"/>
          <w:szCs w:val="18"/>
          <w:color w:val="auto"/>
        </w:rPr>
        <w:t>Stated contractual voting or similar rights for certain of our joint venture arrangements provide various parties with shared power over the activities that most significantly affect the economic performance of certain nonconsolidated VIEs. Such nonconsolidated VIEs are operating joint ventures located in developing international markets.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American Axle</w:t>
      </w:r>
    </w:p>
    <w:p>
      <w:pPr>
        <w:spacing w:after="0" w:line="171" w:lineRule="exact"/>
        <w:rPr>
          <w:sz w:val="20"/>
          <w:szCs w:val="20"/>
          <w:color w:val="auto"/>
        </w:rPr>
      </w:pPr>
    </w:p>
    <w:p>
      <w:pPr>
        <w:ind w:firstLine="228"/>
        <w:spacing w:after="0" w:line="256" w:lineRule="auto"/>
        <w:rPr>
          <w:sz w:val="20"/>
          <w:szCs w:val="20"/>
          <w:color w:val="auto"/>
        </w:rPr>
      </w:pPr>
      <w:r>
        <w:rPr>
          <w:rFonts w:ascii="Arial" w:cs="Arial" w:eastAsia="Arial" w:hAnsi="Arial"/>
          <w:sz w:val="18"/>
          <w:szCs w:val="18"/>
          <w:color w:val="auto"/>
        </w:rPr>
        <w:t>We concluded that American Axle was a VIE for which we were not the primary beneficiary and we currently lack the power through voting or similar rights to direct those activities of American Axle that most significantly affect its economic performance. Prior to June 2011 our primary variable interest, among others, in American Axle was a second lien term loan facility in which American Axle could borrow up to $100 million. In June 2011 the term loan facility was terminated thereby eliminating our explicit variable interest in American Axle.</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Ally Financial</w:t>
      </w:r>
    </w:p>
    <w:p>
      <w:pPr>
        <w:spacing w:after="0" w:line="171" w:lineRule="exact"/>
        <w:rPr>
          <w:sz w:val="20"/>
          <w:szCs w:val="20"/>
          <w:color w:val="auto"/>
        </w:rPr>
      </w:pPr>
    </w:p>
    <w:p>
      <w:pPr>
        <w:ind w:right="20" w:firstLine="228"/>
        <w:spacing w:after="0" w:line="256" w:lineRule="auto"/>
        <w:rPr>
          <w:sz w:val="20"/>
          <w:szCs w:val="20"/>
          <w:color w:val="auto"/>
        </w:rPr>
      </w:pPr>
      <w:r>
        <w:rPr>
          <w:rFonts w:ascii="Arial" w:cs="Arial" w:eastAsia="Arial" w:hAnsi="Arial"/>
          <w:sz w:val="18"/>
          <w:szCs w:val="18"/>
          <w:color w:val="auto"/>
        </w:rPr>
        <w:t>We own 9.9% of Ally Financial’s common stock. Ally Financial is a VIE as it does not have sufficient equity at risk; however, we are not the primary beneficiary and we currently lack the power through voting or similar rights to direct those activities of Ally Financial that most significantly affect its economic performance. Refer to Notes 19 and 24 for additional information on Ally Financial, including our investment, sale of our Ally Financial preferred stock in March 2011 and our maximum exposure under agreements with Ally Financial.</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Saab</w:t>
      </w:r>
    </w:p>
    <w:p>
      <w:pPr>
        <w:spacing w:after="0" w:line="171" w:lineRule="exact"/>
        <w:rPr>
          <w:sz w:val="20"/>
          <w:szCs w:val="20"/>
          <w:color w:val="auto"/>
        </w:rPr>
      </w:pPr>
    </w:p>
    <w:p>
      <w:pPr>
        <w:ind w:firstLine="228"/>
        <w:spacing w:after="0" w:line="255" w:lineRule="auto"/>
        <w:rPr>
          <w:sz w:val="20"/>
          <w:szCs w:val="20"/>
          <w:color w:val="auto"/>
        </w:rPr>
      </w:pPr>
      <w:r>
        <w:rPr>
          <w:rFonts w:ascii="Arial" w:cs="Arial" w:eastAsia="Arial" w:hAnsi="Arial"/>
          <w:sz w:val="18"/>
          <w:szCs w:val="18"/>
          <w:color w:val="auto"/>
        </w:rPr>
        <w:t>Our primary variable interest in Saab is the preference shares that we received in connection with the sale, which have a face value of $326 million and were recorded at an estimated fair value that was insignificant. We concluded that Saab is a VIE as it does not have sufficient equity at risk. We also determined that we are not the primary beneficiary because we lack the power to direct those activities that most significantly affect its economic performance. We continue to be obligated to fund certain Saab related liabilities, primarily warranty obligations related to vehicles sold prior to the disposition of Saab. Refer to Note 3 for additional information on the sale of Saab.</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HKJV</w:t>
      </w:r>
    </w:p>
    <w:p>
      <w:pPr>
        <w:spacing w:after="0" w:line="171" w:lineRule="exact"/>
        <w:rPr>
          <w:sz w:val="20"/>
          <w:szCs w:val="20"/>
          <w:color w:val="auto"/>
        </w:rPr>
      </w:pPr>
    </w:p>
    <w:p>
      <w:pPr>
        <w:ind w:right="20" w:firstLine="228"/>
        <w:spacing w:after="0" w:line="259" w:lineRule="auto"/>
        <w:rPr>
          <w:sz w:val="20"/>
          <w:szCs w:val="20"/>
          <w:color w:val="auto"/>
        </w:rPr>
      </w:pPr>
      <w:r>
        <w:rPr>
          <w:rFonts w:ascii="Arial" w:cs="Arial" w:eastAsia="Arial" w:hAnsi="Arial"/>
          <w:sz w:val="18"/>
          <w:szCs w:val="18"/>
          <w:color w:val="auto"/>
        </w:rPr>
        <w:t>We determined that HKJV is a VIE because it will require additional subordinated financial support, and we determined that we are not the primary beneficiary because we share the power with SAIC-HK to direct those activities that most significantly affect HKJV’s economic performance. Refer to Note 8 for additional information on our investment in HKJV.</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Depreciation and Amortization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177" w:lineRule="exact"/>
        <w:rPr>
          <w:sz w:val="20"/>
          <w:szCs w:val="20"/>
          <w:color w:val="auto"/>
        </w:rPr>
      </w:pPr>
    </w:p>
    <w:p>
      <w:pPr>
        <w:ind w:right="40" w:firstLine="228"/>
        <w:spacing w:after="0" w:line="268" w:lineRule="auto"/>
        <w:rPr>
          <w:sz w:val="20"/>
          <w:szCs w:val="20"/>
          <w:color w:val="auto"/>
        </w:rPr>
      </w:pPr>
      <w:r>
        <w:rPr>
          <w:rFonts w:ascii="Arial" w:cs="Arial" w:eastAsia="Arial" w:hAnsi="Arial"/>
          <w:sz w:val="18"/>
          <w:szCs w:val="18"/>
          <w:color w:val="auto"/>
        </w:rPr>
        <w:t>The following table summarizes depreciation and amortization, including asset impairment charges, included in Automotive cost of sales, Automotive selling, general and administrative expense and Other automotive expenses, net (dollars in millions):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0"/>
              </w:rPr>
              <w:t>Three Months Ended</w:t>
            </w:r>
          </w:p>
        </w:tc>
        <w:tc>
          <w:tcPr>
            <w:tcW w:w="200" w:type="dxa"/>
            <w:vAlign w:val="bottom"/>
          </w:tcPr>
          <w:p>
            <w:pPr>
              <w:spacing w:after="0"/>
              <w:rPr>
                <w:sz w:val="14"/>
                <w:szCs w:val="14"/>
                <w:color w:val="auto"/>
              </w:rPr>
            </w:pPr>
          </w:p>
        </w:tc>
        <w:tc>
          <w:tcPr>
            <w:tcW w:w="14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w w:val="89"/>
              </w:rPr>
              <w:t>2011</w:t>
            </w: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top w:val="single" w:sz="8" w:color="auto"/>
            </w:tcBorders>
          </w:tcPr>
          <w:p>
            <w:pPr>
              <w:jc w:val="right"/>
              <w:ind w:right="47"/>
              <w:spacing w:after="0" w:line="142" w:lineRule="exact"/>
              <w:rPr>
                <w:sz w:val="20"/>
                <w:szCs w:val="20"/>
                <w:color w:val="auto"/>
              </w:rPr>
            </w:pPr>
            <w:r>
              <w:rPr>
                <w:rFonts w:ascii="Arial" w:cs="Arial" w:eastAsia="Arial" w:hAnsi="Arial"/>
                <w:sz w:val="14"/>
                <w:szCs w:val="14"/>
                <w:b w:val="1"/>
                <w:bCs w:val="1"/>
                <w:color w:val="auto"/>
              </w:rPr>
              <w:t>2011</w:t>
            </w:r>
          </w:p>
        </w:tc>
        <w:tc>
          <w:tcPr>
            <w:tcW w:w="880" w:type="dxa"/>
            <w:vAlign w:val="bottom"/>
            <w:tcBorders>
              <w:top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Depreciation and impairment of plants and equipment</w:t>
            </w:r>
          </w:p>
        </w:tc>
        <w:tc>
          <w:tcPr>
            <w:tcW w:w="1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$1,003</w:t>
            </w:r>
          </w:p>
        </w:tc>
        <w:tc>
          <w:tcPr>
            <w:tcW w:w="3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Amortization and impairment of special tools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462</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393</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915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impairment of equipment on operating leases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461</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667</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962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Total depreciation, amortization and asset impairment charges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1,615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1,676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3,177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Financing – GM Financial</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Senior Notes</w:t>
      </w:r>
    </w:p>
    <w:p>
      <w:pPr>
        <w:spacing w:after="0" w:line="171" w:lineRule="exact"/>
        <w:rPr>
          <w:sz w:val="20"/>
          <w:szCs w:val="20"/>
          <w:color w:val="auto"/>
        </w:rPr>
      </w:pPr>
    </w:p>
    <w:p>
      <w:pPr>
        <w:ind w:right="160" w:firstLine="228"/>
        <w:spacing w:after="0" w:line="259" w:lineRule="auto"/>
        <w:rPr>
          <w:sz w:val="20"/>
          <w:szCs w:val="20"/>
          <w:color w:val="auto"/>
        </w:rPr>
      </w:pPr>
      <w:r>
        <w:rPr>
          <w:rFonts w:ascii="Arial" w:cs="Arial" w:eastAsia="Arial" w:hAnsi="Arial"/>
          <w:sz w:val="18"/>
          <w:szCs w:val="18"/>
          <w:color w:val="auto"/>
        </w:rPr>
        <w:t>In June 2011 GM Financial issued 6.75% senior notes of $500 million which are due in June 2018 with interest payable semiannually. On July 1, 2011 proceeds of $71 million from this offering were used to redeem all of GM Financial’s outstanding 8.50% senior notes due in 2015. The remaining proceeds will be used for general corporate purposes.</w:t>
      </w:r>
    </w:p>
    <w:p>
      <w:pPr>
        <w:spacing w:after="0" w:line="140" w:lineRule="exact"/>
        <w:rPr>
          <w:sz w:val="20"/>
          <w:szCs w:val="20"/>
          <w:color w:val="auto"/>
        </w:rPr>
      </w:pPr>
    </w:p>
    <w:p>
      <w:pPr>
        <w:jc w:val="both"/>
        <w:ind w:right="80" w:firstLine="228"/>
        <w:spacing w:after="0" w:line="303" w:lineRule="auto"/>
        <w:rPr>
          <w:sz w:val="20"/>
          <w:szCs w:val="20"/>
          <w:color w:val="auto"/>
        </w:rPr>
      </w:pPr>
      <w:r>
        <w:rPr>
          <w:rFonts w:ascii="Arial" w:cs="Arial" w:eastAsia="Arial" w:hAnsi="Arial"/>
          <w:sz w:val="15"/>
          <w:szCs w:val="15"/>
          <w:color w:val="auto"/>
        </w:rPr>
        <w:t>In connection with the issuance of the 6.75% senior notes, GM Financial entered into a registration rights agreement that requires GM Financial to file a shelf registration statement relating to the registration with the SEC of the 6.75% senior notes and the subsidiary guarantees. If the registration statement has not been declared effective by the SEC within 210 days from the original issuance of the notes or ceases to remain effective, GM Financial will be required to pay the</w:t>
      </w:r>
    </w:p>
    <w:p>
      <w:pPr>
        <w:spacing w:after="0" w:line="1"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6.75% senior note holders a maximum of $0.50 per week of additional interest per $1,000 of principal during the time the registration statement is not effective.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amounts outstanding under GM Financial credit facilities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83"/>
              </w:rPr>
              <w:t>June 30, 2011</w:t>
            </w:r>
          </w:p>
        </w:tc>
        <w:tc>
          <w:tcPr>
            <w:tcW w:w="96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1"/>
              </w:rPr>
              <w:t>December 31, 2010</w:t>
            </w:r>
          </w:p>
        </w:tc>
      </w:tr>
      <w:tr>
        <w:trPr>
          <w:trHeight w:val="210"/>
        </w:trPr>
        <w:tc>
          <w:tcPr>
            <w:tcW w:w="84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Syndicated warehouse facility</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8"/>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Medium-term note facility</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385</w:t>
            </w: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Bank funding facilities</w:t>
            </w: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r>
      <w:tr>
        <w:trPr>
          <w:trHeight w:val="222"/>
        </w:trPr>
        <w:tc>
          <w:tcPr>
            <w:tcW w:w="8480" w:type="dxa"/>
            <w:vAlign w:val="bottom"/>
          </w:tcPr>
          <w:p>
            <w:pPr>
              <w:spacing w:after="0"/>
              <w:rPr>
                <w:sz w:val="20"/>
                <w:szCs w:val="20"/>
                <w:color w:val="auto"/>
              </w:rPr>
            </w:pPr>
            <w:r>
              <w:rPr>
                <w:rFonts w:ascii="Arial" w:cs="Arial" w:eastAsia="Arial" w:hAnsi="Arial"/>
                <w:sz w:val="18"/>
                <w:szCs w:val="18"/>
                <w:color w:val="auto"/>
              </w:rPr>
              <w:t>Total credit facilities</w:t>
            </w:r>
          </w:p>
        </w:tc>
        <w:tc>
          <w:tcPr>
            <w:tcW w:w="300" w:type="dxa"/>
            <w:vAlign w:val="bottom"/>
            <w:gridSpan w:val="2"/>
          </w:tcPr>
          <w:p>
            <w:pPr>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423</w:t>
            </w:r>
          </w:p>
        </w:tc>
        <w:tc>
          <w:tcPr>
            <w:tcW w:w="1420" w:type="dxa"/>
            <w:vAlign w:val="bottom"/>
            <w:gridSpan w:val="2"/>
          </w:tcPr>
          <w:p>
            <w:pPr>
              <w:jc w:val="right"/>
              <w:ind w:right="308"/>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832</w:t>
            </w:r>
          </w:p>
        </w:tc>
        <w:tc>
          <w:tcPr>
            <w:tcW w:w="100" w:type="dxa"/>
            <w:vAlign w:val="bottom"/>
          </w:tcPr>
          <w:p>
            <w:pPr>
              <w:spacing w:after="0"/>
              <w:rPr>
                <w:sz w:val="19"/>
                <w:szCs w:val="19"/>
                <w:color w:val="auto"/>
              </w:rPr>
            </w:pPr>
          </w:p>
        </w:tc>
      </w:tr>
      <w:tr>
        <w:trPr>
          <w:trHeight w:val="20"/>
        </w:trPr>
        <w:tc>
          <w:tcPr>
            <w:tcW w:w="8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summarizes further details regarding terms and availability of GM Financial credit facilities at June 30, 2011 (dollars in millions):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0"/>
              </w:rPr>
              <w:t>Restricted</w:t>
            </w:r>
          </w:p>
        </w:tc>
      </w:tr>
      <w:tr>
        <w:trPr>
          <w:trHeight w:val="149"/>
        </w:trPr>
        <w:tc>
          <w:tcPr>
            <w:tcW w:w="116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Facility</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1"/>
              </w:rPr>
              <w:t>Advances</w:t>
            </w:r>
          </w:p>
        </w:tc>
        <w:tc>
          <w:tcPr>
            <w:tcW w:w="580" w:type="dxa"/>
            <w:vAlign w:val="bottom"/>
          </w:tcPr>
          <w:p>
            <w:pPr>
              <w:spacing w:after="0"/>
              <w:rPr>
                <w:sz w:val="12"/>
                <w:szCs w:val="12"/>
                <w:color w:val="auto"/>
              </w:rPr>
            </w:pPr>
          </w:p>
        </w:tc>
        <w:tc>
          <w:tcPr>
            <w:tcW w:w="76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w w:val="87"/>
              </w:rPr>
              <w:t>Assets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3"/>
              </w:rPr>
              <w:t>Cash</w:t>
            </w:r>
          </w:p>
        </w:tc>
      </w:tr>
      <w:tr>
        <w:trPr>
          <w:trHeight w:val="161"/>
        </w:trPr>
        <w:tc>
          <w:tcPr>
            <w:tcW w:w="116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4"/>
              </w:rPr>
              <w:t>Outstanding</w:t>
            </w:r>
          </w:p>
        </w:tc>
        <w:tc>
          <w:tcPr>
            <w:tcW w:w="58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Pledged</w:t>
            </w:r>
          </w:p>
        </w:tc>
        <w:tc>
          <w:tcPr>
            <w:tcW w:w="280" w:type="dxa"/>
            <w:vAlign w:val="bottom"/>
          </w:tcPr>
          <w:p>
            <w:pPr>
              <w:spacing w:after="0"/>
              <w:rPr>
                <w:sz w:val="14"/>
                <w:szCs w:val="14"/>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4"/>
              </w:rPr>
              <w:t>Pledged (a)</w:t>
            </w:r>
          </w:p>
        </w:tc>
      </w:tr>
      <w:tr>
        <w:trPr>
          <w:trHeight w:val="210"/>
        </w:trPr>
        <w:tc>
          <w:tcPr>
            <w:tcW w:w="72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Syndicated warehouse facility (b)</w:t>
            </w: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2,000</w:t>
            </w:r>
          </w:p>
        </w:tc>
        <w:tc>
          <w:tcPr>
            <w:tcW w:w="5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Lease warehouse facility (c)</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600</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Medium-term note facility (d)</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422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Bank funding facilities (e)</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tcPr>
          <w:p>
            <w:pPr>
              <w:spacing w:after="0"/>
              <w:rPr>
                <w:sz w:val="2"/>
                <w:szCs w:val="2"/>
                <w:color w:val="auto"/>
              </w:rPr>
            </w:pPr>
          </w:p>
        </w:tc>
        <w:tc>
          <w:tcPr>
            <w:tcW w:w="6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1160" w:type="dxa"/>
            <w:vAlign w:val="bottom"/>
            <w:shd w:val="clear" w:color="auto" w:fill="CCEEFF"/>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422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60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16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These amounts do not include cash collected on finance receivables pledged of $25 million which is included in GM Financial Restricted cash at June 30, 2011.</w:t>
      </w:r>
    </w:p>
    <w:p>
      <w:pPr>
        <w:spacing w:after="0" w:line="50" w:lineRule="exact"/>
        <w:rPr>
          <w:rFonts w:ascii="Arial" w:cs="Arial" w:eastAsia="Arial" w:hAnsi="Arial"/>
          <w:sz w:val="18"/>
          <w:szCs w:val="18"/>
          <w:color w:val="auto"/>
        </w:rPr>
      </w:pPr>
    </w:p>
    <w:p>
      <w:pPr>
        <w:ind w:left="460" w:right="10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February 2011 GM Financial extended the maturity date of the syndicated warehouse facility to May 2012 and increased the borrowing capacity to $2.0 billion from $1.3 billion.</w:t>
      </w:r>
    </w:p>
    <w:p>
      <w:pPr>
        <w:spacing w:after="0" w:line="50" w:lineRule="exact"/>
        <w:rPr>
          <w:rFonts w:ascii="Arial" w:cs="Arial" w:eastAsia="Arial" w:hAnsi="Arial"/>
          <w:sz w:val="18"/>
          <w:szCs w:val="18"/>
          <w:color w:val="auto"/>
        </w:rPr>
      </w:pPr>
    </w:p>
    <w:p>
      <w:pPr>
        <w:ind w:left="460" w:right="40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January 2011 GM Financial entered into a lease warehouse facility for lease originations in the U.S. Borrowings on the facility are collateralized by leased assets.</w:t>
      </w:r>
    </w:p>
    <w:p>
      <w:pPr>
        <w:spacing w:after="0" w:line="50" w:lineRule="exact"/>
        <w:rPr>
          <w:rFonts w:ascii="Arial" w:cs="Arial" w:eastAsia="Arial" w:hAnsi="Arial"/>
          <w:sz w:val="18"/>
          <w:szCs w:val="18"/>
          <w:color w:val="auto"/>
        </w:rPr>
      </w:pPr>
    </w:p>
    <w:p>
      <w:pPr>
        <w:ind w:left="460" w:right="26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revolving period under this facility has ended and the outstanding debt balance will be repaid over time based on the amortization of the receivables pledged until October 2016 when any remaining amount outstanding will be due and payable.</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outstanding debt balance under the bank funding facilities is secured by asset-backed securities of $39 million.</w:t>
      </w:r>
    </w:p>
    <w:p>
      <w:pPr>
        <w:spacing w:after="0" w:line="171" w:lineRule="exact"/>
        <w:rPr>
          <w:sz w:val="20"/>
          <w:szCs w:val="20"/>
          <w:color w:val="auto"/>
        </w:rPr>
      </w:pPr>
    </w:p>
    <w:p>
      <w:pPr>
        <w:ind w:right="380" w:firstLine="228"/>
        <w:spacing w:after="0" w:line="259" w:lineRule="auto"/>
        <w:rPr>
          <w:sz w:val="20"/>
          <w:szCs w:val="20"/>
          <w:color w:val="auto"/>
        </w:rPr>
      </w:pPr>
      <w:r>
        <w:rPr>
          <w:rFonts w:ascii="Arial" w:cs="Arial" w:eastAsia="Arial" w:hAnsi="Arial"/>
          <w:sz w:val="18"/>
          <w:szCs w:val="18"/>
          <w:color w:val="auto"/>
        </w:rPr>
        <w:t>In July 2011 GM Financial Canada Leasing Ltd. (GM Financial Canada Leasing), a subsidiary of GM Financial, established a revolving warehouse credit facility under which GM Financial Canada Leasing may borrow up to CAD $600 million, which is secured by certain automobile lease agreements and the related lease vehicles. The commitment termination date is July 13, 2012.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Securitization Notes Payable</w:t>
      </w:r>
    </w:p>
    <w:p>
      <w:pPr>
        <w:spacing w:after="0" w:line="171" w:lineRule="exact"/>
        <w:rPr>
          <w:sz w:val="20"/>
          <w:szCs w:val="20"/>
          <w:color w:val="auto"/>
        </w:rPr>
      </w:pPr>
    </w:p>
    <w:p>
      <w:pPr>
        <w:ind w:right="20" w:firstLine="228"/>
        <w:spacing w:after="0" w:line="268" w:lineRule="auto"/>
        <w:rPr>
          <w:sz w:val="20"/>
          <w:szCs w:val="20"/>
          <w:color w:val="auto"/>
        </w:rPr>
      </w:pPr>
      <w:r>
        <w:rPr>
          <w:rFonts w:ascii="Arial" w:cs="Arial" w:eastAsia="Arial" w:hAnsi="Arial"/>
          <w:sz w:val="18"/>
          <w:szCs w:val="18"/>
          <w:color w:val="auto"/>
        </w:rPr>
        <w:t>Securitization notes payable represents debt issued by GM Financial in securitization transactions. Debt issuance costs are amortized over the expected term of the securitizations on an effective yield basis.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securitization notes payable at June 30, 2011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Original</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Original</w:t>
            </w: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Year of Transactions</w:t>
            </w:r>
          </w:p>
        </w:tc>
        <w:tc>
          <w:tcPr>
            <w:tcW w:w="2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Note</w:t>
            </w:r>
          </w:p>
        </w:tc>
        <w:tc>
          <w:tcPr>
            <w:tcW w:w="11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Interest</w:t>
            </w:r>
          </w:p>
        </w:tc>
        <w:tc>
          <w:tcPr>
            <w:tcW w:w="1260" w:type="dxa"/>
            <w:vAlign w:val="bottom"/>
            <w:gridSpan w:val="4"/>
          </w:tcPr>
          <w:p>
            <w:pPr>
              <w:ind w:left="160"/>
              <w:spacing w:after="0" w:line="149" w:lineRule="exact"/>
              <w:rPr>
                <w:sz w:val="20"/>
                <w:szCs w:val="20"/>
                <w:color w:val="auto"/>
              </w:rPr>
            </w:pPr>
            <w:r>
              <w:rPr>
                <w:rFonts w:ascii="Arial" w:cs="Arial" w:eastAsia="Arial" w:hAnsi="Arial"/>
                <w:sz w:val="14"/>
                <w:szCs w:val="14"/>
                <w:b w:val="1"/>
                <w:bCs w:val="1"/>
                <w:color w:val="auto"/>
              </w:rPr>
              <w:t>Receivables</w:t>
            </w:r>
          </w:p>
        </w:tc>
        <w:tc>
          <w:tcPr>
            <w:tcW w:w="100" w:type="dxa"/>
            <w:vAlign w:val="bottom"/>
          </w:tcPr>
          <w:p>
            <w:pPr>
              <w:spacing w:after="0"/>
              <w:rPr>
                <w:sz w:val="12"/>
                <w:szCs w:val="12"/>
                <w:color w:val="auto"/>
              </w:rPr>
            </w:pPr>
          </w:p>
        </w:tc>
        <w:tc>
          <w:tcPr>
            <w:tcW w:w="5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Note</w:t>
            </w:r>
          </w:p>
        </w:tc>
        <w:tc>
          <w:tcPr>
            <w:tcW w:w="0" w:type="dxa"/>
            <w:vAlign w:val="bottom"/>
          </w:tcPr>
          <w:p>
            <w:pPr>
              <w:spacing w:after="0"/>
              <w:rPr>
                <w:sz w:val="1"/>
                <w:szCs w:val="1"/>
                <w:color w:val="auto"/>
              </w:rPr>
            </w:pPr>
          </w:p>
        </w:tc>
      </w:tr>
      <w:tr>
        <w:trPr>
          <w:trHeight w:val="168"/>
        </w:trPr>
        <w:tc>
          <w:tcPr>
            <w:tcW w:w="4540" w:type="dxa"/>
            <w:vAlign w:val="bottom"/>
            <w:gridSpan w:val="4"/>
            <w:vMerge w:val="continue"/>
          </w:tcPr>
          <w:p>
            <w:pPr>
              <w:spacing w:after="0"/>
              <w:rPr>
                <w:sz w:val="14"/>
                <w:szCs w:val="14"/>
                <w:color w:val="auto"/>
              </w:rPr>
            </w:pPr>
          </w:p>
        </w:tc>
        <w:tc>
          <w:tcPr>
            <w:tcW w:w="2500" w:type="dxa"/>
            <w:vAlign w:val="bottom"/>
            <w:gridSpan w:val="2"/>
          </w:tcPr>
          <w:p>
            <w:pPr>
              <w:ind w:left="600"/>
              <w:spacing w:after="0" w:line="148" w:lineRule="exact"/>
              <w:rPr>
                <w:sz w:val="20"/>
                <w:szCs w:val="20"/>
                <w:color w:val="auto"/>
              </w:rPr>
            </w:pPr>
            <w:r>
              <w:rPr>
                <w:rFonts w:ascii="Arial" w:cs="Arial" w:eastAsia="Arial" w:hAnsi="Arial"/>
                <w:sz w:val="14"/>
                <w:szCs w:val="14"/>
                <w:b w:val="1"/>
                <w:bCs w:val="1"/>
                <w:color w:val="auto"/>
              </w:rPr>
              <w:t>Maturity Dates (a)</w:t>
            </w:r>
          </w:p>
        </w:tc>
        <w:tc>
          <w:tcPr>
            <w:tcW w:w="80" w:type="dxa"/>
            <w:vAlign w:val="bottom"/>
          </w:tcPr>
          <w:p>
            <w:pPr>
              <w:spacing w:after="0"/>
              <w:rPr>
                <w:sz w:val="14"/>
                <w:szCs w:val="14"/>
                <w:color w:val="auto"/>
              </w:rPr>
            </w:pPr>
          </w:p>
        </w:tc>
        <w:tc>
          <w:tcPr>
            <w:tcW w:w="126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88"/>
              </w:rPr>
              <w:t>Amounts</w:t>
            </w:r>
          </w:p>
        </w:tc>
        <w:tc>
          <w:tcPr>
            <w:tcW w:w="118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83"/>
              </w:rPr>
              <w:t>Rates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540"/>
              <w:spacing w:after="0" w:line="148" w:lineRule="exact"/>
              <w:rPr>
                <w:sz w:val="20"/>
                <w:szCs w:val="20"/>
                <w:color w:val="auto"/>
              </w:rPr>
            </w:pPr>
            <w:r>
              <w:rPr>
                <w:rFonts w:ascii="Arial" w:cs="Arial" w:eastAsia="Arial" w:hAnsi="Arial"/>
                <w:sz w:val="14"/>
                <w:szCs w:val="14"/>
                <w:b w:val="1"/>
                <w:bCs w:val="1"/>
                <w:color w:val="auto"/>
                <w:w w:val="84"/>
              </w:rPr>
              <w:t>Pledged</w:t>
            </w:r>
          </w:p>
        </w:tc>
        <w:tc>
          <w:tcPr>
            <w:tcW w:w="60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2006</w:t>
            </w:r>
          </w:p>
        </w:tc>
        <w:tc>
          <w:tcPr>
            <w:tcW w:w="140" w:type="dxa"/>
            <w:vAlign w:val="bottom"/>
            <w:tcBorders>
              <w:top w:val="single" w:sz="8" w:color="auto"/>
            </w:tcBorders>
            <w:shd w:val="clear" w:color="auto" w:fill="CCEEFF"/>
          </w:tcPr>
          <w:p>
            <w:pPr>
              <w:spacing w:after="0"/>
              <w:rPr>
                <w:sz w:val="17"/>
                <w:szCs w:val="17"/>
                <w:color w:val="auto"/>
              </w:rPr>
            </w:pPr>
          </w:p>
        </w:tc>
        <w:tc>
          <w:tcPr>
            <w:tcW w:w="324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January 2014</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1,200</w:t>
            </w:r>
          </w:p>
        </w:tc>
        <w:tc>
          <w:tcPr>
            <w:tcW w:w="3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5.4%</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121</w:t>
            </w: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2007</w:t>
            </w:r>
          </w:p>
        </w:tc>
        <w:tc>
          <w:tcPr>
            <w:tcW w:w="1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October 2013 – March 2016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88"/>
              </w:rPr>
              <w:t>1,000 - 1,500</w:t>
            </w:r>
          </w:p>
        </w:tc>
        <w:tc>
          <w:tcPr>
            <w:tcW w:w="3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5.2% - 5.5%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1,232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2008 (b)</w:t>
            </w:r>
          </w:p>
        </w:tc>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2014 – April 2015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500 - 750</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6.0% - 10.5%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687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2009</w:t>
            </w:r>
          </w:p>
        </w:tc>
        <w:tc>
          <w:tcPr>
            <w:tcW w:w="1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January 2016 – July 2017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227 - 725</w:t>
            </w:r>
          </w:p>
        </w:tc>
        <w:tc>
          <w:tcPr>
            <w:tcW w:w="3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2.7% - 7.5%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14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2016 – January 2018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200 - 850</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 - 3.8%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2,494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2011</w:t>
            </w:r>
          </w:p>
        </w:tc>
        <w:tc>
          <w:tcPr>
            <w:tcW w:w="1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February 2017 – July 2017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800 - 1,000</w:t>
            </w:r>
          </w:p>
        </w:tc>
        <w:tc>
          <w:tcPr>
            <w:tcW w:w="3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2.4% - 2.6%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2,719</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2,588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BV2005 (c)</w:t>
            </w:r>
          </w:p>
        </w:tc>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2014 – June 2014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186 - 220</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 - 5.1%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LB2006/LB2007 (c)</w:t>
            </w:r>
          </w:p>
        </w:tc>
        <w:tc>
          <w:tcPr>
            <w:tcW w:w="2500" w:type="dxa"/>
            <w:vAlign w:val="bottom"/>
            <w:gridSpan w:val="2"/>
          </w:tcPr>
          <w:p>
            <w:pPr>
              <w:spacing w:after="0"/>
              <w:rPr>
                <w:sz w:val="20"/>
                <w:szCs w:val="20"/>
                <w:color w:val="auto"/>
              </w:rPr>
            </w:pPr>
            <w:r>
              <w:rPr>
                <w:rFonts w:ascii="Arial" w:cs="Arial" w:eastAsia="Arial" w:hAnsi="Arial"/>
                <w:sz w:val="18"/>
                <w:szCs w:val="18"/>
                <w:color w:val="auto"/>
                <w:w w:val="94"/>
              </w:rPr>
              <w:t>September 2013 – January 2014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486 - 500</w:t>
            </w:r>
          </w:p>
        </w:tc>
        <w:tc>
          <w:tcPr>
            <w:tcW w:w="3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5.0% - 5.2%</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7,911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6,816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gridSpan w:val="4"/>
            <w:vMerge w:val="restart"/>
          </w:tcPr>
          <w:p>
            <w:pPr>
              <w:spacing w:after="0"/>
              <w:rPr>
                <w:sz w:val="20"/>
                <w:szCs w:val="20"/>
                <w:color w:val="auto"/>
              </w:rPr>
            </w:pPr>
            <w:r>
              <w:rPr>
                <w:rFonts w:ascii="Arial" w:cs="Arial" w:eastAsia="Arial" w:hAnsi="Arial"/>
                <w:sz w:val="18"/>
                <w:szCs w:val="18"/>
                <w:color w:val="auto"/>
              </w:rPr>
              <w:t>Purchase accounting premium</w:t>
            </w:r>
          </w:p>
        </w:tc>
        <w:tc>
          <w:tcPr>
            <w:tcW w:w="2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540" w:type="dxa"/>
            <w:vAlign w:val="bottom"/>
            <w:gridSpan w:val="4"/>
            <w:vMerge w:val="continue"/>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securitization notes payable</w:t>
            </w:r>
          </w:p>
        </w:tc>
        <w:tc>
          <w:tcPr>
            <w:tcW w:w="2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6,881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32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8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Maturity dates represent final legal maturity of securitization notes payable. Securitization notes payable are expected to be paid based on amortization of the finance receivables pledged to the trusts.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Note balance does not include asset-backed securities of $39 million pledged to the bank funding facilities.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Transactions relate to certain SPEs acquired by GM Financial.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Product Warranty Liability</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summarizes activity for policy, product warranty, recall campaigns and certified used vehicle warranty liabilities (dollars in millions):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9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9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7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beginning of period</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$ 6,789</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$ 7,030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Warranties issued and assumed in period</w:t>
            </w: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1,552</w:t>
            </w:r>
          </w:p>
        </w:tc>
        <w:tc>
          <w:tcPr>
            <w:tcW w:w="22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1,534</w:t>
            </w: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Payments</w:t>
            </w:r>
          </w:p>
        </w:tc>
        <w:tc>
          <w:tcPr>
            <w:tcW w:w="8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(1,902)</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Adjustments to pre-existing warranties</w:t>
            </w: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366</w:t>
            </w:r>
          </w:p>
        </w:tc>
        <w:tc>
          <w:tcPr>
            <w:tcW w:w="22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currency translation</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
        </w:trPr>
        <w:tc>
          <w:tcPr>
            <w:tcW w:w="9760" w:type="dxa"/>
            <w:vAlign w:val="bottom"/>
            <w:vMerge w:val="restart"/>
          </w:tcPr>
          <w:p>
            <w:pPr>
              <w:spacing w:after="0"/>
              <w:rPr>
                <w:sz w:val="20"/>
                <w:szCs w:val="20"/>
                <w:color w:val="auto"/>
              </w:rPr>
            </w:pPr>
            <w:r>
              <w:rPr>
                <w:rFonts w:ascii="Arial" w:cs="Arial" w:eastAsia="Arial" w:hAnsi="Arial"/>
                <w:sz w:val="18"/>
                <w:szCs w:val="18"/>
                <w:color w:val="auto"/>
              </w:rPr>
              <w:t>Balance at end of period</w:t>
            </w: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760" w:type="dxa"/>
            <w:vAlign w:val="bottom"/>
            <w:vMerge w:val="continue"/>
          </w:tcPr>
          <w:p>
            <w:pPr>
              <w:spacing w:after="0"/>
              <w:rPr>
                <w:sz w:val="19"/>
                <w:szCs w:val="19"/>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$ 6,926</w:t>
            </w:r>
          </w:p>
        </w:tc>
        <w:tc>
          <w:tcPr>
            <w:tcW w:w="220" w:type="dxa"/>
            <w:vAlign w:val="bottom"/>
          </w:tcPr>
          <w:p>
            <w:pPr>
              <w:spacing w:after="0"/>
              <w:rPr>
                <w:sz w:val="19"/>
                <w:szCs w:val="19"/>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$ 6,760</w:t>
            </w:r>
          </w:p>
        </w:tc>
        <w:tc>
          <w:tcPr>
            <w:tcW w:w="0" w:type="dxa"/>
            <w:vAlign w:val="bottom"/>
          </w:tcPr>
          <w:p>
            <w:pPr>
              <w:spacing w:after="0"/>
              <w:rPr>
                <w:sz w:val="1"/>
                <w:szCs w:val="1"/>
                <w:color w:val="auto"/>
              </w:rPr>
            </w:pPr>
          </w:p>
        </w:tc>
      </w:tr>
      <w:tr>
        <w:trPr>
          <w:trHeight w:val="20"/>
        </w:trPr>
        <w:tc>
          <w:tcPr>
            <w:tcW w:w="97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Pensions and Other Postretirement Benefits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Contributions</w:t>
      </w:r>
    </w:p>
    <w:p>
      <w:pPr>
        <w:spacing w:after="0" w:line="177" w:lineRule="exact"/>
        <w:rPr>
          <w:sz w:val="20"/>
          <w:szCs w:val="20"/>
          <w:color w:val="auto"/>
        </w:rPr>
      </w:pPr>
    </w:p>
    <w:p>
      <w:pPr>
        <w:ind w:right="380" w:firstLine="228"/>
        <w:spacing w:after="0" w:line="268" w:lineRule="auto"/>
        <w:rPr>
          <w:sz w:val="20"/>
          <w:szCs w:val="20"/>
          <w:color w:val="auto"/>
        </w:rPr>
      </w:pPr>
      <w:r>
        <w:rPr>
          <w:rFonts w:ascii="Arial" w:cs="Arial" w:eastAsia="Arial" w:hAnsi="Arial"/>
          <w:sz w:val="18"/>
          <w:szCs w:val="18"/>
          <w:color w:val="auto"/>
        </w:rPr>
        <w:t>In January 2011 we completed the previously announced voluntary contribution of 61 million shares of our common stock to our U.S. hourly and salaried pension plans. At the time of contribution, the fair value was $2.2 billion for funding purposes. This was 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color w:val="auto"/>
        </w:rPr>
        <w:t>voluntary contribution that is above our minimum funding requirements of the pension plans. The contributed shares qualified as a plan asset for funding purposes at the time of contribution and as a plan asset for accounting purposes in July 2011. We are evaluating whether we will make additional voluntary contributions to our U.S. pension plans in 2011.</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summarize the components of pension and other postretirement benefits (OPEB) expense (income)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4"/>
          </w:tcPr>
          <w:p>
            <w:pPr>
              <w:jc w:val="center"/>
              <w:ind w:left="279"/>
              <w:spacing w:after="0"/>
              <w:rPr>
                <w:sz w:val="20"/>
                <w:szCs w:val="20"/>
                <w:color w:val="auto"/>
              </w:rPr>
            </w:pPr>
            <w:r>
              <w:rPr>
                <w:rFonts w:ascii="Arial" w:cs="Arial" w:eastAsia="Arial" w:hAnsi="Arial"/>
                <w:sz w:val="14"/>
                <w:szCs w:val="14"/>
                <w:b w:val="1"/>
                <w:bCs w:val="1"/>
                <w:color w:val="auto"/>
                <w:w w:val="84"/>
              </w:rPr>
              <w:t>U.S. Plans</w:t>
            </w: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6"/>
          </w:tcPr>
          <w:p>
            <w:pPr>
              <w:jc w:val="center"/>
              <w:ind w:right="532"/>
              <w:spacing w:after="0"/>
              <w:rPr>
                <w:sz w:val="20"/>
                <w:szCs w:val="20"/>
                <w:color w:val="auto"/>
              </w:rPr>
            </w:pPr>
            <w:r>
              <w:rPr>
                <w:rFonts w:ascii="Arial" w:cs="Arial" w:eastAsia="Arial" w:hAnsi="Arial"/>
                <w:sz w:val="14"/>
                <w:szCs w:val="14"/>
                <w:b w:val="1"/>
                <w:bCs w:val="1"/>
                <w:color w:val="auto"/>
                <w:w w:val="82"/>
              </w:rPr>
              <w:t>Pension Benefits</w:t>
            </w: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5"/>
          </w:tcPr>
          <w:p>
            <w:pPr>
              <w:jc w:val="center"/>
              <w:ind w:right="160"/>
              <w:spacing w:after="0" w:line="129" w:lineRule="exact"/>
              <w:rPr>
                <w:sz w:val="20"/>
                <w:szCs w:val="20"/>
                <w:color w:val="auto"/>
              </w:rPr>
            </w:pPr>
            <w:r>
              <w:rPr>
                <w:rFonts w:ascii="Arial" w:cs="Arial" w:eastAsia="Arial" w:hAnsi="Arial"/>
                <w:sz w:val="14"/>
                <w:szCs w:val="14"/>
                <w:b w:val="1"/>
                <w:bCs w:val="1"/>
                <w:color w:val="auto"/>
                <w:w w:val="89"/>
              </w:rPr>
              <w:t>Three Months Ended</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4"/>
          </w:tcPr>
          <w:p>
            <w:pPr>
              <w:jc w:val="center"/>
              <w:ind w:right="15"/>
              <w:spacing w:after="0" w:line="129" w:lineRule="exact"/>
              <w:rPr>
                <w:sz w:val="20"/>
                <w:szCs w:val="20"/>
                <w:color w:val="auto"/>
              </w:rPr>
            </w:pPr>
            <w:r>
              <w:rPr>
                <w:rFonts w:ascii="Arial" w:cs="Arial" w:eastAsia="Arial" w:hAnsi="Arial"/>
                <w:sz w:val="14"/>
                <w:szCs w:val="14"/>
                <w:b w:val="1"/>
                <w:bCs w:val="1"/>
                <w:color w:val="auto"/>
                <w:w w:val="87"/>
              </w:rPr>
              <w:t>Six Months Ended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Borders>
              <w:bottom w:val="single" w:sz="8" w:color="CCEEFF"/>
            </w:tcBorders>
          </w:tcPr>
          <w:p>
            <w:pPr>
              <w:spacing w:after="0"/>
              <w:rPr>
                <w:sz w:val="12"/>
                <w:szCs w:val="12"/>
                <w:color w:val="auto"/>
              </w:rPr>
            </w:pPr>
          </w:p>
        </w:tc>
        <w:tc>
          <w:tcPr>
            <w:tcW w:w="35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w w:val="89"/>
              </w:rPr>
              <w:t>2011</w:t>
            </w:r>
          </w:p>
        </w:tc>
        <w:tc>
          <w:tcPr>
            <w:tcW w:w="5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96"/>
              </w:rPr>
              <w:t>2010</w:t>
            </w:r>
          </w:p>
        </w:tc>
        <w:tc>
          <w:tcPr>
            <w:tcW w:w="6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w w:val="96"/>
              </w:rPr>
              <w:t>2011</w:t>
            </w: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Components of income</w:t>
            </w:r>
          </w:p>
        </w:tc>
        <w:tc>
          <w:tcPr>
            <w:tcW w:w="3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Service cost</w:t>
            </w:r>
          </w:p>
        </w:tc>
        <w:tc>
          <w:tcPr>
            <w:tcW w:w="3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157</w:t>
            </w:r>
          </w:p>
        </w:tc>
        <w:tc>
          <w:tcPr>
            <w:tcW w:w="5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130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32"/>
              <w:spacing w:after="0"/>
              <w:rPr>
                <w:sz w:val="20"/>
                <w:szCs w:val="20"/>
                <w:color w:val="auto"/>
              </w:rPr>
            </w:pPr>
            <w:r>
              <w:rPr>
                <w:rFonts w:ascii="Arial" w:cs="Arial" w:eastAsia="Arial" w:hAnsi="Arial"/>
                <w:sz w:val="18"/>
                <w:szCs w:val="18"/>
                <w:color w:val="auto"/>
              </w:rPr>
              <w:t>315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3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1,228</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1,338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w w:val="97"/>
              </w:rPr>
              <w:t>2,457</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72"/>
              <w:spacing w:after="0"/>
              <w:rPr>
                <w:sz w:val="20"/>
                <w:szCs w:val="20"/>
                <w:color w:val="auto"/>
              </w:rPr>
            </w:pPr>
            <w:r>
              <w:rPr>
                <w:rFonts w:ascii="Arial" w:cs="Arial" w:eastAsia="Arial" w:hAnsi="Arial"/>
                <w:sz w:val="18"/>
                <w:szCs w:val="18"/>
                <w:color w:val="auto"/>
                <w:w w:val="87"/>
              </w:rPr>
              <w:t>(1,672)</w:t>
            </w: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(1,637)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72"/>
              <w:spacing w:after="0"/>
              <w:rPr>
                <w:sz w:val="20"/>
                <w:szCs w:val="20"/>
                <w:color w:val="auto"/>
              </w:rPr>
            </w:pPr>
            <w:r>
              <w:rPr>
                <w:rFonts w:ascii="Arial" w:cs="Arial" w:eastAsia="Arial" w:hAnsi="Arial"/>
                <w:sz w:val="18"/>
                <w:szCs w:val="18"/>
                <w:color w:val="auto"/>
                <w:w w:val="87"/>
              </w:rPr>
              <w:t>(3,346)</w:t>
            </w: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(3,275)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credit</w:t>
            </w:r>
          </w:p>
        </w:tc>
        <w:tc>
          <w:tcPr>
            <w:tcW w:w="3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Curtailments, settlements and other</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72"/>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72"/>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Net periodic pension income</w:t>
            </w:r>
          </w:p>
        </w:tc>
        <w:tc>
          <w:tcPr>
            <w:tcW w:w="3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(310)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(597)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20" w:type="dxa"/>
            <w:vAlign w:val="bottom"/>
            <w:gridSpan w:val="6"/>
          </w:tcPr>
          <w:p>
            <w:pPr>
              <w:jc w:val="center"/>
              <w:ind w:right="512"/>
              <w:spacing w:after="0"/>
              <w:rPr>
                <w:sz w:val="20"/>
                <w:szCs w:val="20"/>
                <w:color w:val="auto"/>
              </w:rPr>
            </w:pPr>
            <w:r>
              <w:rPr>
                <w:rFonts w:ascii="Arial" w:cs="Arial" w:eastAsia="Arial" w:hAnsi="Arial"/>
                <w:sz w:val="14"/>
                <w:szCs w:val="14"/>
                <w:b w:val="1"/>
                <w:bCs w:val="1"/>
                <w:color w:val="auto"/>
                <w:w w:val="87"/>
              </w:rPr>
              <w:t>Non-U.S. Plans</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6"/>
          </w:tcPr>
          <w:p>
            <w:pPr>
              <w:jc w:val="center"/>
              <w:ind w:right="532"/>
              <w:spacing w:after="0"/>
              <w:rPr>
                <w:sz w:val="20"/>
                <w:szCs w:val="20"/>
                <w:color w:val="auto"/>
              </w:rPr>
            </w:pPr>
            <w:r>
              <w:rPr>
                <w:rFonts w:ascii="Arial" w:cs="Arial" w:eastAsia="Arial" w:hAnsi="Arial"/>
                <w:sz w:val="14"/>
                <w:szCs w:val="14"/>
                <w:b w:val="1"/>
                <w:bCs w:val="1"/>
                <w:color w:val="auto"/>
                <w:w w:val="82"/>
              </w:rPr>
              <w:t>Pension Benefits</w:t>
            </w: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5"/>
          </w:tcPr>
          <w:p>
            <w:pPr>
              <w:jc w:val="center"/>
              <w:ind w:right="160"/>
              <w:spacing w:after="0" w:line="129" w:lineRule="exact"/>
              <w:rPr>
                <w:sz w:val="20"/>
                <w:szCs w:val="20"/>
                <w:color w:val="auto"/>
              </w:rPr>
            </w:pPr>
            <w:r>
              <w:rPr>
                <w:rFonts w:ascii="Arial" w:cs="Arial" w:eastAsia="Arial" w:hAnsi="Arial"/>
                <w:sz w:val="14"/>
                <w:szCs w:val="14"/>
                <w:b w:val="1"/>
                <w:bCs w:val="1"/>
                <w:color w:val="auto"/>
                <w:w w:val="89"/>
              </w:rPr>
              <w:t>Three Months Ended</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4"/>
          </w:tcPr>
          <w:p>
            <w:pPr>
              <w:jc w:val="center"/>
              <w:ind w:right="15"/>
              <w:spacing w:after="0" w:line="129" w:lineRule="exact"/>
              <w:rPr>
                <w:sz w:val="20"/>
                <w:szCs w:val="20"/>
                <w:color w:val="auto"/>
              </w:rPr>
            </w:pPr>
            <w:r>
              <w:rPr>
                <w:rFonts w:ascii="Arial" w:cs="Arial" w:eastAsia="Arial" w:hAnsi="Arial"/>
                <w:sz w:val="14"/>
                <w:szCs w:val="14"/>
                <w:b w:val="1"/>
                <w:bCs w:val="1"/>
                <w:color w:val="auto"/>
                <w:w w:val="87"/>
              </w:rPr>
              <w:t>Six Months Ended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center"/>
              <w:ind w:left="278"/>
              <w:spacing w:after="0"/>
              <w:rPr>
                <w:sz w:val="20"/>
                <w:szCs w:val="20"/>
                <w:color w:val="auto"/>
              </w:rPr>
            </w:pPr>
            <w:r>
              <w:rPr>
                <w:rFonts w:ascii="Arial" w:cs="Arial" w:eastAsia="Arial" w:hAnsi="Arial"/>
                <w:sz w:val="14"/>
                <w:szCs w:val="14"/>
                <w:b w:val="1"/>
                <w:bCs w:val="1"/>
                <w:color w:val="auto"/>
                <w:w w:val="92"/>
              </w:rPr>
              <w:t>June 30,</w:t>
            </w: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Borders>
              <w:bottom w:val="single" w:sz="8" w:color="CCEEFF"/>
            </w:tcBorders>
          </w:tcPr>
          <w:p>
            <w:pPr>
              <w:spacing w:after="0"/>
              <w:rPr>
                <w:sz w:val="12"/>
                <w:szCs w:val="12"/>
                <w:color w:val="auto"/>
              </w:rPr>
            </w:pPr>
          </w:p>
        </w:tc>
        <w:tc>
          <w:tcPr>
            <w:tcW w:w="35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w w:val="89"/>
              </w:rPr>
              <w:t>2011</w:t>
            </w:r>
          </w:p>
        </w:tc>
        <w:tc>
          <w:tcPr>
            <w:tcW w:w="5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96"/>
              </w:rPr>
              <w:t>2010</w:t>
            </w:r>
          </w:p>
        </w:tc>
        <w:tc>
          <w:tcPr>
            <w:tcW w:w="6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w w:val="96"/>
              </w:rPr>
              <w:t>2011</w:t>
            </w: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Components of expense</w:t>
            </w:r>
          </w:p>
        </w:tc>
        <w:tc>
          <w:tcPr>
            <w:tcW w:w="3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Service cost</w:t>
            </w:r>
          </w:p>
        </w:tc>
        <w:tc>
          <w:tcPr>
            <w:tcW w:w="3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96</w:t>
            </w:r>
          </w:p>
        </w:tc>
        <w:tc>
          <w:tcPr>
            <w:tcW w:w="5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93</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32"/>
              <w:spacing w:after="0"/>
              <w:rPr>
                <w:sz w:val="20"/>
                <w:szCs w:val="20"/>
                <w:color w:val="auto"/>
              </w:rPr>
            </w:pPr>
            <w:r>
              <w:rPr>
                <w:rFonts w:ascii="Arial" w:cs="Arial" w:eastAsia="Arial" w:hAnsi="Arial"/>
                <w:sz w:val="18"/>
                <w:szCs w:val="18"/>
                <w:color w:val="auto"/>
              </w:rPr>
              <w:t>192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3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614</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72"/>
              <w:spacing w:after="0"/>
              <w:rPr>
                <w:sz w:val="20"/>
                <w:szCs w:val="20"/>
                <w:color w:val="auto"/>
              </w:rPr>
            </w:pPr>
            <w:r>
              <w:rPr>
                <w:rFonts w:ascii="Arial" w:cs="Arial" w:eastAsia="Arial" w:hAnsi="Arial"/>
                <w:sz w:val="18"/>
                <w:szCs w:val="18"/>
                <w:color w:val="auto"/>
              </w:rPr>
              <w:t>(237)</w:t>
            </w: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(246)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72"/>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credit</w:t>
            </w:r>
          </w:p>
        </w:tc>
        <w:tc>
          <w:tcPr>
            <w:tcW w:w="3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Recognized net actuarial loss</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Curtailments, settlements and other</w:t>
            </w:r>
          </w:p>
        </w:tc>
        <w:tc>
          <w:tcPr>
            <w:tcW w:w="3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4060" w:type="dxa"/>
            <w:vAlign w:val="bottom"/>
            <w:gridSpan w:val="2"/>
            <w:vMerge w:val="restart"/>
          </w:tcPr>
          <w:p>
            <w:pPr>
              <w:spacing w:after="0"/>
              <w:rPr>
                <w:sz w:val="20"/>
                <w:szCs w:val="20"/>
                <w:color w:val="auto"/>
              </w:rPr>
            </w:pPr>
            <w:r>
              <w:rPr>
                <w:rFonts w:ascii="Arial" w:cs="Arial" w:eastAsia="Arial" w:hAnsi="Arial"/>
                <w:sz w:val="18"/>
                <w:szCs w:val="18"/>
                <w:color w:val="auto"/>
              </w:rPr>
              <w:t>Net periodic pension expense</w:t>
            </w:r>
          </w:p>
        </w:tc>
        <w:tc>
          <w:tcPr>
            <w:tcW w:w="3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60" w:type="dxa"/>
            <w:vAlign w:val="bottom"/>
            <w:gridSpan w:val="2"/>
            <w:vMerge w:val="continue"/>
          </w:tcPr>
          <w:p>
            <w:pPr>
              <w:spacing w:after="0"/>
              <w:rPr>
                <w:sz w:val="19"/>
                <w:szCs w:val="19"/>
                <w:color w:val="auto"/>
              </w:rPr>
            </w:pPr>
          </w:p>
        </w:tc>
        <w:tc>
          <w:tcPr>
            <w:tcW w:w="3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153</w:t>
            </w:r>
          </w:p>
        </w:tc>
        <w:tc>
          <w:tcPr>
            <w:tcW w:w="5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197</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32"/>
              <w:spacing w:after="0"/>
              <w:rPr>
                <w:sz w:val="20"/>
                <w:szCs w:val="20"/>
                <w:color w:val="auto"/>
              </w:rPr>
            </w:pPr>
            <w:r>
              <w:rPr>
                <w:rFonts w:ascii="Arial" w:cs="Arial" w:eastAsia="Arial" w:hAnsi="Arial"/>
                <w:sz w:val="18"/>
                <w:szCs w:val="18"/>
                <w:color w:val="auto"/>
              </w:rPr>
              <w:t>323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4"/>
          </w:tcPr>
          <w:p>
            <w:pPr>
              <w:jc w:val="center"/>
              <w:ind w:left="279"/>
              <w:spacing w:after="0"/>
              <w:rPr>
                <w:sz w:val="20"/>
                <w:szCs w:val="20"/>
                <w:color w:val="auto"/>
              </w:rPr>
            </w:pPr>
            <w:r>
              <w:rPr>
                <w:rFonts w:ascii="Arial" w:cs="Arial" w:eastAsia="Arial" w:hAnsi="Arial"/>
                <w:sz w:val="14"/>
                <w:szCs w:val="14"/>
                <w:b w:val="1"/>
                <w:bCs w:val="1"/>
                <w:color w:val="auto"/>
                <w:w w:val="84"/>
              </w:rPr>
              <w:t>U.S. Plans</w:t>
            </w: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0"/>
              </w:rPr>
              <w:t>OPEB</w:t>
            </w:r>
          </w:p>
        </w:tc>
        <w:tc>
          <w:tcPr>
            <w:tcW w:w="4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5"/>
          </w:tcPr>
          <w:p>
            <w:pPr>
              <w:jc w:val="center"/>
              <w:ind w:right="160"/>
              <w:spacing w:after="0" w:line="129" w:lineRule="exact"/>
              <w:rPr>
                <w:sz w:val="20"/>
                <w:szCs w:val="20"/>
                <w:color w:val="auto"/>
              </w:rPr>
            </w:pPr>
            <w:r>
              <w:rPr>
                <w:rFonts w:ascii="Arial" w:cs="Arial" w:eastAsia="Arial" w:hAnsi="Arial"/>
                <w:sz w:val="14"/>
                <w:szCs w:val="14"/>
                <w:b w:val="1"/>
                <w:bCs w:val="1"/>
                <w:color w:val="auto"/>
                <w:w w:val="89"/>
              </w:rPr>
              <w:t>Three Months Ended</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4"/>
          </w:tcPr>
          <w:p>
            <w:pPr>
              <w:jc w:val="center"/>
              <w:ind w:right="15"/>
              <w:spacing w:after="0" w:line="129" w:lineRule="exact"/>
              <w:rPr>
                <w:sz w:val="20"/>
                <w:szCs w:val="20"/>
                <w:color w:val="auto"/>
              </w:rPr>
            </w:pPr>
            <w:r>
              <w:rPr>
                <w:rFonts w:ascii="Arial" w:cs="Arial" w:eastAsia="Arial" w:hAnsi="Arial"/>
                <w:sz w:val="14"/>
                <w:szCs w:val="14"/>
                <w:b w:val="1"/>
                <w:bCs w:val="1"/>
                <w:color w:val="auto"/>
                <w:w w:val="87"/>
              </w:rPr>
              <w:t>Six Months Ended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Borders>
              <w:bottom w:val="single" w:sz="8" w:color="CCEEFF"/>
            </w:tcBorders>
          </w:tcPr>
          <w:p>
            <w:pPr>
              <w:spacing w:after="0"/>
              <w:rPr>
                <w:sz w:val="12"/>
                <w:szCs w:val="12"/>
                <w:color w:val="auto"/>
              </w:rPr>
            </w:pPr>
          </w:p>
        </w:tc>
        <w:tc>
          <w:tcPr>
            <w:tcW w:w="35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w w:val="89"/>
              </w:rPr>
              <w:t>2011</w:t>
            </w:r>
          </w:p>
        </w:tc>
        <w:tc>
          <w:tcPr>
            <w:tcW w:w="5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96"/>
              </w:rPr>
              <w:t>2010</w:t>
            </w:r>
          </w:p>
        </w:tc>
        <w:tc>
          <w:tcPr>
            <w:tcW w:w="6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w w:val="96"/>
              </w:rPr>
              <w:t>2011</w:t>
            </w: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Components of expense</w:t>
            </w:r>
          </w:p>
        </w:tc>
        <w:tc>
          <w:tcPr>
            <w:tcW w:w="3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Service cost</w:t>
            </w:r>
          </w:p>
        </w:tc>
        <w:tc>
          <w:tcPr>
            <w:tcW w:w="3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5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32"/>
              <w:spacing w:after="0"/>
              <w:rPr>
                <w:sz w:val="20"/>
                <w:szCs w:val="20"/>
                <w:color w:val="auto"/>
              </w:rPr>
            </w:pPr>
            <w:r>
              <w:rPr>
                <w:rFonts w:ascii="Arial" w:cs="Arial" w:eastAsia="Arial" w:hAnsi="Arial"/>
                <w:sz w:val="18"/>
                <w:szCs w:val="18"/>
                <w:color w:val="auto"/>
              </w:rPr>
              <w:t>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3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Recognized net actuarial loss</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Net periodic OPEB expense</w:t>
            </w:r>
          </w:p>
        </w:tc>
        <w:tc>
          <w:tcPr>
            <w:tcW w:w="3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540" w:type="dxa"/>
            <w:vAlign w:val="bottom"/>
            <w:vMerge w:val="restart"/>
          </w:tcPr>
          <w:p>
            <w:pPr>
              <w:jc w:val="right"/>
              <w:ind w:right="1712"/>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5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6"/>
          </w:tcPr>
          <w:p>
            <w:pPr>
              <w:jc w:val="right"/>
              <w:ind w:right="912"/>
              <w:spacing w:after="0"/>
              <w:rPr>
                <w:sz w:val="20"/>
                <w:szCs w:val="20"/>
                <w:color w:val="auto"/>
              </w:rPr>
            </w:pPr>
            <w:r>
              <w:rPr>
                <w:rFonts w:ascii="Arial" w:cs="Arial" w:eastAsia="Arial" w:hAnsi="Arial"/>
                <w:sz w:val="14"/>
                <w:szCs w:val="14"/>
                <w:b w:val="1"/>
                <w:bCs w:val="1"/>
                <w:color w:val="auto"/>
              </w:rPr>
              <w:t>Non-U.S. Plans</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90"/>
              </w:rPr>
              <w:t>OPEB</w:t>
            </w:r>
          </w:p>
        </w:tc>
        <w:tc>
          <w:tcPr>
            <w:tcW w:w="4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gridSpan w:val="5"/>
          </w:tcPr>
          <w:p>
            <w:pPr>
              <w:jc w:val="right"/>
              <w:ind w:right="300"/>
              <w:spacing w:after="0" w:line="129" w:lineRule="exact"/>
              <w:rPr>
                <w:sz w:val="20"/>
                <w:szCs w:val="20"/>
                <w:color w:val="auto"/>
              </w:rPr>
            </w:pPr>
            <w:r>
              <w:rPr>
                <w:rFonts w:ascii="Arial" w:cs="Arial" w:eastAsia="Arial" w:hAnsi="Arial"/>
                <w:sz w:val="14"/>
                <w:szCs w:val="14"/>
                <w:b w:val="1"/>
                <w:bCs w:val="1"/>
                <w:color w:val="auto"/>
                <w:w w:val="95"/>
              </w:rPr>
              <w:t>Three Months Ended</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4"/>
          </w:tcPr>
          <w:p>
            <w:pPr>
              <w:jc w:val="right"/>
              <w:ind w:right="216"/>
              <w:spacing w:after="0" w:line="129" w:lineRule="exact"/>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June 30,</w:t>
            </w: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w w:val="89"/>
              </w:rPr>
              <w:t>2011</w:t>
            </w:r>
          </w:p>
        </w:tc>
        <w:tc>
          <w:tcPr>
            <w:tcW w:w="5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w w:val="89"/>
              </w:rPr>
              <w:t>2010</w:t>
            </w:r>
          </w:p>
        </w:tc>
        <w:tc>
          <w:tcPr>
            <w:tcW w:w="8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w w:val="89"/>
              </w:rPr>
              <w:t>2011</w:t>
            </w:r>
          </w:p>
        </w:tc>
        <w:tc>
          <w:tcPr>
            <w:tcW w:w="5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4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Components of expense</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Service cost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5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12"/>
              <w:spacing w:after="0"/>
              <w:rPr>
                <w:sz w:val="20"/>
                <w:szCs w:val="20"/>
                <w:color w:val="auto"/>
              </w:rPr>
            </w:pPr>
            <w:r>
              <w:rPr>
                <w:rFonts w:ascii="Arial" w:cs="Arial" w:eastAsia="Arial" w:hAnsi="Arial"/>
                <w:sz w:val="18"/>
                <w:szCs w:val="18"/>
                <w:color w:val="auto"/>
              </w:rPr>
              <w:t>17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Amortization of prior service credit</w:t>
            </w:r>
          </w:p>
        </w:tc>
        <w:tc>
          <w:tcPr>
            <w:tcW w:w="120" w:type="dxa"/>
            <w:vAlign w:val="bottom"/>
          </w:tcPr>
          <w:p>
            <w:pPr>
              <w:spacing w:after="0"/>
              <w:rPr>
                <w:sz w:val="18"/>
                <w:szCs w:val="18"/>
                <w:color w:val="auto"/>
              </w:rPr>
            </w:pPr>
          </w:p>
        </w:tc>
        <w:tc>
          <w:tcPr>
            <w:tcW w:w="1000" w:type="dxa"/>
            <w:vAlign w:val="bottom"/>
            <w:gridSpan w:val="2"/>
          </w:tcPr>
          <w:p>
            <w:pPr>
              <w:jc w:val="right"/>
              <w:ind w:right="45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7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Curtailments, settlements and other</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400" w:type="dxa"/>
            <w:vAlign w:val="bottom"/>
            <w:vMerge w:val="restart"/>
          </w:tcPr>
          <w:p>
            <w:pPr>
              <w:spacing w:after="0"/>
              <w:rPr>
                <w:sz w:val="20"/>
                <w:szCs w:val="20"/>
                <w:color w:val="auto"/>
              </w:rPr>
            </w:pPr>
            <w:r>
              <w:rPr>
                <w:rFonts w:ascii="Arial" w:cs="Arial" w:eastAsia="Arial" w:hAnsi="Arial"/>
                <w:sz w:val="18"/>
                <w:szCs w:val="18"/>
                <w:color w:val="auto"/>
              </w:rPr>
              <w:t>Net periodic OPEB expense</w:t>
            </w: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0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58</w:t>
            </w:r>
          </w:p>
        </w:tc>
        <w:tc>
          <w:tcPr>
            <w:tcW w:w="5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12"/>
              <w:spacing w:after="0"/>
              <w:rPr>
                <w:sz w:val="20"/>
                <w:szCs w:val="20"/>
                <w:color w:val="auto"/>
              </w:rPr>
            </w:pPr>
            <w:r>
              <w:rPr>
                <w:rFonts w:ascii="Arial" w:cs="Arial" w:eastAsia="Arial" w:hAnsi="Arial"/>
                <w:sz w:val="18"/>
                <w:szCs w:val="18"/>
                <w:color w:val="auto"/>
              </w:rPr>
              <w:t>117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Plan Amendments, Benefit Modifications and Related Events</w:t>
      </w:r>
    </w:p>
    <w:p>
      <w:pPr>
        <w:spacing w:after="0" w:line="177" w:lineRule="exact"/>
        <w:rPr>
          <w:sz w:val="20"/>
          <w:szCs w:val="20"/>
          <w:color w:val="auto"/>
        </w:rPr>
      </w:pPr>
    </w:p>
    <w:p>
      <w:pPr>
        <w:jc w:val="both"/>
        <w:ind w:right="20" w:firstLine="228"/>
        <w:spacing w:after="0" w:line="259" w:lineRule="auto"/>
        <w:rPr>
          <w:sz w:val="20"/>
          <w:szCs w:val="20"/>
          <w:color w:val="auto"/>
        </w:rPr>
      </w:pPr>
      <w:r>
        <w:rPr>
          <w:rFonts w:ascii="Arial" w:cs="Arial" w:eastAsia="Arial" w:hAnsi="Arial"/>
          <w:sz w:val="18"/>
          <w:szCs w:val="18"/>
          <w:color w:val="auto"/>
        </w:rPr>
        <w:t>In the three months ended March 31, 2011 certain pension plans in GME were remeasured as part of our Goodwill impairment analysis, resulting in a decrease of $272 million in the Pensions liability and a pre-tax increase in the net actuarial gain component of Accumulated other comprehensive income. Refer to Notes 2 and 9 for additional information on our Goodwill impairment.</w:t>
      </w:r>
    </w:p>
    <w:p>
      <w:pPr>
        <w:spacing w:after="0" w:line="140" w:lineRule="exact"/>
        <w:rPr>
          <w:sz w:val="20"/>
          <w:szCs w:val="20"/>
          <w:color w:val="auto"/>
        </w:rPr>
      </w:pPr>
    </w:p>
    <w:p>
      <w:pPr>
        <w:ind w:right="100" w:firstLine="228"/>
        <w:spacing w:after="0" w:line="332" w:lineRule="auto"/>
        <w:rPr>
          <w:sz w:val="20"/>
          <w:szCs w:val="20"/>
          <w:color w:val="auto"/>
        </w:rPr>
      </w:pPr>
      <w:r>
        <w:rPr>
          <w:rFonts w:ascii="Arial" w:cs="Arial" w:eastAsia="Arial" w:hAnsi="Arial"/>
          <w:sz w:val="16"/>
          <w:szCs w:val="16"/>
          <w:color w:val="auto"/>
        </w:rPr>
        <w:t>In the three months ended June 30, 2010 certain pension plans in GME were remeasured as part of our Goodwill impairment analysis, resulting in an increase of $388 million in the Pensions liability and a pre-tax increase in the net actuarial loss component of Accumulated other comprehensive income.</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Canadian Health Care Trust</w:t>
      </w:r>
    </w:p>
    <w:p>
      <w:pPr>
        <w:spacing w:after="0" w:line="171" w:lineRule="exact"/>
        <w:rPr>
          <w:sz w:val="20"/>
          <w:szCs w:val="20"/>
          <w:color w:val="auto"/>
        </w:rPr>
      </w:pPr>
    </w:p>
    <w:p>
      <w:pPr>
        <w:ind w:right="20" w:firstLine="228"/>
        <w:spacing w:after="0" w:line="285" w:lineRule="auto"/>
        <w:rPr>
          <w:sz w:val="20"/>
          <w:szCs w:val="20"/>
          <w:color w:val="auto"/>
        </w:rPr>
      </w:pPr>
      <w:r>
        <w:rPr>
          <w:rFonts w:ascii="Arial" w:cs="Arial" w:eastAsia="Arial" w:hAnsi="Arial"/>
          <w:sz w:val="16"/>
          <w:szCs w:val="16"/>
          <w:color w:val="auto"/>
        </w:rPr>
        <w:t>In December 2009 and May 2010 in furtherance of implementing its restructuring plan and pursuant to a June 2009 agreement between General Motors of Canada Limited (GMCL) and the Canadian Auto Workers Union (CAW) to establish an independent Canadian Health Care Trust (HCT) to provide retiree healthcare benefits to certain active and retired employees, litigation commenced regarding GMCL’s right to unilaterally amend and terminate postretirement healthcare benefits. The parties have reached a tentative agreement to consensually resolve the litigation, which is subject to court approval and was not yet implemented at June 30, 2011. Subject to preconditions being met, GMCL will be obligated to make a payment of CAD $1.0 billion on the HCT implementation date which it will fund out of its CAD $1.0 billion escrow funds, adjusted for the net difference between the amount of retiree monthly contributions received during the period January 1, 2010 through the HCT implementation date less the cost of benefits paid for claims incurred by covered employees during this period. On the HCT implementation date, GMCL will provide a CAD $800 million note payable with interest accruing at an annual rate of 7.0% starting January 1, 2010 with five equal annual installments of CAD $256 million due December 31 of 2014 through 2018. In June 2011 GMCL and the retiree representatives and their counsel agreed to a settlement agreement which added two additional payments of CAD $130 million each on December 31, 2014 and 2015. Concurrent with the implementation of the HCT, GMCL will be legally released from all obligations associated with the cost of providing retiree healthcare benefits to CAW active and retired employees bound by the class action process. We expect to account for the related termination of CAW hourly retiree healthcare benefits as a settlement, based upon the difference between the fair value of the notes and cash contributed and the healthcare plan obligation at the implementation date, which we anticipate in the three months ending December 31, 2011. As a result of conditions precedent to this agreement not having yet been achieved, there was no accounting recognition for the HCT at June 30, 2011.</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Derivative Financial Instruments and Risk 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177" w:lineRule="exact"/>
        <w:rPr>
          <w:sz w:val="20"/>
          <w:szCs w:val="20"/>
          <w:color w:val="auto"/>
        </w:rPr>
      </w:pPr>
    </w:p>
    <w:p>
      <w:pPr>
        <w:ind w:right="140" w:firstLine="228"/>
        <w:spacing w:after="0" w:line="370" w:lineRule="auto"/>
        <w:rPr>
          <w:sz w:val="20"/>
          <w:szCs w:val="20"/>
          <w:color w:val="auto"/>
        </w:rPr>
      </w:pPr>
      <w:r>
        <w:rPr>
          <w:rFonts w:ascii="Arial" w:cs="Arial" w:eastAsia="Arial" w:hAnsi="Arial"/>
          <w:sz w:val="15"/>
          <w:szCs w:val="15"/>
          <w:color w:val="auto"/>
        </w:rPr>
        <w:t>At June 30, 2011 and December 31, 2010 no outstanding derivative contracts were designated in hedging relationships other than those derivative contracts designated in a hedging relationship by GM Financial. Refer to Note 19 for additional information on the fair value measurements of our derivative instruments.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Derivatives and Hedge Accounting</w:t>
      </w:r>
    </w:p>
    <w:p>
      <w:pPr>
        <w:spacing w:after="0" w:line="171" w:lineRule="exact"/>
        <w:rPr>
          <w:sz w:val="20"/>
          <w:szCs w:val="20"/>
          <w:color w:val="auto"/>
        </w:rPr>
      </w:pPr>
    </w:p>
    <w:p>
      <w:pPr>
        <w:jc w:val="both"/>
        <w:ind w:right="180" w:firstLine="228"/>
        <w:spacing w:after="0" w:line="259" w:lineRule="auto"/>
        <w:rPr>
          <w:sz w:val="20"/>
          <w:szCs w:val="20"/>
          <w:color w:val="auto"/>
        </w:rPr>
      </w:pPr>
      <w:r>
        <w:rPr>
          <w:rFonts w:ascii="Arial" w:cs="Arial" w:eastAsia="Arial" w:hAnsi="Arial"/>
          <w:sz w:val="18"/>
          <w:szCs w:val="18"/>
          <w:color w:val="auto"/>
        </w:rPr>
        <w:t>In accordance with our risk management policy, we enter into a variety of foreign currency exchange rate and commodity derivative contracts in connection with the management of exposure to fluctuations in foreign currency exchange rates and certain commodity prices. Our derivative instruments consist primarily of forward contracts and options.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171" w:lineRule="exact"/>
        <w:rPr>
          <w:sz w:val="20"/>
          <w:szCs w:val="20"/>
          <w:color w:val="auto"/>
        </w:rPr>
      </w:pPr>
    </w:p>
    <w:p>
      <w:pPr>
        <w:jc w:val="both"/>
        <w:ind w:right="120" w:firstLine="228"/>
        <w:spacing w:after="0" w:line="259" w:lineRule="auto"/>
        <w:rPr>
          <w:sz w:val="20"/>
          <w:szCs w:val="20"/>
          <w:color w:val="auto"/>
        </w:rPr>
      </w:pPr>
      <w:r>
        <w:rPr>
          <w:rFonts w:ascii="Arial" w:cs="Arial" w:eastAsia="Arial" w:hAnsi="Arial"/>
          <w:sz w:val="18"/>
          <w:szCs w:val="18"/>
          <w:color w:val="auto"/>
        </w:rPr>
        <w:t>Derivative financial instruments contain an element of credit risk attributable to the counterparties’ ability to meet the terms of the agreements. Certain of our agreements with counterparties require, under certain circumstances, that the counterparty post collateral with us for net asset positions. Agreements are entered into with counterparties that allow the set-off of certain exposures in order to manage the risk.</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our counterparty credit risk related to derivative positions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June 30, 2011</w:t>
            </w:r>
          </w:p>
        </w:tc>
        <w:tc>
          <w:tcPr>
            <w:tcW w:w="50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1"/>
              </w:rPr>
              <w:t>December 31, 2010</w:t>
            </w:r>
          </w:p>
        </w:tc>
      </w:tr>
      <w:tr>
        <w:trPr>
          <w:trHeight w:val="210"/>
        </w:trPr>
        <w:tc>
          <w:tcPr>
            <w:tcW w:w="61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Collateral held from counterparties (a)</w:t>
            </w:r>
          </w:p>
        </w:tc>
        <w:tc>
          <w:tcPr>
            <w:tcW w:w="23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8"/>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Gross derivative asset position exposed to loss (b)(c)</w:t>
            </w:r>
          </w:p>
        </w:tc>
        <w:tc>
          <w:tcPr>
            <w:tcW w:w="2680" w:type="dxa"/>
            <w:vAlign w:val="bottom"/>
            <w:gridSpan w:val="2"/>
          </w:tcPr>
          <w:p>
            <w:pPr>
              <w:ind w:left="2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100</w:t>
            </w:r>
          </w:p>
        </w:tc>
        <w:tc>
          <w:tcPr>
            <w:tcW w:w="960" w:type="dxa"/>
            <w:vAlign w:val="bottom"/>
            <w:gridSpan w:val="2"/>
          </w:tcPr>
          <w:p>
            <w:pPr>
              <w:jc w:val="right"/>
              <w:ind w:right="308"/>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8"/>
                <w:szCs w:val="18"/>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Net derivative asset position exposed to loss (b)(d)</w:t>
            </w:r>
          </w:p>
        </w:tc>
        <w:tc>
          <w:tcPr>
            <w:tcW w:w="2680" w:type="dxa"/>
            <w:vAlign w:val="bottom"/>
            <w:gridSpan w:val="2"/>
            <w:shd w:val="clear" w:color="auto" w:fill="CCEEFF"/>
          </w:tcPr>
          <w:p>
            <w:pPr>
              <w:ind w:left="23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91</w:t>
            </w:r>
          </w:p>
        </w:tc>
        <w:tc>
          <w:tcPr>
            <w:tcW w:w="96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Related obligation is recorded in Accrued liabilities.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Embedded derivatives have been excluded from this table.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Represents the maximum exposure to loss on derivative asset positions calculated as the gross derivative asset position less collateral we held.</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Net exposure to loss calculated as net derivative asset position for all counterparties with which we were in a net asset position, less the collateral we held.</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At June 30, 2011 substantially all derivative counterparty exposures were with counterparties that were rated A- or higher.</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Risk Related Contingent Features</w:t>
      </w:r>
    </w:p>
    <w:p>
      <w:pPr>
        <w:spacing w:after="0" w:line="171" w:lineRule="exact"/>
        <w:rPr>
          <w:sz w:val="20"/>
          <w:szCs w:val="20"/>
          <w:color w:val="auto"/>
        </w:rPr>
      </w:pPr>
    </w:p>
    <w:p>
      <w:pPr>
        <w:ind w:right="40" w:firstLine="228"/>
        <w:spacing w:after="0" w:line="256" w:lineRule="auto"/>
        <w:rPr>
          <w:sz w:val="20"/>
          <w:szCs w:val="20"/>
          <w:color w:val="auto"/>
        </w:rPr>
      </w:pPr>
      <w:r>
        <w:rPr>
          <w:rFonts w:ascii="Arial" w:cs="Arial" w:eastAsia="Arial" w:hAnsi="Arial"/>
          <w:sz w:val="18"/>
          <w:szCs w:val="18"/>
          <w:color w:val="auto"/>
        </w:rPr>
        <w:t>Certain of our agreements with counterparties require that we provide cash collateral for net liability positions that we may have with such counterparty. At June 30, 2011 no collateral was posted related to derivative instruments, and we did not have any agreements with counterparties to derivative instruments containing covenants requiring the maintenance of certain credit rating levels or credit risk ratios that would require the posting of collateral in the event that such covenants are violated.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Derivatives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fair value of our derivative instruments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30, 2011</w:t>
            </w:r>
          </w:p>
        </w:tc>
        <w:tc>
          <w:tcPr>
            <w:tcW w:w="600" w:type="dxa"/>
            <w:vAlign w:val="bottom"/>
            <w:tcBorders>
              <w:bottom w:val="single" w:sz="8" w:color="auto"/>
            </w:tcBorders>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w w:val="87"/>
              </w:rPr>
              <w:t>December 31, 2010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ind w:right="96"/>
              <w:spacing w:after="0" w:line="129" w:lineRule="exact"/>
              <w:rPr>
                <w:sz w:val="20"/>
                <w:szCs w:val="20"/>
                <w:color w:val="auto"/>
              </w:rPr>
            </w:pPr>
            <w:r>
              <w:rPr>
                <w:rFonts w:ascii="Arial" w:cs="Arial" w:eastAsia="Arial" w:hAnsi="Arial"/>
                <w:sz w:val="14"/>
                <w:szCs w:val="14"/>
                <w:b w:val="1"/>
                <w:bCs w:val="1"/>
                <w:color w:val="auto"/>
                <w:w w:val="94"/>
              </w:rPr>
              <w:t>Asset</w:t>
            </w: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ind w:right="16"/>
              <w:spacing w:after="0" w:line="129" w:lineRule="exact"/>
              <w:rPr>
                <w:sz w:val="20"/>
                <w:szCs w:val="20"/>
                <w:color w:val="auto"/>
              </w:rPr>
            </w:pPr>
            <w:r>
              <w:rPr>
                <w:rFonts w:ascii="Arial" w:cs="Arial" w:eastAsia="Arial" w:hAnsi="Arial"/>
                <w:sz w:val="14"/>
                <w:szCs w:val="14"/>
                <w:b w:val="1"/>
                <w:bCs w:val="1"/>
                <w:color w:val="auto"/>
                <w:w w:val="90"/>
              </w:rPr>
              <w:t>Liability</w:t>
            </w: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ind w:right="98"/>
              <w:spacing w:after="0" w:line="129" w:lineRule="exact"/>
              <w:rPr>
                <w:sz w:val="20"/>
                <w:szCs w:val="20"/>
                <w:color w:val="auto"/>
              </w:rPr>
            </w:pPr>
            <w:r>
              <w:rPr>
                <w:rFonts w:ascii="Arial" w:cs="Arial" w:eastAsia="Arial" w:hAnsi="Arial"/>
                <w:sz w:val="14"/>
                <w:szCs w:val="14"/>
                <w:b w:val="1"/>
                <w:bCs w:val="1"/>
                <w:color w:val="auto"/>
                <w:w w:val="89"/>
              </w:rPr>
              <w:t>Asset</w:t>
            </w: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ind w:right="16"/>
              <w:spacing w:after="0" w:line="129" w:lineRule="exact"/>
              <w:rPr>
                <w:sz w:val="20"/>
                <w:szCs w:val="20"/>
                <w:color w:val="auto"/>
              </w:rPr>
            </w:pPr>
            <w:r>
              <w:rPr>
                <w:rFonts w:ascii="Arial" w:cs="Arial" w:eastAsia="Arial" w:hAnsi="Arial"/>
                <w:sz w:val="14"/>
                <w:szCs w:val="14"/>
                <w:b w:val="1"/>
                <w:bCs w:val="1"/>
                <w:color w:val="auto"/>
                <w:w w:val="90"/>
              </w:rPr>
              <w:t>Liability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8"/>
              </w:rPr>
              <w:t>Derivatives</w:t>
            </w:r>
          </w:p>
        </w:tc>
        <w:tc>
          <w:tcPr>
            <w:tcW w:w="980" w:type="dxa"/>
            <w:vAlign w:val="bottom"/>
          </w:tcPr>
          <w:p>
            <w:pPr>
              <w:spacing w:after="0"/>
              <w:rPr>
                <w:sz w:val="12"/>
                <w:szCs w:val="12"/>
                <w:color w:val="auto"/>
              </w:rPr>
            </w:pPr>
          </w:p>
        </w:tc>
        <w:tc>
          <w:tcPr>
            <w:tcW w:w="16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Derivatives</w:t>
            </w:r>
          </w:p>
        </w:tc>
        <w:tc>
          <w:tcPr>
            <w:tcW w:w="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8"/>
              </w:rPr>
              <w:t>Derivatives</w:t>
            </w:r>
          </w:p>
        </w:tc>
        <w:tc>
          <w:tcPr>
            <w:tcW w:w="980" w:type="dxa"/>
            <w:vAlign w:val="bottom"/>
          </w:tcPr>
          <w:p>
            <w:pPr>
              <w:spacing w:after="0"/>
              <w:rPr>
                <w:sz w:val="12"/>
                <w:szCs w:val="12"/>
                <w:color w:val="auto"/>
              </w:rPr>
            </w:pPr>
          </w:p>
        </w:tc>
        <w:tc>
          <w:tcPr>
            <w:tcW w:w="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Derivatives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96"/>
              <w:spacing w:after="0"/>
              <w:rPr>
                <w:sz w:val="20"/>
                <w:szCs w:val="20"/>
                <w:color w:val="auto"/>
              </w:rPr>
            </w:pPr>
            <w:r>
              <w:rPr>
                <w:rFonts w:ascii="Arial" w:cs="Arial" w:eastAsia="Arial" w:hAnsi="Arial"/>
                <w:sz w:val="14"/>
                <w:szCs w:val="14"/>
                <w:b w:val="1"/>
                <w:bCs w:val="1"/>
                <w:color w:val="auto"/>
              </w:rPr>
              <w:t>(a)(b)</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2"/>
          </w:tcPr>
          <w:p>
            <w:pPr>
              <w:jc w:val="right"/>
              <w:ind w:right="1160"/>
              <w:spacing w:after="0"/>
              <w:rPr>
                <w:sz w:val="20"/>
                <w:szCs w:val="20"/>
                <w:color w:val="auto"/>
              </w:rPr>
            </w:pPr>
            <w:r>
              <w:rPr>
                <w:rFonts w:ascii="Arial" w:cs="Arial" w:eastAsia="Arial" w:hAnsi="Arial"/>
                <w:sz w:val="14"/>
                <w:szCs w:val="14"/>
                <w:b w:val="1"/>
                <w:bCs w:val="1"/>
                <w:color w:val="auto"/>
              </w:rPr>
              <w:t>(c)(d)</w:t>
            </w:r>
          </w:p>
        </w:tc>
        <w:tc>
          <w:tcPr>
            <w:tcW w:w="140" w:type="dxa"/>
            <w:vAlign w:val="bottom"/>
          </w:tcPr>
          <w:p>
            <w:pPr>
              <w:spacing w:after="0"/>
              <w:rPr>
                <w:sz w:val="14"/>
                <w:szCs w:val="14"/>
                <w:color w:val="auto"/>
              </w:rPr>
            </w:pPr>
          </w:p>
        </w:tc>
        <w:tc>
          <w:tcPr>
            <w:tcW w:w="540" w:type="dxa"/>
            <w:vAlign w:val="bottom"/>
          </w:tcPr>
          <w:p>
            <w:pPr>
              <w:jc w:val="right"/>
              <w:ind w:right="98"/>
              <w:spacing w:after="0"/>
              <w:rPr>
                <w:sz w:val="20"/>
                <w:szCs w:val="20"/>
                <w:color w:val="auto"/>
              </w:rPr>
            </w:pPr>
            <w:r>
              <w:rPr>
                <w:rFonts w:ascii="Arial" w:cs="Arial" w:eastAsia="Arial" w:hAnsi="Arial"/>
                <w:sz w:val="14"/>
                <w:szCs w:val="14"/>
                <w:b w:val="1"/>
                <w:bCs w:val="1"/>
                <w:color w:val="auto"/>
                <w:w w:val="97"/>
              </w:rPr>
              <w:t>(a)(b)</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Current Portion</w:t>
            </w: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Foreign currency exchange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94</w:t>
            </w:r>
          </w:p>
        </w:tc>
        <w:tc>
          <w:tcPr>
            <w:tcW w:w="1060" w:type="dxa"/>
            <w:vAlign w:val="bottom"/>
            <w:gridSpan w:val="2"/>
          </w:tcPr>
          <w:p>
            <w:pPr>
              <w:ind w:left="980"/>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98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80</w:t>
            </w:r>
          </w:p>
        </w:tc>
        <w:tc>
          <w:tcPr>
            <w:tcW w:w="1060" w:type="dxa"/>
            <w:vAlign w:val="bottom"/>
            <w:gridSpan w:val="2"/>
          </w:tcPr>
          <w:p>
            <w:pPr>
              <w:ind w:left="98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Embedded foreign currency exchange</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Commodity</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right"/>
              <w:ind w:right="98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93</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portion</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60" w:type="dxa"/>
            <w:vAlign w:val="bottom"/>
            <w:gridSpan w:val="2"/>
            <w:shd w:val="clear" w:color="auto" w:fill="CCEEFF"/>
          </w:tcPr>
          <w:p>
            <w:pPr>
              <w:ind w:left="980"/>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60" w:type="dxa"/>
            <w:vAlign w:val="bottom"/>
            <w:gridSpan w:val="2"/>
            <w:shd w:val="clear" w:color="auto" w:fill="CCEEFF"/>
          </w:tcPr>
          <w:p>
            <w:pPr>
              <w:ind w:left="98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Non-Current Portion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66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Embedded foreign currency exchange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60" w:type="dxa"/>
            <w:vAlign w:val="bottom"/>
            <w:gridSpan w:val="2"/>
            <w:shd w:val="clear" w:color="auto" w:fill="CCEEFF"/>
          </w:tcPr>
          <w:p>
            <w:pPr>
              <w:ind w:left="980"/>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980"/>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Commodity</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right"/>
              <w:ind w:right="98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60" w:type="dxa"/>
            <w:vAlign w:val="bottom"/>
            <w:gridSpan w:val="3"/>
            <w:vMerge w:val="restart"/>
          </w:tcPr>
          <w:p>
            <w:pPr>
              <w:spacing w:after="0"/>
              <w:rPr>
                <w:sz w:val="20"/>
                <w:szCs w:val="20"/>
                <w:color w:val="auto"/>
              </w:rPr>
            </w:pPr>
            <w:r>
              <w:rPr>
                <w:rFonts w:ascii="Arial" w:cs="Arial" w:eastAsia="Arial" w:hAnsi="Arial"/>
                <w:sz w:val="18"/>
                <w:szCs w:val="18"/>
                <w:color w:val="auto"/>
              </w:rPr>
              <w:t>Total non-current portion</w:t>
            </w: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60" w:type="dxa"/>
            <w:vAlign w:val="bottom"/>
            <w:gridSpan w:val="3"/>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132</w:t>
            </w:r>
          </w:p>
        </w:tc>
        <w:tc>
          <w:tcPr>
            <w:tcW w:w="1060" w:type="dxa"/>
            <w:vAlign w:val="bottom"/>
            <w:gridSpan w:val="2"/>
          </w:tcPr>
          <w:p>
            <w:pPr>
              <w:ind w:left="980"/>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98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44</w:t>
            </w:r>
          </w:p>
        </w:tc>
        <w:tc>
          <w:tcPr>
            <w:tcW w:w="1060" w:type="dxa"/>
            <w:vAlign w:val="bottom"/>
            <w:gridSpan w:val="2"/>
          </w:tcPr>
          <w:p>
            <w:pPr>
              <w:ind w:left="98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Current portion recorded in Other current assets and deferred income taxes.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Non-current portion recorded in Other assets.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Current portion recorded in Accrued liabilities.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Non-current portion recorded in Other liabilities and deferred income taxes.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Gains and (Losses) on Derivatives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gains and (losses) on derivatives recorded in earnings (dollars in millions):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6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June 30,</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6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w w:val="89"/>
              </w:rPr>
              <w:t>2011</w:t>
            </w:r>
          </w:p>
        </w:tc>
        <w:tc>
          <w:tcPr>
            <w:tcW w:w="5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2010</w:t>
            </w:r>
          </w:p>
        </w:tc>
        <w:tc>
          <w:tcPr>
            <w:tcW w:w="3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w w:val="83"/>
              </w:rPr>
              <w:t>2011</w:t>
            </w:r>
          </w:p>
        </w:tc>
        <w:tc>
          <w:tcPr>
            <w:tcW w:w="5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Derivative Instruments</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Foreign currency exchange</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52"/>
              <w:spacing w:after="0"/>
              <w:rPr>
                <w:sz w:val="20"/>
                <w:szCs w:val="20"/>
                <w:color w:val="auto"/>
              </w:rPr>
            </w:pPr>
            <w:r>
              <w:rPr>
                <w:rFonts w:ascii="Arial" w:cs="Arial" w:eastAsia="Arial" w:hAnsi="Arial"/>
                <w:sz w:val="18"/>
                <w:szCs w:val="18"/>
                <w:color w:val="auto"/>
              </w:rPr>
              <w:t>35</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(98)</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25</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Embedded foreign currency exchange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86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Commodity derivatives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92"/>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12"/>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8"/>
                <w:szCs w:val="18"/>
                <w:color w:val="auto"/>
                <w:w w:val="92"/>
              </w:rPr>
              <w:t>Total gains (losses) recorded in interest income and other non-operating income, net</w:t>
            </w: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260" w:type="dxa"/>
            <w:vAlign w:val="bottom"/>
            <w:vMerge w:val="continue"/>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52"/>
              <w:spacing w:after="0"/>
              <w:rPr>
                <w:sz w:val="20"/>
                <w:szCs w:val="20"/>
                <w:color w:val="auto"/>
              </w:rPr>
            </w:pPr>
            <w:r>
              <w:rPr>
                <w:rFonts w:ascii="Arial" w:cs="Arial" w:eastAsia="Arial" w:hAnsi="Arial"/>
                <w:sz w:val="18"/>
                <w:szCs w:val="18"/>
                <w:color w:val="auto"/>
              </w:rPr>
              <w:t>77</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(157)</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130</w:t>
            </w:r>
          </w:p>
        </w:tc>
        <w:tc>
          <w:tcPr>
            <w:tcW w:w="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6260" w:type="dxa"/>
            <w:vAlign w:val="bottom"/>
            <w:vMerge w:val="restart"/>
          </w:tcPr>
          <w:p>
            <w:pPr>
              <w:ind w:left="5160"/>
              <w:spacing w:after="0"/>
              <w:rPr>
                <w:sz w:val="20"/>
                <w:szCs w:val="20"/>
                <w:color w:val="auto"/>
              </w:rPr>
            </w:pPr>
            <w:r>
              <w:rPr>
                <w:rFonts w:ascii="Arial" w:cs="Arial" w:eastAsia="Arial" w:hAnsi="Arial"/>
                <w:sz w:val="18"/>
                <w:szCs w:val="18"/>
                <w:color w:val="auto"/>
              </w:rPr>
              <w:t>27</w:t>
            </w: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2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Commodity Notionals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notional amounts of our commodity derivative contracts (units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8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740" w:type="dxa"/>
            <w:vAlign w:val="bottom"/>
            <w:gridSpan w:val="2"/>
          </w:tcPr>
          <w:p>
            <w:pPr>
              <w:ind w:left="500"/>
              <w:spacing w:after="0"/>
              <w:rPr>
                <w:sz w:val="20"/>
                <w:szCs w:val="20"/>
                <w:color w:val="auto"/>
              </w:rPr>
            </w:pPr>
            <w:r>
              <w:rPr>
                <w:rFonts w:ascii="Arial" w:cs="Arial" w:eastAsia="Arial" w:hAnsi="Arial"/>
                <w:sz w:val="14"/>
                <w:szCs w:val="14"/>
                <w:b w:val="1"/>
                <w:bCs w:val="1"/>
                <w:color w:val="auto"/>
              </w:rPr>
              <w:t>Units</w:t>
            </w:r>
          </w:p>
        </w:tc>
        <w:tc>
          <w:tcPr>
            <w:tcW w:w="1300" w:type="dxa"/>
            <w:vAlign w:val="bottom"/>
            <w:gridSpan w:val="2"/>
          </w:tcPr>
          <w:p>
            <w:pPr>
              <w:spacing w:after="0"/>
              <w:rPr>
                <w:sz w:val="20"/>
                <w:szCs w:val="20"/>
                <w:color w:val="auto"/>
              </w:rPr>
            </w:pPr>
            <w:r>
              <w:rPr>
                <w:rFonts w:ascii="Arial" w:cs="Arial" w:eastAsia="Arial" w:hAnsi="Arial"/>
                <w:sz w:val="14"/>
                <w:szCs w:val="14"/>
                <w:b w:val="1"/>
                <w:bCs w:val="1"/>
                <w:color w:val="auto"/>
              </w:rPr>
              <w:t>June 30, 2011</w:t>
            </w: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w w:val="91"/>
              </w:rPr>
              <w:t>December 31, 2010</w:t>
            </w:r>
          </w:p>
        </w:tc>
      </w:tr>
      <w:tr>
        <w:trPr>
          <w:trHeight w:val="196"/>
        </w:trPr>
        <w:tc>
          <w:tcPr>
            <w:tcW w:w="4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Commodity</w:t>
            </w:r>
          </w:p>
        </w:tc>
        <w:tc>
          <w:tcPr>
            <w:tcW w:w="24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Aluminum and aluminum alloy</w:t>
            </w:r>
          </w:p>
        </w:tc>
        <w:tc>
          <w:tcPr>
            <w:tcW w:w="4160" w:type="dxa"/>
            <w:vAlign w:val="bottom"/>
            <w:gridSpan w:val="3"/>
          </w:tcPr>
          <w:p>
            <w:pPr>
              <w:ind w:left="2420"/>
              <w:spacing w:after="0"/>
              <w:rPr>
                <w:sz w:val="20"/>
                <w:szCs w:val="20"/>
                <w:color w:val="auto"/>
              </w:rPr>
            </w:pPr>
            <w:r>
              <w:rPr>
                <w:rFonts w:ascii="Arial" w:cs="Arial" w:eastAsia="Arial" w:hAnsi="Arial"/>
                <w:sz w:val="18"/>
                <w:szCs w:val="18"/>
                <w:color w:val="auto"/>
              </w:rPr>
              <w:t>Metric tons</w:t>
            </w:r>
          </w:p>
        </w:tc>
        <w:tc>
          <w:tcPr>
            <w:tcW w:w="780" w:type="dxa"/>
            <w:vAlign w:val="bottom"/>
          </w:tcPr>
          <w:p>
            <w:pPr>
              <w:jc w:val="right"/>
              <w:spacing w:after="0"/>
              <w:rPr>
                <w:sz w:val="20"/>
                <w:szCs w:val="20"/>
                <w:color w:val="auto"/>
              </w:rPr>
            </w:pPr>
            <w:r>
              <w:rPr>
                <w:rFonts w:ascii="Arial" w:cs="Arial" w:eastAsia="Arial" w:hAnsi="Arial"/>
                <w:sz w:val="18"/>
                <w:szCs w:val="18"/>
                <w:color w:val="auto"/>
              </w:rPr>
              <w:t>529</w:t>
            </w: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Copper</w:t>
            </w:r>
          </w:p>
        </w:tc>
        <w:tc>
          <w:tcPr>
            <w:tcW w:w="4160" w:type="dxa"/>
            <w:vAlign w:val="bottom"/>
            <w:gridSpan w:val="3"/>
            <w:shd w:val="clear" w:color="auto" w:fill="CCEEFF"/>
          </w:tcPr>
          <w:p>
            <w:pPr>
              <w:ind w:left="2420"/>
              <w:spacing w:after="0"/>
              <w:rPr>
                <w:sz w:val="20"/>
                <w:szCs w:val="20"/>
                <w:color w:val="auto"/>
              </w:rPr>
            </w:pPr>
            <w:r>
              <w:rPr>
                <w:rFonts w:ascii="Arial" w:cs="Arial" w:eastAsia="Arial" w:hAnsi="Arial"/>
                <w:sz w:val="18"/>
                <w:szCs w:val="18"/>
                <w:color w:val="auto"/>
              </w:rPr>
              <w:t>Metric tons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Lead</w:t>
            </w:r>
          </w:p>
        </w:tc>
        <w:tc>
          <w:tcPr>
            <w:tcW w:w="4160" w:type="dxa"/>
            <w:vAlign w:val="bottom"/>
            <w:gridSpan w:val="3"/>
          </w:tcPr>
          <w:p>
            <w:pPr>
              <w:ind w:left="2420"/>
              <w:spacing w:after="0"/>
              <w:rPr>
                <w:sz w:val="20"/>
                <w:szCs w:val="20"/>
                <w:color w:val="auto"/>
              </w:rPr>
            </w:pPr>
            <w:r>
              <w:rPr>
                <w:rFonts w:ascii="Arial" w:cs="Arial" w:eastAsia="Arial" w:hAnsi="Arial"/>
                <w:sz w:val="18"/>
                <w:szCs w:val="18"/>
                <w:color w:val="auto"/>
              </w:rPr>
              <w:t>Metric tons</w:t>
            </w:r>
          </w:p>
        </w:tc>
        <w:tc>
          <w:tcPr>
            <w:tcW w:w="780" w:type="dxa"/>
            <w:vAlign w:val="bottom"/>
          </w:tcPr>
          <w:p>
            <w:pPr>
              <w:jc w:val="right"/>
              <w:spacing w:after="0"/>
              <w:rPr>
                <w:sz w:val="20"/>
                <w:szCs w:val="20"/>
                <w:color w:val="auto"/>
              </w:rPr>
            </w:pPr>
            <w:r>
              <w:rPr>
                <w:rFonts w:ascii="Arial" w:cs="Arial" w:eastAsia="Arial" w:hAnsi="Arial"/>
                <w:sz w:val="18"/>
                <w:szCs w:val="18"/>
                <w:color w:val="auto"/>
              </w:rPr>
              <w:t>79</w:t>
            </w: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Heating oil</w:t>
            </w:r>
          </w:p>
        </w:tc>
        <w:tc>
          <w:tcPr>
            <w:tcW w:w="4160" w:type="dxa"/>
            <w:vAlign w:val="bottom"/>
            <w:gridSpan w:val="3"/>
            <w:shd w:val="clear" w:color="auto" w:fill="CCEEFF"/>
          </w:tcPr>
          <w:p>
            <w:pPr>
              <w:ind w:left="2420"/>
              <w:spacing w:after="0"/>
              <w:rPr>
                <w:sz w:val="20"/>
                <w:szCs w:val="20"/>
                <w:color w:val="auto"/>
              </w:rPr>
            </w:pPr>
            <w:r>
              <w:rPr>
                <w:rFonts w:ascii="Arial" w:cs="Arial" w:eastAsia="Arial" w:hAnsi="Arial"/>
                <w:sz w:val="18"/>
                <w:szCs w:val="18"/>
                <w:color w:val="auto"/>
              </w:rPr>
              <w:t>Gallons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135,198</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125,160</w:t>
            </w:r>
          </w:p>
        </w:tc>
        <w:tc>
          <w:tcPr>
            <w:tcW w:w="10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Palladium</w:t>
            </w:r>
          </w:p>
        </w:tc>
        <w:tc>
          <w:tcPr>
            <w:tcW w:w="4160" w:type="dxa"/>
            <w:vAlign w:val="bottom"/>
            <w:gridSpan w:val="3"/>
          </w:tcPr>
          <w:p>
            <w:pPr>
              <w:ind w:left="2420"/>
              <w:spacing w:after="0"/>
              <w:rPr>
                <w:sz w:val="20"/>
                <w:szCs w:val="20"/>
                <w:color w:val="auto"/>
              </w:rPr>
            </w:pPr>
            <w:r>
              <w:rPr>
                <w:rFonts w:ascii="Arial" w:cs="Arial" w:eastAsia="Arial" w:hAnsi="Arial"/>
                <w:sz w:val="18"/>
                <w:szCs w:val="18"/>
                <w:color w:val="auto"/>
              </w:rPr>
              <w:t>Troy ounce</w:t>
            </w:r>
          </w:p>
        </w:tc>
        <w:tc>
          <w:tcPr>
            <w:tcW w:w="780" w:type="dxa"/>
            <w:vAlign w:val="bottom"/>
          </w:tcPr>
          <w:p>
            <w:pPr>
              <w:jc w:val="right"/>
              <w:spacing w:after="0"/>
              <w:rPr>
                <w:sz w:val="20"/>
                <w:szCs w:val="20"/>
                <w:color w:val="auto"/>
              </w:rPr>
            </w:pPr>
            <w:r>
              <w:rPr>
                <w:rFonts w:ascii="Arial" w:cs="Arial" w:eastAsia="Arial" w:hAnsi="Arial"/>
                <w:sz w:val="18"/>
                <w:szCs w:val="18"/>
                <w:color w:val="auto"/>
              </w:rPr>
              <w:t>553</w:t>
            </w: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Platinum</w:t>
            </w:r>
          </w:p>
        </w:tc>
        <w:tc>
          <w:tcPr>
            <w:tcW w:w="4160" w:type="dxa"/>
            <w:vAlign w:val="bottom"/>
            <w:gridSpan w:val="3"/>
            <w:shd w:val="clear" w:color="auto" w:fill="CCEEFF"/>
          </w:tcPr>
          <w:p>
            <w:pPr>
              <w:ind w:left="2420"/>
              <w:spacing w:after="0"/>
              <w:rPr>
                <w:sz w:val="20"/>
                <w:szCs w:val="20"/>
                <w:color w:val="auto"/>
              </w:rPr>
            </w:pPr>
            <w:r>
              <w:rPr>
                <w:rFonts w:ascii="Arial" w:cs="Arial" w:eastAsia="Arial" w:hAnsi="Arial"/>
                <w:sz w:val="18"/>
                <w:szCs w:val="18"/>
                <w:color w:val="auto"/>
              </w:rPr>
              <w:t>Troy ounce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r>
      <w:tr>
        <w:trPr>
          <w:trHeight w:val="222"/>
        </w:trPr>
        <w:tc>
          <w:tcPr>
            <w:tcW w:w="4780" w:type="dxa"/>
            <w:vAlign w:val="bottom"/>
          </w:tcPr>
          <w:p>
            <w:pPr>
              <w:spacing w:after="0"/>
              <w:rPr>
                <w:sz w:val="20"/>
                <w:szCs w:val="20"/>
                <w:color w:val="auto"/>
              </w:rPr>
            </w:pPr>
            <w:r>
              <w:rPr>
                <w:rFonts w:ascii="Arial" w:cs="Arial" w:eastAsia="Arial" w:hAnsi="Arial"/>
                <w:sz w:val="18"/>
                <w:szCs w:val="18"/>
                <w:color w:val="auto"/>
              </w:rPr>
              <w:t>Electricity (embedded derivative)</w:t>
            </w:r>
          </w:p>
        </w:tc>
        <w:tc>
          <w:tcPr>
            <w:tcW w:w="4160" w:type="dxa"/>
            <w:vAlign w:val="bottom"/>
            <w:gridSpan w:val="3"/>
          </w:tcPr>
          <w:p>
            <w:pPr>
              <w:ind w:left="2420"/>
              <w:spacing w:after="0"/>
              <w:rPr>
                <w:sz w:val="20"/>
                <w:szCs w:val="20"/>
                <w:color w:val="auto"/>
              </w:rPr>
            </w:pPr>
            <w:r>
              <w:rPr>
                <w:rFonts w:ascii="Arial" w:cs="Arial" w:eastAsia="Arial" w:hAnsi="Arial"/>
                <w:sz w:val="18"/>
                <w:szCs w:val="18"/>
                <w:color w:val="auto"/>
              </w:rPr>
              <w:t>MWh</w:t>
            </w:r>
          </w:p>
        </w:tc>
        <w:tc>
          <w:tcPr>
            <w:tcW w:w="780" w:type="dxa"/>
            <w:vAlign w:val="bottom"/>
          </w:tcPr>
          <w:p>
            <w:pPr>
              <w:jc w:val="right"/>
              <w:spacing w:after="0"/>
              <w:rPr>
                <w:sz w:val="20"/>
                <w:szCs w:val="20"/>
                <w:color w:val="auto"/>
              </w:rPr>
            </w:pPr>
            <w:r>
              <w:rPr>
                <w:rFonts w:ascii="Arial" w:cs="Arial" w:eastAsia="Arial" w:hAnsi="Arial"/>
                <w:sz w:val="18"/>
                <w:szCs w:val="18"/>
                <w:color w:val="auto"/>
              </w:rPr>
              <w:t>1,197</w:t>
            </w: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1,304</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Currency Exchange Notionals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notional amounts of our foreign currency exchange derivatives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June 30, 2011</w:t>
            </w:r>
          </w:p>
        </w:tc>
        <w:tc>
          <w:tcPr>
            <w:tcW w:w="420" w:type="dxa"/>
            <w:vAlign w:val="bottom"/>
          </w:tcPr>
          <w:p>
            <w:pPr>
              <w:spacing w:after="0"/>
              <w:rPr>
                <w:sz w:val="14"/>
                <w:szCs w:val="14"/>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4"/>
              </w:rPr>
              <w:t>December 31, 2010</w:t>
            </w:r>
          </w:p>
        </w:tc>
      </w:tr>
      <w:tr>
        <w:trPr>
          <w:trHeight w:val="210"/>
        </w:trPr>
        <w:tc>
          <w:tcPr>
            <w:tcW w:w="6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Foreign currency exchange derivatives</w:t>
            </w:r>
          </w:p>
        </w:tc>
        <w:tc>
          <w:tcPr>
            <w:tcW w:w="25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6,368</w:t>
            </w:r>
          </w:p>
        </w:tc>
        <w:tc>
          <w:tcPr>
            <w:tcW w:w="4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8"/>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6060" w:type="dxa"/>
            <w:vAlign w:val="bottom"/>
          </w:tcPr>
          <w:p>
            <w:pPr>
              <w:spacing w:after="0"/>
              <w:rPr>
                <w:sz w:val="20"/>
                <w:szCs w:val="20"/>
                <w:color w:val="auto"/>
              </w:rPr>
            </w:pPr>
            <w:r>
              <w:rPr>
                <w:rFonts w:ascii="Arial" w:cs="Arial" w:eastAsia="Arial" w:hAnsi="Arial"/>
                <w:sz w:val="18"/>
                <w:szCs w:val="18"/>
                <w:color w:val="auto"/>
              </w:rPr>
              <w:t>Embedded foreign currency exchange derivatives</w:t>
            </w:r>
          </w:p>
        </w:tc>
        <w:tc>
          <w:tcPr>
            <w:tcW w:w="2820" w:type="dxa"/>
            <w:vAlign w:val="bottom"/>
            <w:gridSpan w:val="2"/>
          </w:tcPr>
          <w:p>
            <w:pPr>
              <w:ind w:left="25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1,532</w:t>
            </w:r>
          </w:p>
        </w:tc>
        <w:tc>
          <w:tcPr>
            <w:tcW w:w="80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1,421</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jc w:val="both"/>
        <w:ind w:right="100" w:firstLine="228"/>
        <w:spacing w:after="0" w:line="306" w:lineRule="auto"/>
        <w:rPr>
          <w:sz w:val="20"/>
          <w:szCs w:val="20"/>
          <w:color w:val="auto"/>
        </w:rPr>
      </w:pPr>
      <w:r>
        <w:rPr>
          <w:rFonts w:ascii="Arial" w:cs="Arial" w:eastAsia="Arial" w:hAnsi="Arial"/>
          <w:sz w:val="16"/>
          <w:szCs w:val="16"/>
          <w:color w:val="auto"/>
        </w:rPr>
        <w:t>In 2010 we entered into a long-term supply agreement which provides for pricing to be partially denominated in a currency other than the functional currency of the parties to the contract. This pricing feature was determined to be an embedded derivative which we have bifurcated for valuation and accounting purposes. The fair value of this embedded derivative was an asset of $145 million at June 30, 2011 and insignificant at December 31, 2010.</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Derivatives</w:t>
      </w:r>
    </w:p>
    <w:p>
      <w:pPr>
        <w:spacing w:after="0" w:line="171" w:lineRule="exact"/>
        <w:rPr>
          <w:sz w:val="20"/>
          <w:szCs w:val="20"/>
          <w:color w:val="auto"/>
        </w:rPr>
      </w:pPr>
    </w:p>
    <w:p>
      <w:pPr>
        <w:ind w:right="20" w:firstLine="228"/>
        <w:spacing w:after="0" w:line="268" w:lineRule="auto"/>
        <w:rPr>
          <w:sz w:val="20"/>
          <w:szCs w:val="20"/>
          <w:color w:val="auto"/>
        </w:rPr>
      </w:pPr>
      <w:r>
        <w:rPr>
          <w:rFonts w:ascii="Arial" w:cs="Arial" w:eastAsia="Arial" w:hAnsi="Arial"/>
          <w:sz w:val="18"/>
          <w:szCs w:val="18"/>
          <w:color w:val="auto"/>
        </w:rPr>
        <w:t>In February 2011 we exercised our warrants to purchase American Axle common stock. The shares acquired upon exercise were sold in February 2011 and we received proceeds of $48 million. At December 31, 2010 the fair value of these warrants was $44 million.</w:t>
      </w:r>
    </w:p>
    <w:p>
      <w:pPr>
        <w:spacing w:after="0" w:line="132" w:lineRule="exact"/>
        <w:rPr>
          <w:sz w:val="20"/>
          <w:szCs w:val="20"/>
          <w:color w:val="auto"/>
        </w:rPr>
      </w:pPr>
    </w:p>
    <w:p>
      <w:pPr>
        <w:ind w:right="220" w:firstLine="228"/>
        <w:spacing w:after="0" w:line="254" w:lineRule="auto"/>
        <w:rPr>
          <w:sz w:val="20"/>
          <w:szCs w:val="20"/>
          <w:color w:val="auto"/>
        </w:rPr>
      </w:pPr>
      <w:r>
        <w:rPr>
          <w:rFonts w:ascii="Arial" w:cs="Arial" w:eastAsia="Arial" w:hAnsi="Arial"/>
          <w:sz w:val="18"/>
          <w:szCs w:val="18"/>
          <w:color w:val="auto"/>
        </w:rPr>
        <w:t>In connection with our investment in New Delphi, which we accounted for using the equity method, we recorded our share of New Delphi’s other comprehensive income (loss) in Accumulated other comprehensive income. In the three months ended March 31, 2011 we recorded cash flow hedging gains of $13 million and in the three and six months ended June 30, 2010 we recorded cash flow hedging losses of $30 million and $15 million related to our share of New Delphi’s hedging losses. In March 2011 we sold our interests in New Delphi. As a result, previously recorded cash flow hedging losses of $10 million in Accumulated other comprehensive income were reclassified to earnings and recorded in the gain on sale of New Delphi. Refer to Note 8 for additional information on the sale of New Delphi.</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Financing – GM Financial</w:t>
      </w:r>
    </w:p>
    <w:p>
      <w:pPr>
        <w:spacing w:after="0" w:line="177" w:lineRule="exact"/>
        <w:rPr>
          <w:sz w:val="20"/>
          <w:szCs w:val="20"/>
          <w:color w:val="auto"/>
        </w:rPr>
      </w:pPr>
    </w:p>
    <w:p>
      <w:pPr>
        <w:ind w:right="480" w:firstLine="228"/>
        <w:spacing w:after="0" w:line="268" w:lineRule="auto"/>
        <w:rPr>
          <w:sz w:val="20"/>
          <w:szCs w:val="20"/>
          <w:color w:val="auto"/>
        </w:rPr>
      </w:pPr>
      <w:r>
        <w:rPr>
          <w:rFonts w:ascii="Arial" w:cs="Arial" w:eastAsia="Arial" w:hAnsi="Arial"/>
          <w:sz w:val="18"/>
          <w:szCs w:val="18"/>
          <w:color w:val="auto"/>
        </w:rPr>
        <w:t>GM Financial is exposed to market risks arising from adverse changes in interest rates due to floating interest rate exposure on its credit facilities and on certain securitization notes payable.</w:t>
      </w:r>
    </w:p>
    <w:p>
      <w:pPr>
        <w:spacing w:after="0" w:line="132" w:lineRule="exact"/>
        <w:rPr>
          <w:sz w:val="20"/>
          <w:szCs w:val="20"/>
          <w:color w:val="auto"/>
        </w:rPr>
      </w:pPr>
    </w:p>
    <w:p>
      <w:pPr>
        <w:ind w:right="140" w:firstLine="228"/>
        <w:spacing w:after="0" w:line="268" w:lineRule="auto"/>
        <w:rPr>
          <w:sz w:val="20"/>
          <w:szCs w:val="20"/>
          <w:color w:val="auto"/>
        </w:rPr>
      </w:pPr>
      <w:r>
        <w:rPr>
          <w:rFonts w:ascii="Arial" w:cs="Arial" w:eastAsia="Arial" w:hAnsi="Arial"/>
          <w:sz w:val="18"/>
          <w:szCs w:val="18"/>
          <w:color w:val="auto"/>
        </w:rPr>
        <w:t>The effect of derivative instruments on earnings and Accumulated other comprehensive income was insignificant for the three and six months ended June 30, 2011.</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interest rate swaps, caps and foreign currency exchange derivatives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w w:val="96"/>
              </w:rPr>
              <w:t>June 30, 2011</w:t>
            </w:r>
          </w:p>
        </w:tc>
        <w:tc>
          <w:tcPr>
            <w:tcW w:w="28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38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w w:val="88"/>
              </w:rPr>
              <w:t>December 31, 2010</w:t>
            </w:r>
          </w:p>
        </w:tc>
        <w:tc>
          <w:tcPr>
            <w:tcW w:w="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65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Notional</w:t>
            </w:r>
          </w:p>
        </w:tc>
        <w:tc>
          <w:tcPr>
            <w:tcW w:w="48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Fair Value</w:t>
            </w:r>
          </w:p>
        </w:tc>
        <w:tc>
          <w:tcPr>
            <w:tcW w:w="5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Notional</w:t>
            </w:r>
          </w:p>
        </w:tc>
        <w:tc>
          <w:tcPr>
            <w:tcW w:w="48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Fair Value</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76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 (a)</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Interest rate swaps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792</w:t>
            </w:r>
          </w:p>
        </w:tc>
        <w:tc>
          <w:tcPr>
            <w:tcW w:w="8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$1,227</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23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caps</w:t>
            </w: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1,271</w:t>
            </w:r>
          </w:p>
        </w:tc>
        <w:tc>
          <w:tcPr>
            <w:tcW w:w="4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5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4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r>
      <w:tr>
        <w:trPr>
          <w:trHeight w:val="222"/>
        </w:trPr>
        <w:tc>
          <w:tcPr>
            <w:tcW w:w="766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2,063</w:t>
            </w:r>
          </w:p>
        </w:tc>
        <w:tc>
          <w:tcPr>
            <w:tcW w:w="8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10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2,173</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31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(b)</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Interest rate swaps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792</w:t>
            </w:r>
          </w:p>
        </w:tc>
        <w:tc>
          <w:tcPr>
            <w:tcW w:w="8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$1,227</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47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caps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1,225</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Foreign currency exchange derivatives (c)</w:t>
            </w: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4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4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2,050</w:t>
            </w: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2,108</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Recorded in GM Financial Other assets.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Recorded in GM Financial Other liabilities.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Notional has been translated from Canadian Dollars to U.S. Dollars at the June 30, 2011 and December 31, 2010 rates.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Risk Related Contingent Features</w:t>
      </w:r>
    </w:p>
    <w:p>
      <w:pPr>
        <w:spacing w:after="0" w:line="171" w:lineRule="exact"/>
        <w:rPr>
          <w:sz w:val="20"/>
          <w:szCs w:val="20"/>
          <w:color w:val="auto"/>
        </w:rPr>
      </w:pPr>
    </w:p>
    <w:p>
      <w:pPr>
        <w:ind w:right="100" w:firstLine="228"/>
        <w:spacing w:after="0" w:line="259" w:lineRule="auto"/>
        <w:rPr>
          <w:sz w:val="20"/>
          <w:szCs w:val="20"/>
          <w:color w:val="auto"/>
        </w:rPr>
      </w:pPr>
      <w:r>
        <w:rPr>
          <w:rFonts w:ascii="Arial" w:cs="Arial" w:eastAsia="Arial" w:hAnsi="Arial"/>
          <w:sz w:val="18"/>
          <w:szCs w:val="18"/>
          <w:color w:val="auto"/>
        </w:rPr>
        <w:t>Under the terms of the above derivative financial instruments, GM Financial is required to pledge certain funds to be held in restricted cash accounts as collateral for the outstanding derivative transactions. At June 30, 2011 and December 31, 2010 these restricted cash accounts totaled $37 million and $33 million and are included in GM Financial Restricted cash.</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Commitments and Contingencies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summarize information related to commitments and contingencies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 2011</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5"/>
          </w:tcPr>
          <w:p>
            <w:pPr>
              <w:ind w:left="140"/>
              <w:spacing w:after="0"/>
              <w:rPr>
                <w:sz w:val="20"/>
                <w:szCs w:val="20"/>
                <w:color w:val="auto"/>
              </w:rPr>
            </w:pPr>
            <w:r>
              <w:rPr>
                <w:rFonts w:ascii="Arial" w:cs="Arial" w:eastAsia="Arial" w:hAnsi="Arial"/>
                <w:sz w:val="14"/>
                <w:szCs w:val="14"/>
                <w:b w:val="1"/>
                <w:bCs w:val="1"/>
                <w:color w:val="auto"/>
              </w:rPr>
              <w:t>December 31, 2010</w:t>
            </w:r>
          </w:p>
        </w:tc>
      </w:tr>
      <w:tr>
        <w:trPr>
          <w:trHeight w:val="129"/>
        </w:trPr>
        <w:tc>
          <w:tcPr>
            <w:tcW w:w="70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2"/>
              </w:rPr>
              <w:t>Maximum</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9"/>
              </w:rPr>
              <w:t>Maximum</w:t>
            </w:r>
          </w:p>
        </w:tc>
        <w:tc>
          <w:tcPr>
            <w:tcW w:w="100" w:type="dxa"/>
            <w:vAlign w:val="bottom"/>
          </w:tcPr>
          <w:p>
            <w:pPr>
              <w:spacing w:after="0"/>
              <w:rPr>
                <w:sz w:val="11"/>
                <w:szCs w:val="11"/>
                <w:color w:val="auto"/>
              </w:rPr>
            </w:pPr>
          </w:p>
        </w:tc>
      </w:tr>
      <w:tr>
        <w:trPr>
          <w:trHeight w:val="149"/>
        </w:trPr>
        <w:tc>
          <w:tcPr>
            <w:tcW w:w="7040" w:type="dxa"/>
            <w:vAlign w:val="bottom"/>
          </w:tcPr>
          <w:p>
            <w:pPr>
              <w:spacing w:after="0"/>
              <w:rPr>
                <w:sz w:val="12"/>
                <w:szCs w:val="12"/>
                <w:color w:val="auto"/>
              </w:rPr>
            </w:pP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Liability</w:t>
            </w:r>
          </w:p>
        </w:tc>
        <w:tc>
          <w:tcPr>
            <w:tcW w:w="320" w:type="dxa"/>
            <w:vAlign w:val="bottom"/>
          </w:tcPr>
          <w:p>
            <w:pPr>
              <w:spacing w:after="0"/>
              <w:rPr>
                <w:sz w:val="12"/>
                <w:szCs w:val="12"/>
                <w:color w:val="auto"/>
              </w:rPr>
            </w:pPr>
          </w:p>
        </w:tc>
        <w:tc>
          <w:tcPr>
            <w:tcW w:w="9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Liability</w:t>
            </w:r>
          </w:p>
        </w:tc>
        <w:tc>
          <w:tcPr>
            <w:tcW w:w="32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8"/>
              </w:rPr>
              <w:t>Liability</w:t>
            </w:r>
          </w:p>
        </w:tc>
        <w:tc>
          <w:tcPr>
            <w:tcW w:w="660" w:type="dxa"/>
            <w:vAlign w:val="bottom"/>
          </w:tcPr>
          <w:p>
            <w:pPr>
              <w:spacing w:after="0"/>
              <w:rPr>
                <w:sz w:val="12"/>
                <w:szCs w:val="12"/>
                <w:color w:val="auto"/>
              </w:rPr>
            </w:pPr>
          </w:p>
        </w:tc>
        <w:tc>
          <w:tcPr>
            <w:tcW w:w="7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Liability</w:t>
            </w:r>
          </w:p>
        </w:tc>
      </w:tr>
      <w:tr>
        <w:trPr>
          <w:trHeight w:val="161"/>
        </w:trPr>
        <w:tc>
          <w:tcPr>
            <w:tcW w:w="704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Recorded</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1"/>
              </w:rPr>
              <w:t>(a)</w:t>
            </w:r>
          </w:p>
        </w:tc>
        <w:tc>
          <w:tcPr>
            <w:tcW w:w="32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w w:val="83"/>
              </w:rPr>
              <w:t>Recorded</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w:t>
            </w:r>
          </w:p>
        </w:tc>
      </w:tr>
      <w:tr>
        <w:trPr>
          <w:trHeight w:val="196"/>
        </w:trPr>
        <w:tc>
          <w:tcPr>
            <w:tcW w:w="7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Guarantees (b)</w:t>
            </w:r>
          </w:p>
        </w:tc>
        <w:tc>
          <w:tcPr>
            <w:tcW w:w="2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Operating leases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29</w:t>
            </w:r>
          </w:p>
        </w:tc>
        <w:tc>
          <w:tcPr>
            <w:tcW w:w="5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7</w:t>
            </w:r>
          </w:p>
        </w:tc>
        <w:tc>
          <w:tcPr>
            <w:tcW w:w="8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Ally Financial commercial loans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Supplier commitments, third party commercial loans and other obligations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7</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187</w:t>
            </w:r>
          </w:p>
        </w:tc>
        <w:tc>
          <w:tcPr>
            <w:tcW w:w="5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Other product-related claims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863</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Calculated as future undiscounted payments.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Excludes residual support and risk sharing programs and vehicle repurchase obligations related to Ally Financial.</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2011</w:t>
            </w:r>
          </w:p>
        </w:tc>
        <w:tc>
          <w:tcPr>
            <w:tcW w:w="50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1"/>
              </w:rPr>
              <w:t>December 31, 2010</w:t>
            </w:r>
          </w:p>
        </w:tc>
      </w:tr>
      <w:tr>
        <w:trPr>
          <w:trHeight w:val="142"/>
        </w:trPr>
        <w:tc>
          <w:tcPr>
            <w:tcW w:w="1160" w:type="dxa"/>
            <w:vAlign w:val="bottom"/>
            <w:tcBorders>
              <w:bottom w:val="single" w:sz="8" w:color="CCEEFF"/>
            </w:tcBorders>
          </w:tcPr>
          <w:p>
            <w:pPr>
              <w:spacing w:after="0"/>
              <w:rPr>
                <w:sz w:val="12"/>
                <w:szCs w:val="12"/>
                <w:color w:val="auto"/>
              </w:rPr>
            </w:pPr>
          </w:p>
        </w:tc>
        <w:tc>
          <w:tcPr>
            <w:tcW w:w="7000" w:type="dxa"/>
            <w:vAlign w:val="bottom"/>
            <w:tcBorders>
              <w:bottom w:val="single" w:sz="8" w:color="CCEEFF"/>
            </w:tcBorders>
          </w:tcPr>
          <w:p>
            <w:pPr>
              <w:spacing w:after="0"/>
              <w:rPr>
                <w:sz w:val="12"/>
                <w:szCs w:val="12"/>
                <w:color w:val="auto"/>
              </w:rPr>
            </w:pPr>
          </w:p>
        </w:tc>
        <w:tc>
          <w:tcPr>
            <w:tcW w:w="110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7"/>
              </w:rPr>
              <w:t>Liability Recorded</w:t>
            </w:r>
          </w:p>
        </w:tc>
        <w:tc>
          <w:tcPr>
            <w:tcW w:w="48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108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7"/>
              </w:rPr>
              <w:t>Liability Recorded</w:t>
            </w:r>
          </w:p>
        </w:tc>
        <w:tc>
          <w:tcPr>
            <w:tcW w:w="100" w:type="dxa"/>
            <w:vAlign w:val="bottom"/>
            <w:tcBorders>
              <w:bottom w:val="single" w:sz="8" w:color="CCEEFF"/>
            </w:tcBorders>
          </w:tcPr>
          <w:p>
            <w:pPr>
              <w:spacing w:after="0"/>
              <w:rPr>
                <w:sz w:val="12"/>
                <w:szCs w:val="12"/>
                <w:color w:val="auto"/>
              </w:rPr>
            </w:pPr>
          </w:p>
        </w:tc>
      </w:tr>
      <w:tr>
        <w:trPr>
          <w:trHeight w:val="210"/>
        </w:trPr>
        <w:tc>
          <w:tcPr>
            <w:tcW w:w="8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Environmental liability (a)</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8"/>
                <w:szCs w:val="18"/>
                <w:color w:val="auto"/>
              </w:rPr>
            </w:pPr>
          </w:p>
        </w:tc>
      </w:tr>
      <w:tr>
        <w:trPr>
          <w:trHeight w:val="216"/>
        </w:trPr>
        <w:tc>
          <w:tcPr>
            <w:tcW w:w="8160" w:type="dxa"/>
            <w:vAlign w:val="bottom"/>
            <w:gridSpan w:val="2"/>
          </w:tcPr>
          <w:p>
            <w:pPr>
              <w:spacing w:after="0"/>
              <w:rPr>
                <w:sz w:val="20"/>
                <w:szCs w:val="20"/>
                <w:color w:val="auto"/>
              </w:rPr>
            </w:pPr>
            <w:r>
              <w:rPr>
                <w:rFonts w:ascii="Arial" w:cs="Arial" w:eastAsia="Arial" w:hAnsi="Arial"/>
                <w:sz w:val="18"/>
                <w:szCs w:val="18"/>
                <w:color w:val="auto"/>
              </w:rPr>
              <w:t>Product liability</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419</w:t>
            </w:r>
          </w:p>
        </w:tc>
        <w:tc>
          <w:tcPr>
            <w:tcW w:w="880" w:type="dxa"/>
            <w:vAlign w:val="bottom"/>
            <w:gridSpan w:val="2"/>
          </w:tcPr>
          <w:p>
            <w:pPr>
              <w:jc w:val="right"/>
              <w:ind w:right="229"/>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18"/>
                <w:szCs w:val="18"/>
                <w:color w:val="auto"/>
              </w:rPr>
            </w:pPr>
          </w:p>
        </w:tc>
      </w:tr>
      <w:tr>
        <w:trPr>
          <w:trHeight w:val="216"/>
        </w:trPr>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litigation-related liabilities and tax administrative matters (b)</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1,630</w:t>
            </w:r>
          </w:p>
        </w:tc>
        <w:tc>
          <w:tcPr>
            <w:tcW w:w="880" w:type="dxa"/>
            <w:vAlign w:val="bottom"/>
            <w:gridSpan w:val="2"/>
            <w:shd w:val="clear" w:color="auto" w:fill="CCEEFF"/>
          </w:tcPr>
          <w:p>
            <w:pPr>
              <w:jc w:val="right"/>
              <w:ind w:right="229"/>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100" w:type="dxa"/>
            <w:vAlign w:val="bottom"/>
            <w:shd w:val="clear" w:color="auto" w:fill="CCEEFF"/>
          </w:tcPr>
          <w:p>
            <w:pPr>
              <w:spacing w:after="0"/>
              <w:rPr>
                <w:sz w:val="18"/>
                <w:szCs w:val="18"/>
                <w:color w:val="auto"/>
              </w:rPr>
            </w:pPr>
          </w:p>
        </w:tc>
      </w:tr>
      <w:tr>
        <w:trPr>
          <w:trHeight w:val="95"/>
        </w:trPr>
        <w:tc>
          <w:tcPr>
            <w:tcW w:w="1160" w:type="dxa"/>
            <w:vAlign w:val="bottom"/>
            <w:tcBorders>
              <w:bottom w:val="single" w:sz="8" w:color="auto"/>
            </w:tcBorders>
          </w:tcPr>
          <w:p>
            <w:pPr>
              <w:spacing w:after="0"/>
              <w:rPr>
                <w:sz w:val="8"/>
                <w:szCs w:val="8"/>
                <w:color w:val="auto"/>
              </w:rPr>
            </w:pPr>
          </w:p>
        </w:tc>
        <w:tc>
          <w:tcPr>
            <w:tcW w:w="7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32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$36 million and $45 million recorded in Accrued liabilities at June 30, 2011 and December 31, 2010, and the remainder was recorded in Other liabilities and deferred income taxes.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460" w:right="36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Consists primarily of tax related litigation and administrative matters not recorded pursuant to ASC 740, “Income Taxes” (ASC 740) as well as various non-U.S. labor related matters.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177" w:lineRule="exact"/>
        <w:rPr>
          <w:sz w:val="20"/>
          <w:szCs w:val="20"/>
          <w:color w:val="auto"/>
        </w:rPr>
      </w:pPr>
    </w:p>
    <w:p>
      <w:pPr>
        <w:ind w:right="120" w:firstLine="228"/>
        <w:spacing w:after="0" w:line="268" w:lineRule="auto"/>
        <w:rPr>
          <w:sz w:val="20"/>
          <w:szCs w:val="20"/>
          <w:color w:val="auto"/>
        </w:rPr>
      </w:pPr>
      <w:r>
        <w:rPr>
          <w:rFonts w:ascii="Arial" w:cs="Arial" w:eastAsia="Arial" w:hAnsi="Arial"/>
          <w:sz w:val="18"/>
          <w:szCs w:val="18"/>
          <w:color w:val="auto"/>
        </w:rPr>
        <w:t>We have provided guarantees related to the residual value of certain operating leases. These guarantees terminate in years ranging from 2011 to 2035. Certain leases contain renewal options.</w:t>
      </w:r>
    </w:p>
    <w:p>
      <w:pPr>
        <w:spacing w:after="0" w:line="132" w:lineRule="exact"/>
        <w:rPr>
          <w:sz w:val="20"/>
          <w:szCs w:val="20"/>
          <w:color w:val="auto"/>
        </w:rPr>
      </w:pPr>
    </w:p>
    <w:p>
      <w:pPr>
        <w:ind w:right="120" w:firstLine="228"/>
        <w:spacing w:after="0" w:line="256" w:lineRule="auto"/>
        <w:rPr>
          <w:sz w:val="20"/>
          <w:szCs w:val="20"/>
          <w:color w:val="auto"/>
        </w:rPr>
      </w:pPr>
      <w:r>
        <w:rPr>
          <w:rFonts w:ascii="Arial" w:cs="Arial" w:eastAsia="Arial" w:hAnsi="Arial"/>
          <w:sz w:val="18"/>
          <w:szCs w:val="18"/>
          <w:color w:val="auto"/>
        </w:rPr>
        <w:t>We provide payment guarantees on commercial loans made by Ally Financial and outstanding with certain third parties, such as dealers or rental car companies. These guarantees either expire in 2029 or are ongoing. We determined the fair value ascribed to the guarantees at inception and subsequent to inception to be insignificant based on the credit worthiness of the third parties. Refer to Note 24 for additional information on guarantees that we provide to Ally Financial.</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We have agreements with third parties that guarantee the fulfillment of certain suppliers’ commitments, third party commercial loans and other obligations.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These guarantees expire in years ranging from 2011 to 2018 or upon the occurrence of specific events.</w:t>
      </w:r>
    </w:p>
    <w:p>
      <w:pPr>
        <w:spacing w:after="0" w:line="165" w:lineRule="exact"/>
        <w:rPr>
          <w:sz w:val="20"/>
          <w:szCs w:val="20"/>
          <w:color w:val="auto"/>
        </w:rPr>
      </w:pPr>
    </w:p>
    <w:p>
      <w:pPr>
        <w:jc w:val="both"/>
        <w:ind w:right="120" w:firstLine="228"/>
        <w:spacing w:after="0" w:line="259" w:lineRule="auto"/>
        <w:rPr>
          <w:sz w:val="20"/>
          <w:szCs w:val="20"/>
          <w:color w:val="auto"/>
        </w:rPr>
      </w:pPr>
      <w:r>
        <w:rPr>
          <w:rFonts w:ascii="Arial" w:cs="Arial" w:eastAsia="Arial" w:hAnsi="Arial"/>
          <w:sz w:val="18"/>
          <w:szCs w:val="18"/>
          <w:color w:val="auto"/>
        </w:rPr>
        <w:t>In some instances, certain assets of the party whose debt or performance we have guaranteed may offset, to some degree, the cost of the guarantee. The offset of certain of our payables to guaranteed parties may also offset certain guarantees, if triggered. At June 30, 2011 any proceeds we would receive from collateral were insignificant.</w:t>
      </w:r>
    </w:p>
    <w:p>
      <w:pPr>
        <w:spacing w:after="0" w:line="140" w:lineRule="exact"/>
        <w:rPr>
          <w:sz w:val="20"/>
          <w:szCs w:val="20"/>
          <w:color w:val="auto"/>
        </w:rPr>
      </w:pPr>
    </w:p>
    <w:p>
      <w:pPr>
        <w:ind w:firstLine="228"/>
        <w:spacing w:after="0" w:line="291" w:lineRule="auto"/>
        <w:rPr>
          <w:sz w:val="20"/>
          <w:szCs w:val="20"/>
          <w:color w:val="auto"/>
        </w:rPr>
      </w:pPr>
      <w:r>
        <w:rPr>
          <w:rFonts w:ascii="Arial" w:cs="Arial" w:eastAsia="Arial" w:hAnsi="Arial"/>
          <w:sz w:val="16"/>
          <w:szCs w:val="16"/>
          <w:color w:val="auto"/>
        </w:rPr>
        <w:t>In connection with certain divestitures of assets or operating businesses, we have entered into agreements indemnifying certain buyers and other parties with respect to environmental conditions pertaining to real property we owned. We have provided guarantees with respect to benefits to be paid to former employees of divested businesses relating to pensions, postretirement healthcare and life insurance. We periodically enter into agreements that incorporate indemnification provisions in the normal course of business. It is not possible to estimate our maximum exposure under these indemnifications or guarantees due to the conditional nature of these obligations. No amounts have been recorded for such obligations as they are not probable or estimable at this time, and the fair value of the guarantees at issuance was insignificant.</w:t>
      </w:r>
    </w:p>
    <w:p>
      <w:pPr>
        <w:spacing w:after="0" w:line="120" w:lineRule="exact"/>
        <w:rPr>
          <w:sz w:val="20"/>
          <w:szCs w:val="20"/>
          <w:color w:val="auto"/>
        </w:rPr>
      </w:pPr>
    </w:p>
    <w:p>
      <w:pPr>
        <w:ind w:right="80" w:firstLine="228"/>
        <w:spacing w:after="0" w:line="256" w:lineRule="auto"/>
        <w:rPr>
          <w:sz w:val="20"/>
          <w:szCs w:val="20"/>
          <w:color w:val="auto"/>
        </w:rPr>
      </w:pPr>
      <w:r>
        <w:rPr>
          <w:rFonts w:ascii="Arial" w:cs="Arial" w:eastAsia="Arial" w:hAnsi="Arial"/>
          <w:sz w:val="18"/>
          <w:szCs w:val="18"/>
          <w:color w:val="auto"/>
        </w:rPr>
        <w:t>In addition to the guarantees and indemnifying agreements mentioned previously, we periodically enter into agreements that incorporate indemnification provisions in the normal course of business. Due to the nature of these agreements, the maximum potential amount of future undiscounted payments to which we may be exposed cannot be estimated. No amounts have been recorded for such indemnities as our obligations under them are not probable or estimable at this time, and the fair value of the guarantees at issuance was insignificant.</w:t>
      </w:r>
    </w:p>
    <w:p>
      <w:pPr>
        <w:spacing w:after="0" w:line="143" w:lineRule="exact"/>
        <w:rPr>
          <w:sz w:val="20"/>
          <w:szCs w:val="20"/>
          <w:color w:val="auto"/>
        </w:rPr>
      </w:pPr>
    </w:p>
    <w:p>
      <w:pPr>
        <w:ind w:right="800" w:firstLine="228"/>
        <w:spacing w:after="0" w:line="268" w:lineRule="auto"/>
        <w:rPr>
          <w:sz w:val="20"/>
          <w:szCs w:val="20"/>
          <w:color w:val="auto"/>
        </w:rPr>
      </w:pPr>
      <w:r>
        <w:rPr>
          <w:rFonts w:ascii="Arial" w:cs="Arial" w:eastAsia="Arial" w:hAnsi="Arial"/>
          <w:sz w:val="18"/>
          <w:szCs w:val="18"/>
          <w:color w:val="auto"/>
        </w:rPr>
        <w:t>In addition to the guarantees and indemnifying agreements previously discussed, we indemnify dealers for certain product liability related claims as subsequently discussed.</w:t>
      </w:r>
    </w:p>
    <w:p>
      <w:pPr>
        <w:spacing w:after="0" w:line="132" w:lineRule="exact"/>
        <w:rPr>
          <w:sz w:val="20"/>
          <w:szCs w:val="20"/>
          <w:color w:val="auto"/>
        </w:rPr>
      </w:pPr>
    </w:p>
    <w:p>
      <w:pPr>
        <w:ind w:right="140" w:firstLine="228"/>
        <w:spacing w:after="0" w:line="268" w:lineRule="auto"/>
        <w:rPr>
          <w:sz w:val="20"/>
          <w:szCs w:val="20"/>
          <w:color w:val="auto"/>
        </w:rPr>
      </w:pPr>
      <w:r>
        <w:rPr>
          <w:rFonts w:ascii="Arial" w:cs="Arial" w:eastAsia="Arial" w:hAnsi="Arial"/>
          <w:sz w:val="18"/>
          <w:szCs w:val="18"/>
          <w:color w:val="auto"/>
        </w:rPr>
        <w:t>With respect to other product-related claims involving products manufactured by certain joint ventures, we believe that costs incurred are adequately covered by recorded accruals. These guarantees terminate in years ranging from 2020 to 2026.</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Liability</w:t>
      </w:r>
    </w:p>
    <w:p>
      <w:pPr>
        <w:spacing w:after="0" w:line="177" w:lineRule="exact"/>
        <w:rPr>
          <w:sz w:val="20"/>
          <w:szCs w:val="20"/>
          <w:color w:val="auto"/>
        </w:rPr>
      </w:pPr>
    </w:p>
    <w:p>
      <w:pPr>
        <w:ind w:right="160" w:firstLine="228"/>
        <w:spacing w:after="0" w:line="323" w:lineRule="auto"/>
        <w:rPr>
          <w:sz w:val="20"/>
          <w:szCs w:val="20"/>
          <w:color w:val="auto"/>
        </w:rPr>
      </w:pPr>
      <w:r>
        <w:rPr>
          <w:rFonts w:ascii="Arial" w:cs="Arial" w:eastAsia="Arial" w:hAnsi="Arial"/>
          <w:sz w:val="15"/>
          <w:szCs w:val="15"/>
          <w:color w:val="auto"/>
        </w:rPr>
        <w:t>Automotive operations, like operations of other companies engaged in similar businesses, are subject to a wide range of environmental protection laws, including laws regulating air emissions, water discharges, waste management and environmental remediation. We are in various stages of investigation or remediation for sites where contamination has been alleged. We are involved in a number of actions to remediate hazardous wastes as required by federal and state laws. Such statutes require that responsible parties fund remediation actions regardless of fault, legality of original disposal or ownership of a disposal site.</w:t>
      </w:r>
    </w:p>
    <w:p>
      <w:pPr>
        <w:spacing w:after="0" w:line="98" w:lineRule="exact"/>
        <w:rPr>
          <w:sz w:val="20"/>
          <w:szCs w:val="20"/>
          <w:color w:val="auto"/>
        </w:rPr>
      </w:pPr>
    </w:p>
    <w:p>
      <w:pPr>
        <w:ind w:right="60" w:firstLine="228"/>
        <w:spacing w:after="0" w:line="256" w:lineRule="auto"/>
        <w:rPr>
          <w:sz w:val="20"/>
          <w:szCs w:val="20"/>
          <w:color w:val="auto"/>
        </w:rPr>
      </w:pPr>
      <w:r>
        <w:rPr>
          <w:rFonts w:ascii="Arial" w:cs="Arial" w:eastAsia="Arial" w:hAnsi="Arial"/>
          <w:sz w:val="18"/>
          <w:szCs w:val="18"/>
          <w:color w:val="auto"/>
        </w:rPr>
        <w:t>The future effect of environmental matters, including potential liabilities, is often difficult to estimate. An environmental reserve is recorded when it is probable that a liability has been incurred and the amount of the liability can be reasonably estimated. This practice is followed whether the claims are asserted or unasserted. Liabilities have been recorded for the expected costs to be paid over the periods of remediation for the applicable sites, which typically range from 5 to 30 years.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20" w:firstLine="228"/>
        <w:spacing w:after="0" w:line="256" w:lineRule="auto"/>
        <w:rPr>
          <w:sz w:val="20"/>
          <w:szCs w:val="20"/>
          <w:color w:val="auto"/>
        </w:rPr>
      </w:pPr>
      <w:r>
        <w:rPr>
          <w:rFonts w:ascii="Arial" w:cs="Arial" w:eastAsia="Arial" w:hAnsi="Arial"/>
          <w:sz w:val="18"/>
          <w:szCs w:val="18"/>
          <w:color w:val="auto"/>
        </w:rPr>
        <w:t>For many sites, the remediation costs and other damages for which we ultimately may be responsible may vary because of uncertainties with respect to factors such as the connection to the site or to materials there, the involvement of other potentially responsible parties, the application of laws and other standards or regulations, site conditions and the nature and scope of investigations, studies and remediation to be undertaken (including the technologies to be required and the extent, duration and success of remediation).</w:t>
      </w:r>
    </w:p>
    <w:p>
      <w:pPr>
        <w:spacing w:after="0" w:line="143" w:lineRule="exact"/>
        <w:rPr>
          <w:sz w:val="20"/>
          <w:szCs w:val="20"/>
          <w:color w:val="auto"/>
        </w:rPr>
      </w:pPr>
    </w:p>
    <w:p>
      <w:pPr>
        <w:ind w:right="140" w:firstLine="228"/>
        <w:spacing w:after="0" w:line="259" w:lineRule="auto"/>
        <w:rPr>
          <w:sz w:val="20"/>
          <w:szCs w:val="20"/>
          <w:color w:val="auto"/>
        </w:rPr>
      </w:pPr>
      <w:r>
        <w:rPr>
          <w:rFonts w:ascii="Arial" w:cs="Arial" w:eastAsia="Arial" w:hAnsi="Arial"/>
          <w:sz w:val="18"/>
          <w:szCs w:val="18"/>
          <w:color w:val="auto"/>
        </w:rPr>
        <w:t>The final outcome of environmental matters cannot be predicted with certainty at this time. Accordingly, it is possible that the resolution of one or more environmental matters could exceed the amounts accrued in an amount that could be material to our financial condition, results of operations and cash flows. At June 30, 2011 we estimate the remediation losses could range from $145 million to $360 million.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w:t>
      </w:r>
    </w:p>
    <w:p>
      <w:pPr>
        <w:spacing w:after="0" w:line="177" w:lineRule="exact"/>
        <w:rPr>
          <w:sz w:val="20"/>
          <w:szCs w:val="20"/>
          <w:color w:val="auto"/>
        </w:rPr>
      </w:pPr>
    </w:p>
    <w:p>
      <w:pPr>
        <w:ind w:firstLine="228"/>
        <w:spacing w:after="0" w:line="294" w:lineRule="auto"/>
        <w:rPr>
          <w:sz w:val="20"/>
          <w:szCs w:val="20"/>
          <w:color w:val="auto"/>
        </w:rPr>
      </w:pPr>
      <w:r>
        <w:rPr>
          <w:rFonts w:ascii="Arial" w:cs="Arial" w:eastAsia="Arial" w:hAnsi="Arial"/>
          <w:sz w:val="16"/>
          <w:szCs w:val="16"/>
          <w:color w:val="auto"/>
        </w:rPr>
        <w:t>With respect to product liability claims involving our and Old GM’s products, it is believed that any judgment against us for actual damages will be adequately covered by our recorded accruals and, where applicable, excess insurance coverage. Although punitive damages are claimed in some of these lawsuits, and such claims are inherently unpredictable, accruals incorporate historic experience with these types of claims. Liabilities have been recorded for the expected cost of all known product liability claims plus an estimate of the expected cost for all product liability claims that have already been incurred and are expected to be filed in the future for which we are self-insured. These amounts were recorded in Accrued liabilities.</w:t>
      </w:r>
    </w:p>
    <w:p>
      <w:pPr>
        <w:spacing w:after="0" w:line="116" w:lineRule="exact"/>
        <w:rPr>
          <w:sz w:val="20"/>
          <w:szCs w:val="20"/>
          <w:color w:val="auto"/>
        </w:rPr>
      </w:pPr>
    </w:p>
    <w:p>
      <w:pPr>
        <w:ind w:right="120" w:firstLine="228"/>
        <w:spacing w:after="0" w:line="290" w:lineRule="auto"/>
        <w:rPr>
          <w:sz w:val="20"/>
          <w:szCs w:val="20"/>
          <w:color w:val="auto"/>
        </w:rPr>
      </w:pPr>
      <w:r>
        <w:rPr>
          <w:rFonts w:ascii="Arial" w:cs="Arial" w:eastAsia="Arial" w:hAnsi="Arial"/>
          <w:sz w:val="16"/>
          <w:szCs w:val="16"/>
          <w:color w:val="auto"/>
        </w:rPr>
        <w:t>In accordance with our assumption from MLC of dealer sales and service agreements, we indemnify dealers for certain product liability related claims. Our experience related to dealer indemnification obligations where we are not a party arising from incidents prior to July 10, 2009 is limited. We monitor actual claims experience for consistency with this estimate and make periodic adjustments as appropriate. Since July 10, 2009, the volume of product liability claims against us has been less than projected. In addition, as of this time due to the relatively short period for which we have been directly responsible for such claims, we have fewer pending matters than Old GM had in the past and than we expect in the future. Based on both management judgments concerning the projected number and value of both dealer indemnification obligations and product liability claims against us, we have estimated the associated liability. We expect our product liability reserve to rise in future periods as new claims arise from incidents subsequent to July 9, 2009.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Litigation-Related Liability and Tax Administrative Matters</w:t>
      </w:r>
    </w:p>
    <w:p>
      <w:pPr>
        <w:spacing w:after="0" w:line="177" w:lineRule="exact"/>
        <w:rPr>
          <w:sz w:val="20"/>
          <w:szCs w:val="20"/>
          <w:color w:val="auto"/>
        </w:rPr>
      </w:pPr>
    </w:p>
    <w:p>
      <w:pPr>
        <w:jc w:val="both"/>
        <w:ind w:right="320" w:firstLine="228"/>
        <w:spacing w:after="0" w:line="335" w:lineRule="auto"/>
        <w:rPr>
          <w:sz w:val="20"/>
          <w:szCs w:val="20"/>
          <w:color w:val="auto"/>
        </w:rPr>
      </w:pPr>
      <w:r>
        <w:rPr>
          <w:rFonts w:ascii="Arial" w:cs="Arial" w:eastAsia="Arial" w:hAnsi="Arial"/>
          <w:sz w:val="15"/>
          <w:szCs w:val="15"/>
          <w:color w:val="auto"/>
        </w:rPr>
        <w:t>Various legal actions, governmental investigations, claims and proceedings are pending against us including matters arising out of alleged product defects, including asbestos-related claims; employment-related matters; governmental regulations relating to safety, emissions, and fuel economy; product warranties; financial services; dealer, supplier and other contractual relationships; tax-related matters not recorded pursuant to ASC 740 and environmental matters.</w:t>
      </w:r>
    </w:p>
    <w:p>
      <w:pPr>
        <w:spacing w:after="0" w:line="88" w:lineRule="exact"/>
        <w:rPr>
          <w:sz w:val="20"/>
          <w:szCs w:val="20"/>
          <w:color w:val="auto"/>
        </w:rPr>
      </w:pPr>
    </w:p>
    <w:p>
      <w:pPr>
        <w:ind w:right="20" w:firstLine="228"/>
        <w:spacing w:after="0" w:line="287" w:lineRule="auto"/>
        <w:rPr>
          <w:sz w:val="20"/>
          <w:szCs w:val="20"/>
          <w:color w:val="auto"/>
        </w:rPr>
      </w:pPr>
      <w:r>
        <w:rPr>
          <w:rFonts w:ascii="Arial" w:cs="Arial" w:eastAsia="Arial" w:hAnsi="Arial"/>
          <w:sz w:val="16"/>
          <w:szCs w:val="16"/>
          <w:color w:val="auto"/>
        </w:rPr>
        <w:t>With regard to the litigation matters discussed in the previous paragraph, reserves have been established for matters in which it is believed that losses are probable and can be reasonably estimated, the majority of which are associated with tax-related matters not recorded pursuant to ASC 740 as well as various non-U.S. labor-related matters. Tax related matters not recorded pursuant to ASC 740 (indirect tax-related matters) are items being litigated globally pertaining to value added taxes, customs, duties, sales, property taxes and other non-income tax related tax exposures. The various non-U.S. labor-related matters include claims from current and former employees related to alleged unpaid wage, benefit, severance, and other compensation matters. Certain South American administrative proceedings are indirect tax-related and may require that we deposit funds in escrow; such escrow deposits may range from $640 million to $850 million. Some of the matters may involve compensatory, punitive, or other treble damage claims, environmental remediation programs, or sanctions, that if granted, could require us to pay damages or make other expenditures in amounts that could not be reasonably estimated at June 30, 2011. We believe that appropriate accruals have been established for such matters based on information currently available. Reserves for litigation losses are recorded in Accrued liabilities and Other liabilities and deferred income taxes. These accrued reserves represent the best estimate of amounts believed to be our liability in a range of</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expected losses. Litigation is inherently unpredictable, however, and unfavorable resolutions could occur. Accordingly, it is possible that an adverse outcome from such proceedings could exceed the amounts accrued in an amount that could be material to our financial condition, results of operations and cash flows in any particular reporting period.</w:t>
      </w:r>
    </w:p>
    <w:p>
      <w:pPr>
        <w:spacing w:after="0" w:line="140" w:lineRule="exact"/>
        <w:rPr>
          <w:sz w:val="20"/>
          <w:szCs w:val="20"/>
          <w:color w:val="auto"/>
        </w:rPr>
      </w:pPr>
    </w:p>
    <w:p>
      <w:pPr>
        <w:ind w:right="140" w:firstLine="228"/>
        <w:spacing w:after="0" w:line="289" w:lineRule="auto"/>
        <w:rPr>
          <w:sz w:val="20"/>
          <w:szCs w:val="20"/>
          <w:color w:val="auto"/>
        </w:rPr>
      </w:pPr>
      <w:r>
        <w:rPr>
          <w:rFonts w:ascii="Arial" w:cs="Arial" w:eastAsia="Arial" w:hAnsi="Arial"/>
          <w:sz w:val="16"/>
          <w:szCs w:val="16"/>
          <w:color w:val="auto"/>
        </w:rPr>
        <w:t>Commencing on or about September 29, 2010, current and former hourly employees of GM Korea, our majority-owned affiliate in the Republic of Korea, filed six separate group actions in the Incheon District Court in Incheon, Korea. The cases allege that GM Korea failed to include certain allowances in its calculation of Ordinary Wages due under the Presidential Decree of the Korean Labor Standards Act. Similar cases have been brought against other large employers in the Republic of Korea. GM Korea’s accrual balance at June 30, 2011 was 128 billion Korean Won (equivalent to $119 million) in connection with these cases. The current estimate of the value of plaintiffs’ claim, if allowed in full, exceeds the accrual by 494 billion Korean Won (equivalent to $459 million). GM Korea believes the claims are without merit but, given the inherent uncertainties of the litigation process and further uncertainties arising because this litigation is at its earliest stages, this amount represents the high end of the range of reasonably possible liability exposure. Both the scope of claims asserted and GM Korea’s assessment of any or all of individual claim elements may change. This accrual is included in the reserves for non-U.S. labor-related matters.</w:t>
      </w:r>
    </w:p>
    <w:p>
      <w:pPr>
        <w:spacing w:after="0" w:line="118" w:lineRule="exact"/>
        <w:rPr>
          <w:sz w:val="20"/>
          <w:szCs w:val="20"/>
          <w:color w:val="auto"/>
        </w:rPr>
      </w:pPr>
    </w:p>
    <w:p>
      <w:pPr>
        <w:ind w:right="20" w:firstLine="228"/>
        <w:spacing w:after="0" w:line="284" w:lineRule="auto"/>
        <w:rPr>
          <w:sz w:val="20"/>
          <w:szCs w:val="20"/>
          <w:color w:val="auto"/>
        </w:rPr>
      </w:pPr>
      <w:r>
        <w:rPr>
          <w:rFonts w:ascii="Arial" w:cs="Arial" w:eastAsia="Arial" w:hAnsi="Arial"/>
          <w:sz w:val="16"/>
          <w:szCs w:val="16"/>
          <w:color w:val="auto"/>
        </w:rPr>
        <w:t>On February 12, 2010 a claim was filed in the Ontario Superior Court of Justice against GMCL on behalf of a purported class of over 200 former Canadian GMCL dealers (the Plaintiff Dealers) which had entered into wind-down agreements with GMCL. In May 2009, in the context of the global restructuring of the business and the possibility that GMCL might be required to initiate insolvency proceedings, GMCL offered the Plaintiff Dealers the wind-down agreements to assist with their exit from the GMCL Canadian dealer network and to facilitate winding down their operations in an orderly fashion by December 31, 2009 or such other date as GMCL approved but no later than upon the expiration of the Plaintiff Dealers’ Dealer Sales and Service Agreements (DSSAs) on October 31, 2010. The Plaintiff Dealers allege that the DSSAs were wrongly terminated by GMCL and that GMCL failed to comply with certain disclosure obligations, breached its statutory duty of fair dealing and unlawfully interfered with the Plaintiff Dealers’ statutory right to associate in an attempt to coerce the Plaintiff Dealers into accepting the wind-down agreements. The Plaintiff Dealers seek damages and assert that the wind-down agreements are rescindable. The Plaintiff Dealers’ initial pleading makes reference to a claim “not exceeding” CAD $750 million, without explanation of any specific measure of damages. On March 1, 2011 the Court approved certification of a class for the purpose of deciding a number of specifically defined issues, including: (1) whether GMCL breached its obligation of “good faith” in offering the wind-down agreements; (2) whether GMCL interfered with the Plaintiff Dealers’ rights of free association; (3) whether GMCL was obligated to provide a disclosure statement and/or disclose more specific information regarding its restructuring plans in connection with proffering the wind-down agreements; and (4) assuming liability, whether the Plaintiff Dealers can recover damages in the aggregate (as opposed to proving individual damages). On June 22, 2011 the court granted GMCL permission to appeal the class certification decision. At this juncture, the prospects for liability are uncertain, but because liability is not deemed probable, we have no accrual relating to this litigation. In addition, we cannot estimate the range of reasonably possible loss in the event of liability, as the case presents a variety of different legal theories, none of which GMCL believes are valid, on behalf of a large number of Plaintiff Dealers, each of which presents substantial differences in underlying facts and circumstances which GMCL believes should affect both potential liability and recoverable damages, if any, on an individual basis.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Liability Related to Contingently Issuable Shares</w:t>
      </w:r>
    </w:p>
    <w:p>
      <w:pPr>
        <w:spacing w:after="0" w:line="177" w:lineRule="exact"/>
        <w:rPr>
          <w:sz w:val="20"/>
          <w:szCs w:val="20"/>
          <w:color w:val="auto"/>
        </w:rPr>
      </w:pPr>
    </w:p>
    <w:p>
      <w:pPr>
        <w:jc w:val="both"/>
        <w:ind w:firstLine="228"/>
        <w:spacing w:after="0" w:line="303" w:lineRule="auto"/>
        <w:rPr>
          <w:sz w:val="20"/>
          <w:szCs w:val="20"/>
          <w:color w:val="auto"/>
        </w:rPr>
      </w:pPr>
      <w:r>
        <w:rPr>
          <w:rFonts w:ascii="Arial" w:cs="Arial" w:eastAsia="Arial" w:hAnsi="Arial"/>
          <w:sz w:val="15"/>
          <w:szCs w:val="15"/>
          <w:color w:val="auto"/>
        </w:rPr>
        <w:t>Under the Amended and Restated Master Sale and Purchase Agreement, as amended between us and Old GM and certain of its direct and indirect subsidiaries, we are obligated to issue additional shares of our common stock to MLC (Adjustment Shares) in the event that allowed general unsecured claims against MLC, as estimated by the U.S. Bankruptcy Court for the Southern District of New York, exceed $35.0 billion. The maximum number of Adjustment Shares issuable is</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30 million shares (subject to adjustment to take into account stock dividends, stock splits and other transactions). The number of Adjustment Shares to be issued is calculated based on the extent to which estimated general unsecured claims exceed $35.0 billion with the maximum number of Adjustment Shares issued if estimated general unsecured claims total $42.0 billion or more. At June 30, 2011 and December 31, 2010 we concluded it was not probable that general unsecured claims would exceed $35.0 billion. We believe it is reasonably possible that general unsecured claims allowed against MLC will range between $32.5 billion and $36.0 billion.</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GME Planned Spending Guarantee</w:t>
      </w:r>
    </w:p>
    <w:p>
      <w:pPr>
        <w:spacing w:after="0" w:line="177" w:lineRule="exact"/>
        <w:rPr>
          <w:sz w:val="20"/>
          <w:szCs w:val="20"/>
          <w:color w:val="auto"/>
        </w:rPr>
      </w:pPr>
    </w:p>
    <w:p>
      <w:pPr>
        <w:ind w:right="120" w:firstLine="228"/>
        <w:spacing w:after="0" w:line="291" w:lineRule="auto"/>
        <w:rPr>
          <w:sz w:val="20"/>
          <w:szCs w:val="20"/>
          <w:color w:val="auto"/>
        </w:rPr>
      </w:pPr>
      <w:r>
        <w:rPr>
          <w:rFonts w:ascii="Arial" w:cs="Arial" w:eastAsia="Arial" w:hAnsi="Arial"/>
          <w:sz w:val="16"/>
          <w:szCs w:val="16"/>
          <w:color w:val="auto"/>
        </w:rPr>
        <w:t>As part of our Opel/Vauxhall restructuring plan agreed to with European labor representatives, we have committed to achieving specified milestones associated with planned spending from 2011 to 2014 on certain product programs. If we fail to accomplish the requirements set out under the agreement, we will be required to pay certain amounts up to Euro 265 million for each of those years, and/or interest on those amounts, to our employees. Certain inventory with a carrying amount of $222 million and $193 million at June 30, 2011 and December 31, 2010 was pledged as collateral under the agreement. Through June 30, 2011 spending was sufficient to meet the current requirements under the agreement and the specified milestones have been accomplished. Management has the intent and believes it has the ability to meet the future requirements under the agreement.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Income Taxes</w:t>
      </w:r>
    </w:p>
    <w:p>
      <w:pPr>
        <w:spacing w:after="0" w:line="177" w:lineRule="exact"/>
        <w:rPr>
          <w:sz w:val="20"/>
          <w:szCs w:val="20"/>
          <w:color w:val="auto"/>
        </w:rPr>
      </w:pPr>
    </w:p>
    <w:p>
      <w:pPr>
        <w:ind w:right="320" w:firstLine="228"/>
        <w:spacing w:after="0" w:line="306" w:lineRule="auto"/>
        <w:rPr>
          <w:sz w:val="20"/>
          <w:szCs w:val="20"/>
          <w:color w:val="auto"/>
        </w:rPr>
      </w:pPr>
      <w:r>
        <w:rPr>
          <w:rFonts w:ascii="Arial" w:cs="Arial" w:eastAsia="Arial" w:hAnsi="Arial"/>
          <w:sz w:val="16"/>
          <w:szCs w:val="16"/>
          <w:color w:val="auto"/>
        </w:rPr>
        <w:t>For interim income tax reporting we estimate our annual effective tax rate and apply it to year-to-date ordinary income/loss. The tax effect of unusual or infrequently occurring items, including changes in judgment about valuation allowances and effects of changes in tax laws or rates, are reported in the interim period in which they occur. Tax jurisdictions with a projected or year-to-date loss for which a tax benefit cannot be realized are excluded</w:t>
      </w:r>
      <w:r>
        <w:rPr>
          <w:rFonts w:ascii="Arial" w:cs="Arial" w:eastAsia="Arial" w:hAnsi="Arial"/>
          <w:sz w:val="16"/>
          <w:szCs w:val="16"/>
          <w:i w:val="1"/>
          <w:iCs w:val="1"/>
          <w:color w:val="auto"/>
        </w:rPr>
        <w:t>.</w:t>
      </w:r>
    </w:p>
    <w:p>
      <w:pPr>
        <w:spacing w:after="0" w:line="107" w:lineRule="exact"/>
        <w:rPr>
          <w:sz w:val="20"/>
          <w:szCs w:val="20"/>
          <w:color w:val="auto"/>
        </w:rPr>
      </w:pPr>
    </w:p>
    <w:p>
      <w:pPr>
        <w:ind w:firstLine="228"/>
        <w:spacing w:after="0" w:line="290" w:lineRule="auto"/>
        <w:rPr>
          <w:sz w:val="20"/>
          <w:szCs w:val="20"/>
          <w:color w:val="auto"/>
        </w:rPr>
      </w:pPr>
      <w:r>
        <w:rPr>
          <w:rFonts w:ascii="Arial" w:cs="Arial" w:eastAsia="Arial" w:hAnsi="Arial"/>
          <w:sz w:val="16"/>
          <w:szCs w:val="16"/>
          <w:color w:val="auto"/>
        </w:rPr>
        <w:t>In the three months ended June 30, 2011 the income tax benefit of $61 million primarily resulted from tax expense attributable to entities included in our effective tax rate calculation more than offset by tax benefit attributable to previously unrecognized tax benefits in various jurisdictions. This benefit includes reductions in interest expense and valuation allowances associated with these previously unrecognized tax benefits. In the six months ended June 30, 2011 income tax expense of $76 million primarily resulted from tax expense attributable to entities included in our effective tax rate calculation partially offset by tax benefit attributable to previously unrecognized tax benefits in various jurisdictions. This benefit includes reductions in interest expense and valuation allowances associated with these previously unrecognized tax benefits. The effective tax rate is lower than the applicable statutory tax rate, primarily due to income earned in jurisdictions for which a full valuation allowance is recorded.</w:t>
      </w:r>
    </w:p>
    <w:p>
      <w:pPr>
        <w:spacing w:after="0" w:line="118" w:lineRule="exact"/>
        <w:rPr>
          <w:sz w:val="20"/>
          <w:szCs w:val="20"/>
          <w:color w:val="auto"/>
        </w:rPr>
      </w:pPr>
    </w:p>
    <w:p>
      <w:pPr>
        <w:ind w:right="220" w:firstLine="228"/>
        <w:spacing w:after="0" w:line="298" w:lineRule="auto"/>
        <w:rPr>
          <w:sz w:val="20"/>
          <w:szCs w:val="20"/>
          <w:color w:val="auto"/>
        </w:rPr>
      </w:pPr>
      <w:r>
        <w:rPr>
          <w:rFonts w:ascii="Arial" w:cs="Arial" w:eastAsia="Arial" w:hAnsi="Arial"/>
          <w:sz w:val="16"/>
          <w:szCs w:val="16"/>
          <w:color w:val="auto"/>
        </w:rPr>
        <w:t>In the three months ended June 30, 2010 income tax expense of $361 million primarily resulted from income tax provisions for profitable entities. In the six months ended June 30, 2010 income tax expense of $870 million primarily resulted from income tax provisions for profitable entities and a taxable foreign currency gain in Venezuela. As a result of the official devaluation of the Venezuelan currency in the six months ended June 30, 2010, we recorded income tax expense related to the foreign currency exchange gain on the net monetary position of our foreign currency denominated assets.</w:t>
      </w:r>
    </w:p>
    <w:p>
      <w:pPr>
        <w:spacing w:after="0" w:line="113" w:lineRule="exact"/>
        <w:rPr>
          <w:sz w:val="20"/>
          <w:szCs w:val="20"/>
          <w:color w:val="auto"/>
        </w:rPr>
      </w:pPr>
    </w:p>
    <w:p>
      <w:pPr>
        <w:jc w:val="both"/>
        <w:ind w:right="220" w:firstLine="228"/>
        <w:spacing w:after="0" w:line="298" w:lineRule="auto"/>
        <w:rPr>
          <w:sz w:val="20"/>
          <w:szCs w:val="20"/>
          <w:color w:val="auto"/>
        </w:rPr>
      </w:pPr>
      <w:r>
        <w:rPr>
          <w:rFonts w:ascii="Arial" w:cs="Arial" w:eastAsia="Arial" w:hAnsi="Arial"/>
          <w:sz w:val="16"/>
          <w:szCs w:val="16"/>
          <w:color w:val="auto"/>
        </w:rPr>
        <w:t>We file income tax returns in multiple jurisdictions and are subject to examination by taxing authorities throughout the world. We have open tax years from 2001 to 2010 with various significant tax jurisdictions. These open years contain matters that could be subject to differing interpretations of applicable tax laws and regulations as they relate to the amount, character, timing or inclusion of revenue and expenses or the sustainability of income tax credits for a given audit cycle. In addition the global nature of our operations means that transfer pricing disputes may arise.</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the three months ended June 30, 2011 we settled a Brazilian income tax matter for $241 million that was reserved and disclosed in a prior period.</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At June 30, 2011 it is not possible to reasonably estimate the expected change to the total amount of unrecognized tax benefits in the next 12 months.</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Fair Value Measurements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77" w:lineRule="exact"/>
        <w:rPr>
          <w:sz w:val="20"/>
          <w:szCs w:val="20"/>
          <w:color w:val="auto"/>
        </w:rPr>
      </w:pPr>
    </w:p>
    <w:p>
      <w:pPr>
        <w:ind w:right="120" w:firstLine="228"/>
        <w:spacing w:after="0" w:line="259" w:lineRule="auto"/>
        <w:rPr>
          <w:sz w:val="20"/>
          <w:szCs w:val="20"/>
          <w:color w:val="auto"/>
        </w:rPr>
      </w:pPr>
      <w:r>
        <w:rPr>
          <w:rFonts w:ascii="Arial" w:cs="Arial" w:eastAsia="Arial" w:hAnsi="Arial"/>
          <w:sz w:val="18"/>
          <w:szCs w:val="18"/>
          <w:color w:val="auto"/>
        </w:rPr>
        <w:t>A three-level valuation hierarchy is used for fair value measurements. The three-level valuation hierarchy is based upon observable and unobservable inputs. Observable inputs reflect market data obtained from independent sources, while unobservable inputs reflect market assumptions based on the best evidence available. These two types of inputs create the following fair value hierarchy:</w:t>
      </w:r>
    </w:p>
    <w:p>
      <w:pPr>
        <w:spacing w:after="0" w:line="181" w:lineRule="exact"/>
        <w:rPr>
          <w:sz w:val="20"/>
          <w:szCs w:val="20"/>
          <w:color w:val="auto"/>
        </w:rPr>
      </w:pPr>
    </w:p>
    <w:p>
      <w:pPr>
        <w:ind w:left="660" w:hanging="43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Level 1 — Quoted prices for </w:t>
      </w:r>
      <w:r>
        <w:rPr>
          <w:rFonts w:ascii="Arial" w:cs="Arial" w:eastAsia="Arial" w:hAnsi="Arial"/>
          <w:sz w:val="18"/>
          <w:szCs w:val="18"/>
          <w:i w:val="1"/>
          <w:iCs w:val="1"/>
          <w:color w:val="auto"/>
        </w:rPr>
        <w:t>identical</w:t>
      </w:r>
      <w:r>
        <w:rPr>
          <w:rFonts w:ascii="Arial" w:cs="Arial" w:eastAsia="Arial" w:hAnsi="Arial"/>
          <w:sz w:val="18"/>
          <w:szCs w:val="18"/>
          <w:color w:val="auto"/>
        </w:rPr>
        <w:t xml:space="preserve"> instruments in active markets;</w:t>
      </w:r>
    </w:p>
    <w:p>
      <w:pPr>
        <w:spacing w:after="0" w:line="90" w:lineRule="exact"/>
        <w:rPr>
          <w:rFonts w:ascii="Arial" w:cs="Arial" w:eastAsia="Arial" w:hAnsi="Arial"/>
          <w:sz w:val="18"/>
          <w:szCs w:val="18"/>
          <w:color w:val="auto"/>
        </w:rPr>
      </w:pPr>
    </w:p>
    <w:p>
      <w:pPr>
        <w:ind w:left="660" w:right="100" w:hanging="436"/>
        <w:spacing w:after="0" w:line="26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Level 2 — Quoted prices for </w:t>
      </w:r>
      <w:r>
        <w:rPr>
          <w:rFonts w:ascii="Arial" w:cs="Arial" w:eastAsia="Arial" w:hAnsi="Arial"/>
          <w:sz w:val="18"/>
          <w:szCs w:val="18"/>
          <w:i w:val="1"/>
          <w:iCs w:val="1"/>
          <w:color w:val="auto"/>
        </w:rPr>
        <w:t>similar</w:t>
      </w:r>
      <w:r>
        <w:rPr>
          <w:rFonts w:ascii="Arial" w:cs="Arial" w:eastAsia="Arial" w:hAnsi="Arial"/>
          <w:sz w:val="18"/>
          <w:szCs w:val="18"/>
          <w:color w:val="auto"/>
        </w:rPr>
        <w:t xml:space="preserve"> instruments in active markets; quoted prices for identical or similar instruments in markets that are not active; and model-derived valuations whose significant inputs are observable; and</w:t>
      </w:r>
    </w:p>
    <w:p>
      <w:pPr>
        <w:spacing w:after="0" w:line="50" w:lineRule="exact"/>
        <w:rPr>
          <w:rFonts w:ascii="Arial" w:cs="Arial" w:eastAsia="Arial" w:hAnsi="Arial"/>
          <w:sz w:val="18"/>
          <w:szCs w:val="18"/>
          <w:color w:val="auto"/>
        </w:rPr>
      </w:pPr>
    </w:p>
    <w:p>
      <w:pPr>
        <w:ind w:left="660" w:hanging="43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Level 3 — Instruments whose significant inputs are </w:t>
      </w:r>
      <w:r>
        <w:rPr>
          <w:rFonts w:ascii="Arial" w:cs="Arial" w:eastAsia="Arial" w:hAnsi="Arial"/>
          <w:sz w:val="18"/>
          <w:szCs w:val="18"/>
          <w:i w:val="1"/>
          <w:iCs w:val="1"/>
          <w:color w:val="auto"/>
        </w:rPr>
        <w:t>unobservable</w:t>
      </w:r>
      <w:r>
        <w:rPr>
          <w:rFonts w:ascii="Arial" w:cs="Arial" w:eastAsia="Arial" w:hAnsi="Arial"/>
          <w:sz w:val="18"/>
          <w:szCs w:val="18"/>
          <w:color w:val="auto"/>
        </w:rPr>
        <w:t>.</w:t>
      </w:r>
    </w:p>
    <w:p>
      <w:pPr>
        <w:spacing w:after="0" w:line="171" w:lineRule="exact"/>
        <w:rPr>
          <w:sz w:val="20"/>
          <w:szCs w:val="20"/>
          <w:color w:val="auto"/>
        </w:rPr>
      </w:pPr>
    </w:p>
    <w:p>
      <w:pPr>
        <w:ind w:right="40" w:firstLine="228"/>
        <w:spacing w:after="0" w:line="259" w:lineRule="auto"/>
        <w:rPr>
          <w:sz w:val="20"/>
          <w:szCs w:val="20"/>
          <w:color w:val="auto"/>
        </w:rPr>
      </w:pPr>
      <w:r>
        <w:rPr>
          <w:rFonts w:ascii="Arial" w:cs="Arial" w:eastAsia="Arial" w:hAnsi="Arial"/>
          <w:sz w:val="18"/>
          <w:szCs w:val="18"/>
          <w:color w:val="auto"/>
        </w:rPr>
        <w:t>Financial instruments are transferred in and/or out of Level 3 at the beginning of the accounting period based upon the significance of the unobservable inputs to the overall fair value measurement. Level 3 financial instruments typically include, in addition to the unobservable inputs, observable components that are validated to external sources.</w:t>
      </w:r>
    </w:p>
    <w:p>
      <w:pPr>
        <w:spacing w:after="0" w:line="140" w:lineRule="exact"/>
        <w:rPr>
          <w:sz w:val="20"/>
          <w:szCs w:val="20"/>
          <w:color w:val="auto"/>
        </w:rPr>
      </w:pPr>
    </w:p>
    <w:p>
      <w:pPr>
        <w:ind w:right="120" w:firstLine="228"/>
        <w:spacing w:after="0" w:line="291" w:lineRule="auto"/>
        <w:rPr>
          <w:sz w:val="20"/>
          <w:szCs w:val="20"/>
          <w:color w:val="auto"/>
        </w:rPr>
      </w:pPr>
      <w:r>
        <w:rPr>
          <w:rFonts w:ascii="Arial" w:cs="Arial" w:eastAsia="Arial" w:hAnsi="Arial"/>
          <w:sz w:val="16"/>
          <w:szCs w:val="16"/>
          <w:color w:val="auto"/>
        </w:rPr>
        <w:t>Securities are classified in Level 1 when quoted prices in an active market for identical securities are available. If quoted market prices are not available, fair values of securities are determined using prices from a pricing vendor, pricing models, quoted prices of securities with similar characteristics or discounted cash flow models and are generally classified in Level 2. These prices represent non-binding quotes. U.S. government and agency securities, certificates of deposit, commercial paper and corporate debt securities are classified in Level 2. Our pricing vendor utilizes industry-standard pricing models that consider various inputs, including benchmark yields, reported trades, broker/dealer quotes, issuer spreads and benchmark securities as well as other relevant economic measures. Securities are classified in Level 3 in certain cases where there are significant unobservable inputs to the valuation in the marketplace.</w:t>
      </w:r>
    </w:p>
    <w:p>
      <w:pPr>
        <w:spacing w:after="0" w:line="120" w:lineRule="exact"/>
        <w:rPr>
          <w:sz w:val="20"/>
          <w:szCs w:val="20"/>
          <w:color w:val="auto"/>
        </w:rPr>
      </w:pPr>
    </w:p>
    <w:p>
      <w:pPr>
        <w:ind w:firstLine="228"/>
        <w:spacing w:after="0" w:line="259" w:lineRule="auto"/>
        <w:rPr>
          <w:sz w:val="20"/>
          <w:szCs w:val="20"/>
          <w:color w:val="auto"/>
        </w:rPr>
      </w:pPr>
      <w:r>
        <w:rPr>
          <w:rFonts w:ascii="Arial" w:cs="Arial" w:eastAsia="Arial" w:hAnsi="Arial"/>
          <w:sz w:val="18"/>
          <w:szCs w:val="18"/>
          <w:color w:val="auto"/>
        </w:rPr>
        <w:t>We conduct an annual review of our pricing vendor. This review includes discussion and analysis of the inputs used by the pricing vendor to provide prices for the types of securities we hold. These inputs include interest rate yields, bid/ask quotes, prepayment speeds and prices for comparable securities. Based on our review we believe the prices received from our pricing vendor are a reliable representation of exit prices.</w:t>
      </w:r>
    </w:p>
    <w:p>
      <w:pPr>
        <w:spacing w:after="0" w:line="140" w:lineRule="exact"/>
        <w:rPr>
          <w:sz w:val="20"/>
          <w:szCs w:val="20"/>
          <w:color w:val="auto"/>
        </w:rPr>
      </w:pPr>
    </w:p>
    <w:p>
      <w:pPr>
        <w:ind w:right="20" w:firstLine="228"/>
        <w:spacing w:after="0" w:line="255" w:lineRule="auto"/>
        <w:rPr>
          <w:sz w:val="20"/>
          <w:szCs w:val="20"/>
          <w:color w:val="auto"/>
        </w:rPr>
      </w:pPr>
      <w:r>
        <w:rPr>
          <w:rFonts w:ascii="Arial" w:cs="Arial" w:eastAsia="Arial" w:hAnsi="Arial"/>
          <w:sz w:val="18"/>
          <w:szCs w:val="18"/>
          <w:color w:val="auto"/>
        </w:rPr>
        <w:t>All derivatives are recorded at fair value. Internal models are used to value a majority of derivatives. The models use as their basis readily observable market inputs, such as time value, forward interest rates, volatility factors and current and forward market prices for commodities and foreign currency exchange rates. Level 2 includes certain foreign currency derivatives, commodity derivatives, interest rate caps, and warrants. Derivative contracts and other liabilities that are valued based upon models with significant unobservable market inputs are classified in Level 3. Level 3 derivative contracts include certain currency derivatives, embedded derivatives and interest rate swaps.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Measurements on a Recurring Basis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summarize the financial instruments measured at fair value on a recurring basis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60" w:type="dxa"/>
            <w:vAlign w:val="bottom"/>
            <w:gridSpan w:val="12"/>
          </w:tcPr>
          <w:p>
            <w:pPr>
              <w:ind w:left="260"/>
              <w:spacing w:after="0"/>
              <w:rPr>
                <w:sz w:val="20"/>
                <w:szCs w:val="20"/>
                <w:color w:val="auto"/>
              </w:rPr>
            </w:pPr>
            <w:r>
              <w:rPr>
                <w:rFonts w:ascii="Arial" w:cs="Arial" w:eastAsia="Arial" w:hAnsi="Arial"/>
                <w:sz w:val="14"/>
                <w:szCs w:val="14"/>
                <w:b w:val="1"/>
                <w:bCs w:val="1"/>
                <w:color w:val="auto"/>
              </w:rPr>
              <w:t>Fair Value Measurements on a Recurring Basis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at June 30, 2011</w:t>
            </w: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96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Level 1</w:t>
            </w: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Level 2</w:t>
            </w:r>
          </w:p>
        </w:tc>
        <w:tc>
          <w:tcPr>
            <w:tcW w:w="400" w:type="dxa"/>
            <w:vAlign w:val="bottom"/>
          </w:tcPr>
          <w:p>
            <w:pPr>
              <w:spacing w:after="0"/>
              <w:rPr>
                <w:sz w:val="12"/>
                <w:szCs w:val="12"/>
                <w:color w:val="auto"/>
              </w:rPr>
            </w:pPr>
          </w:p>
        </w:tc>
        <w:tc>
          <w:tcPr>
            <w:tcW w:w="76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Cash equivalents (a)</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United States government and agency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6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tcPr>
          <w:p>
            <w:pPr>
              <w:ind w:left="200"/>
              <w:spacing w:after="0"/>
              <w:rPr>
                <w:sz w:val="20"/>
                <w:szCs w:val="20"/>
                <w:color w:val="auto"/>
              </w:rPr>
            </w:pPr>
            <w:r>
              <w:rPr>
                <w:rFonts w:ascii="Arial" w:cs="Arial" w:eastAsia="Arial" w:hAnsi="Arial"/>
                <w:sz w:val="18"/>
                <w:szCs w:val="18"/>
                <w:color w:val="auto"/>
              </w:rPr>
              <w:t>Sovereign debt</w:t>
            </w:r>
          </w:p>
        </w:tc>
        <w:tc>
          <w:tcPr>
            <w:tcW w:w="1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262</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Certificates of deposit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3,274</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tcPr>
          <w:p>
            <w:pPr>
              <w:ind w:left="200"/>
              <w:spacing w:after="0"/>
              <w:rPr>
                <w:sz w:val="20"/>
                <w:szCs w:val="20"/>
                <w:color w:val="auto"/>
              </w:rPr>
            </w:pPr>
            <w:r>
              <w:rPr>
                <w:rFonts w:ascii="Arial" w:cs="Arial" w:eastAsia="Arial" w:hAnsi="Arial"/>
                <w:sz w:val="18"/>
                <w:szCs w:val="18"/>
                <w:color w:val="auto"/>
              </w:rPr>
              <w:t>Money market funds</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5,830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5,830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Commercial paper</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4,142</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Trading securities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tcPr>
          <w:p>
            <w:pPr>
              <w:ind w:left="420"/>
              <w:spacing w:after="0"/>
              <w:rPr>
                <w:sz w:val="20"/>
                <w:szCs w:val="20"/>
                <w:color w:val="auto"/>
              </w:rPr>
            </w:pPr>
            <w:r>
              <w:rPr>
                <w:rFonts w:ascii="Arial" w:cs="Arial" w:eastAsia="Arial" w:hAnsi="Arial"/>
                <w:sz w:val="18"/>
                <w:szCs w:val="18"/>
                <w:color w:val="auto"/>
              </w:rPr>
              <w:t>Equity</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Debt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tcPr>
          <w:p>
            <w:pPr>
              <w:ind w:left="200"/>
              <w:spacing w:after="0"/>
              <w:rPr>
                <w:sz w:val="20"/>
                <w:szCs w:val="20"/>
                <w:color w:val="auto"/>
              </w:rPr>
            </w:pPr>
            <w:r>
              <w:rPr>
                <w:rFonts w:ascii="Arial" w:cs="Arial" w:eastAsia="Arial" w:hAnsi="Arial"/>
                <w:sz w:val="18"/>
                <w:szCs w:val="18"/>
                <w:color w:val="auto"/>
              </w:rPr>
              <w:t>Available–for–sale securities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United States government and agency</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6,695</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tcPr>
          <w:p>
            <w:pPr>
              <w:ind w:left="420"/>
              <w:spacing w:after="0"/>
              <w:rPr>
                <w:sz w:val="20"/>
                <w:szCs w:val="20"/>
                <w:color w:val="auto"/>
              </w:rPr>
            </w:pPr>
            <w:r>
              <w:rPr>
                <w:rFonts w:ascii="Arial" w:cs="Arial" w:eastAsia="Arial" w:hAnsi="Arial"/>
                <w:sz w:val="18"/>
                <w:szCs w:val="18"/>
                <w:color w:val="auto"/>
              </w:rPr>
              <w:t>Sovereign debt</w:t>
            </w:r>
          </w:p>
        </w:tc>
        <w:tc>
          <w:tcPr>
            <w:tcW w:w="1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371</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Certificates of deposit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tcPr>
          <w:p>
            <w:pPr>
              <w:ind w:left="420"/>
              <w:spacing w:after="0"/>
              <w:rPr>
                <w:sz w:val="20"/>
                <w:szCs w:val="20"/>
                <w:color w:val="auto"/>
              </w:rPr>
            </w:pPr>
            <w:r>
              <w:rPr>
                <w:rFonts w:ascii="Arial" w:cs="Arial" w:eastAsia="Arial" w:hAnsi="Arial"/>
                <w:sz w:val="18"/>
                <w:szCs w:val="18"/>
                <w:color w:val="auto"/>
              </w:rPr>
              <w:t>Corporate debt</w:t>
            </w:r>
          </w:p>
        </w:tc>
        <w:tc>
          <w:tcPr>
            <w:tcW w:w="1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4,004</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 (a)(b)</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tcPr>
          <w:p>
            <w:pPr>
              <w:ind w:left="200"/>
              <w:spacing w:after="0"/>
              <w:rPr>
                <w:sz w:val="20"/>
                <w:szCs w:val="20"/>
                <w:color w:val="auto"/>
              </w:rPr>
            </w:pPr>
            <w:r>
              <w:rPr>
                <w:rFonts w:ascii="Arial" w:cs="Arial" w:eastAsia="Arial" w:hAnsi="Arial"/>
                <w:sz w:val="18"/>
                <w:szCs w:val="18"/>
                <w:color w:val="auto"/>
              </w:rPr>
              <w:t>Debt</w:t>
            </w:r>
          </w:p>
        </w:tc>
        <w:tc>
          <w:tcPr>
            <w:tcW w:w="1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1,144</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Money market funds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tcPr>
          <w:p>
            <w:pPr>
              <w:ind w:left="20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100</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Derivatives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tcPr>
          <w:p>
            <w:pPr>
              <w:ind w:left="420"/>
              <w:spacing w:after="0"/>
              <w:rPr>
                <w:sz w:val="20"/>
                <w:szCs w:val="20"/>
                <w:color w:val="auto"/>
              </w:rPr>
            </w:pPr>
            <w:r>
              <w:rPr>
                <w:rFonts w:ascii="Arial" w:cs="Arial" w:eastAsia="Arial" w:hAnsi="Arial"/>
                <w:sz w:val="18"/>
                <w:szCs w:val="18"/>
                <w:color w:val="auto"/>
              </w:rPr>
              <w:t>Commodity</w:t>
            </w:r>
          </w:p>
        </w:tc>
        <w:tc>
          <w:tcPr>
            <w:tcW w:w="1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currency</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20" w:type="dxa"/>
            <w:vAlign w:val="bottom"/>
            <w:gridSpan w:val="2"/>
          </w:tcPr>
          <w:p>
            <w:pPr>
              <w:ind w:left="420"/>
              <w:spacing w:after="0"/>
              <w:rPr>
                <w:sz w:val="20"/>
                <w:szCs w:val="20"/>
                <w:color w:val="auto"/>
              </w:rPr>
            </w:pPr>
            <w:r>
              <w:rPr>
                <w:rFonts w:ascii="Arial" w:cs="Arial" w:eastAsia="Arial" w:hAnsi="Arial"/>
                <w:sz w:val="18"/>
                <w:szCs w:val="18"/>
                <w:color w:val="auto"/>
              </w:rPr>
              <w:t>Embedded derivatives</w:t>
            </w: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145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6,232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21,394</w:t>
            </w:r>
          </w:p>
        </w:tc>
        <w:tc>
          <w:tcPr>
            <w:tcW w:w="6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155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27,781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84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 (c)</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tcPr>
          <w:p>
            <w:pPr>
              <w:ind w:left="200"/>
              <w:spacing w:after="0"/>
              <w:rPr>
                <w:sz w:val="20"/>
                <w:szCs w:val="20"/>
                <w:color w:val="auto"/>
              </w:rPr>
            </w:pPr>
            <w:r>
              <w:rPr>
                <w:rFonts w:ascii="Arial" w:cs="Arial" w:eastAsia="Arial" w:hAnsi="Arial"/>
                <w:sz w:val="18"/>
                <w:szCs w:val="18"/>
                <w:color w:val="auto"/>
              </w:rPr>
              <w:t>Options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76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Derivatives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tcPr>
          <w:p>
            <w:pPr>
              <w:ind w:left="420"/>
              <w:spacing w:after="0"/>
              <w:rPr>
                <w:sz w:val="20"/>
                <w:szCs w:val="20"/>
                <w:color w:val="auto"/>
              </w:rPr>
            </w:pPr>
            <w:r>
              <w:rPr>
                <w:rFonts w:ascii="Arial" w:cs="Arial" w:eastAsia="Arial" w:hAnsi="Arial"/>
                <w:sz w:val="18"/>
                <w:szCs w:val="18"/>
                <w:color w:val="auto"/>
              </w:rPr>
              <w:t>Commodity</w:t>
            </w:r>
          </w:p>
        </w:tc>
        <w:tc>
          <w:tcPr>
            <w:tcW w:w="1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currency</w:t>
            </w: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4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27</w:t>
            </w:r>
          </w:p>
        </w:tc>
        <w:tc>
          <w:tcPr>
            <w:tcW w:w="68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76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Cash and time deposits, including those classified as restricted cash, have been excluded from this table.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assets are recorded in Other current assets and deferred income taxes and Other assets and deferred income taxes.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liabilities are recorded in Accrued liabilities and Other liabilities and deferred income taxes.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60" w:type="dxa"/>
            <w:vAlign w:val="bottom"/>
            <w:gridSpan w:val="12"/>
          </w:tcPr>
          <w:p>
            <w:pPr>
              <w:jc w:val="center"/>
              <w:ind w:right="220"/>
              <w:spacing w:after="0"/>
              <w:rPr>
                <w:sz w:val="20"/>
                <w:szCs w:val="20"/>
                <w:color w:val="auto"/>
              </w:rPr>
            </w:pPr>
            <w:r>
              <w:rPr>
                <w:rFonts w:ascii="Arial" w:cs="Arial" w:eastAsia="Arial" w:hAnsi="Arial"/>
                <w:sz w:val="14"/>
                <w:szCs w:val="14"/>
                <w:b w:val="1"/>
                <w:bCs w:val="1"/>
                <w:color w:val="auto"/>
                <w:w w:val="86"/>
              </w:rPr>
              <w:t>Fair Value Measurements on a Recurring Basis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87"/>
              </w:rPr>
              <w:t>at December 31, 2010</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96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Level 1</w:t>
            </w: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Level 2</w:t>
            </w:r>
          </w:p>
        </w:tc>
        <w:tc>
          <w:tcPr>
            <w:tcW w:w="400" w:type="dxa"/>
            <w:vAlign w:val="bottom"/>
          </w:tcPr>
          <w:p>
            <w:pPr>
              <w:spacing w:after="0"/>
              <w:rPr>
                <w:sz w:val="12"/>
                <w:szCs w:val="12"/>
                <w:color w:val="auto"/>
              </w:rPr>
            </w:pPr>
          </w:p>
        </w:tc>
        <w:tc>
          <w:tcPr>
            <w:tcW w:w="76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Cash equivalents (a)</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United States government and agency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6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tcPr>
          <w:p>
            <w:pPr>
              <w:ind w:left="200"/>
              <w:spacing w:after="0"/>
              <w:rPr>
                <w:sz w:val="20"/>
                <w:szCs w:val="20"/>
                <w:color w:val="auto"/>
              </w:rPr>
            </w:pPr>
            <w:r>
              <w:rPr>
                <w:rFonts w:ascii="Arial" w:cs="Arial" w:eastAsia="Arial" w:hAnsi="Arial"/>
                <w:sz w:val="18"/>
                <w:szCs w:val="18"/>
                <w:color w:val="auto"/>
              </w:rPr>
              <w:t>Sovereign debt</w:t>
            </w:r>
          </w:p>
        </w:tc>
        <w:tc>
          <w:tcPr>
            <w:tcW w:w="1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523</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Certificates of deposit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tcPr>
          <w:p>
            <w:pPr>
              <w:ind w:left="200"/>
              <w:spacing w:after="0"/>
              <w:rPr>
                <w:sz w:val="20"/>
                <w:szCs w:val="20"/>
                <w:color w:val="auto"/>
              </w:rPr>
            </w:pPr>
            <w:r>
              <w:rPr>
                <w:rFonts w:ascii="Arial" w:cs="Arial" w:eastAsia="Arial" w:hAnsi="Arial"/>
                <w:sz w:val="18"/>
                <w:szCs w:val="18"/>
                <w:color w:val="auto"/>
              </w:rPr>
              <w:t>Money market funds</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4,844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Commercial paper</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3,807</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Trading securities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tcPr>
          <w:p>
            <w:pPr>
              <w:ind w:left="420"/>
              <w:spacing w:after="0"/>
              <w:rPr>
                <w:sz w:val="20"/>
                <w:szCs w:val="20"/>
                <w:color w:val="auto"/>
              </w:rPr>
            </w:pPr>
            <w:r>
              <w:rPr>
                <w:rFonts w:ascii="Arial" w:cs="Arial" w:eastAsia="Arial" w:hAnsi="Arial"/>
                <w:sz w:val="18"/>
                <w:szCs w:val="18"/>
                <w:color w:val="auto"/>
              </w:rPr>
              <w:t>Equity</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Debt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tcPr>
          <w:p>
            <w:pPr>
              <w:ind w:left="200"/>
              <w:spacing w:after="0"/>
              <w:rPr>
                <w:sz w:val="20"/>
                <w:szCs w:val="20"/>
                <w:color w:val="auto"/>
              </w:rPr>
            </w:pPr>
            <w:r>
              <w:rPr>
                <w:rFonts w:ascii="Arial" w:cs="Arial" w:eastAsia="Arial" w:hAnsi="Arial"/>
                <w:sz w:val="18"/>
                <w:szCs w:val="18"/>
                <w:color w:val="auto"/>
              </w:rPr>
              <w:t>Available–for–sale securities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United States government and agency</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tcPr>
          <w:p>
            <w:pPr>
              <w:ind w:left="420"/>
              <w:spacing w:after="0"/>
              <w:rPr>
                <w:sz w:val="20"/>
                <w:szCs w:val="20"/>
                <w:color w:val="auto"/>
              </w:rPr>
            </w:pPr>
            <w:r>
              <w:rPr>
                <w:rFonts w:ascii="Arial" w:cs="Arial" w:eastAsia="Arial" w:hAnsi="Arial"/>
                <w:sz w:val="18"/>
                <w:szCs w:val="18"/>
                <w:color w:val="auto"/>
              </w:rPr>
              <w:t>Sovereign debt</w:t>
            </w:r>
          </w:p>
        </w:tc>
        <w:tc>
          <w:tcPr>
            <w:tcW w:w="1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773</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Certificates of deposit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tcPr>
          <w:p>
            <w:pPr>
              <w:ind w:left="420"/>
              <w:spacing w:after="0"/>
              <w:rPr>
                <w:sz w:val="20"/>
                <w:szCs w:val="20"/>
                <w:color w:val="auto"/>
              </w:rPr>
            </w:pPr>
            <w:r>
              <w:rPr>
                <w:rFonts w:ascii="Arial" w:cs="Arial" w:eastAsia="Arial" w:hAnsi="Arial"/>
                <w:sz w:val="18"/>
                <w:szCs w:val="18"/>
                <w:color w:val="auto"/>
              </w:rPr>
              <w:t>Corporate debt</w:t>
            </w:r>
          </w:p>
        </w:tc>
        <w:tc>
          <w:tcPr>
            <w:tcW w:w="1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1,669</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 (a)(b)</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tcPr>
          <w:p>
            <w:pPr>
              <w:ind w:left="200"/>
              <w:spacing w:after="0"/>
              <w:rPr>
                <w:sz w:val="20"/>
                <w:szCs w:val="20"/>
                <w:color w:val="auto"/>
              </w:rPr>
            </w:pPr>
            <w:r>
              <w:rPr>
                <w:rFonts w:ascii="Arial" w:cs="Arial" w:eastAsia="Arial" w:hAnsi="Arial"/>
                <w:sz w:val="18"/>
                <w:szCs w:val="18"/>
                <w:color w:val="auto"/>
              </w:rPr>
              <w:t>Debt</w:t>
            </w:r>
          </w:p>
        </w:tc>
        <w:tc>
          <w:tcPr>
            <w:tcW w:w="1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1,129</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Money market funds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tcPr>
          <w:p>
            <w:pPr>
              <w:ind w:left="20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Derivatives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tcPr>
          <w:p>
            <w:pPr>
              <w:ind w:left="420"/>
              <w:spacing w:after="0"/>
              <w:rPr>
                <w:sz w:val="20"/>
                <w:szCs w:val="20"/>
                <w:color w:val="auto"/>
              </w:rPr>
            </w:pPr>
            <w:r>
              <w:rPr>
                <w:rFonts w:ascii="Arial" w:cs="Arial" w:eastAsia="Arial" w:hAnsi="Arial"/>
                <w:sz w:val="18"/>
                <w:szCs w:val="18"/>
                <w:color w:val="auto"/>
              </w:rPr>
              <w:t>Commodity</w:t>
            </w:r>
          </w:p>
        </w:tc>
        <w:tc>
          <w:tcPr>
            <w:tcW w:w="1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93</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currency</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2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4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5,215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15,000</w:t>
            </w:r>
          </w:p>
        </w:tc>
        <w:tc>
          <w:tcPr>
            <w:tcW w:w="6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20,225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84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 (c)</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tcPr>
          <w:p>
            <w:pPr>
              <w:ind w:left="200"/>
              <w:spacing w:after="0"/>
              <w:rPr>
                <w:sz w:val="20"/>
                <w:szCs w:val="20"/>
                <w:color w:val="auto"/>
              </w:rPr>
            </w:pPr>
            <w:r>
              <w:rPr>
                <w:rFonts w:ascii="Arial" w:cs="Arial" w:eastAsia="Arial" w:hAnsi="Arial"/>
                <w:sz w:val="18"/>
                <w:szCs w:val="18"/>
                <w:color w:val="auto"/>
              </w:rPr>
              <w:t>Options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24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Derivatives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tcPr>
          <w:p>
            <w:pPr>
              <w:ind w:left="420"/>
              <w:spacing w:after="0"/>
              <w:rPr>
                <w:sz w:val="20"/>
                <w:szCs w:val="20"/>
                <w:color w:val="auto"/>
              </w:rPr>
            </w:pPr>
            <w:r>
              <w:rPr>
                <w:rFonts w:ascii="Arial" w:cs="Arial" w:eastAsia="Arial" w:hAnsi="Arial"/>
                <w:sz w:val="18"/>
                <w:szCs w:val="18"/>
                <w:color w:val="auto"/>
              </w:rPr>
              <w:t>Commodity</w:t>
            </w:r>
          </w:p>
        </w:tc>
        <w:tc>
          <w:tcPr>
            <w:tcW w:w="1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currency</w:t>
            </w: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4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4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122</w:t>
            </w:r>
          </w:p>
        </w:tc>
        <w:tc>
          <w:tcPr>
            <w:tcW w:w="64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24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Cash and time deposits, including those classified as restricted cash, have been excluded from this table.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assets are recorded in Other current assets and deferred income taxes and Other assets and deferred income taxes.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liabilities are recorded in Accrued liabilities and Other liabilities and deferred income taxes.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Measurements on a Recurring Basis using Level 3 Inputs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summarize the activity for financial instruments classified in Level 3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7"/>
          </w:tcPr>
          <w:p>
            <w:pPr>
              <w:jc w:val="right"/>
              <w:ind w:right="140"/>
              <w:spacing w:after="0"/>
              <w:rPr>
                <w:sz w:val="20"/>
                <w:szCs w:val="20"/>
                <w:color w:val="auto"/>
              </w:rPr>
            </w:pPr>
            <w:r>
              <w:rPr>
                <w:rFonts w:ascii="Arial" w:cs="Arial" w:eastAsia="Arial" w:hAnsi="Arial"/>
                <w:sz w:val="14"/>
                <w:szCs w:val="14"/>
                <w:b w:val="1"/>
                <w:bCs w:val="1"/>
                <w:color w:val="auto"/>
                <w:w w:val="96"/>
              </w:rPr>
              <w:t>Level 3 Net Assets and (Liabilities) (a)</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9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0"/>
              </w:rPr>
              <w:t>Total 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6"/>
              </w:rPr>
              <w:t>Embedded</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78"/>
              </w:rPr>
              <w:t>Assets</w:t>
            </w:r>
          </w:p>
        </w:tc>
        <w:tc>
          <w:tcPr>
            <w:tcW w:w="0" w:type="dxa"/>
            <w:vAlign w:val="bottom"/>
          </w:tcPr>
          <w:p>
            <w:pPr>
              <w:spacing w:after="0"/>
              <w:rPr>
                <w:sz w:val="1"/>
                <w:szCs w:val="1"/>
                <w:color w:val="auto"/>
              </w:rPr>
            </w:pPr>
          </w:p>
        </w:tc>
      </w:tr>
      <w:tr>
        <w:trPr>
          <w:trHeight w:val="161"/>
        </w:trPr>
        <w:tc>
          <w:tcPr>
            <w:tcW w:w="6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85"/>
              </w:rPr>
              <w:t>Derivatives</w:t>
            </w:r>
          </w:p>
        </w:tc>
        <w:tc>
          <w:tcPr>
            <w:tcW w:w="54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Options</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Securities</w:t>
            </w:r>
          </w:p>
        </w:tc>
        <w:tc>
          <w:tcPr>
            <w:tcW w:w="12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210"/>
        </w:trPr>
        <w:tc>
          <w:tcPr>
            <w:tcW w:w="69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April 1, 2011</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(77)</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Transfer in and/or out of Level 3</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Total realized/unrealized gains (losses)</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220"/>
              <w:spacing w:after="0"/>
              <w:rPr>
                <w:sz w:val="20"/>
                <w:szCs w:val="20"/>
                <w:color w:val="auto"/>
              </w:rPr>
            </w:pPr>
            <w:r>
              <w:rPr>
                <w:rFonts w:ascii="Arial" w:cs="Arial" w:eastAsia="Arial" w:hAnsi="Arial"/>
                <w:sz w:val="18"/>
                <w:szCs w:val="18"/>
                <w:color w:val="auto"/>
              </w:rPr>
              <w:t>Included in earnings</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87</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5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Included in Other comprehensive income</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Purchases</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Issuances</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Arial" w:cs="Arial" w:eastAsia="Arial" w:hAnsi="Arial"/>
                <w:sz w:val="18"/>
                <w:szCs w:val="18"/>
                <w:color w:val="auto"/>
              </w:rPr>
              <w:t>Balance at June 30, 2011</w:t>
            </w: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60" w:type="dxa"/>
            <w:vAlign w:val="bottom"/>
            <w:vMerge w:val="continue"/>
          </w:tcPr>
          <w:p>
            <w:pPr>
              <w:spacing w:after="0"/>
              <w:rPr>
                <w:sz w:val="19"/>
                <w:szCs w:val="19"/>
                <w:color w:val="auto"/>
              </w:rPr>
            </w:pPr>
          </w:p>
        </w:tc>
        <w:tc>
          <w:tcPr>
            <w:tcW w:w="5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145</w:t>
            </w:r>
          </w:p>
        </w:tc>
        <w:tc>
          <w:tcPr>
            <w:tcW w:w="7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52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10</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2"/>
              </w:rPr>
              <w:t>Amount of total gains and (losses) in the period included in earnings attributable to the change</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9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7"/>
              </w:rPr>
              <w:t>in unrealized gains or (losses) relating to assets/liabilities still held at the reporting date</w:t>
            </w:r>
          </w:p>
        </w:tc>
        <w:tc>
          <w:tcPr>
            <w:tcW w:w="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7"/>
          </w:tcPr>
          <w:p>
            <w:pPr>
              <w:jc w:val="right"/>
              <w:ind w:right="140"/>
              <w:spacing w:after="0"/>
              <w:rPr>
                <w:sz w:val="20"/>
                <w:szCs w:val="20"/>
                <w:color w:val="auto"/>
              </w:rPr>
            </w:pPr>
            <w:r>
              <w:rPr>
                <w:rFonts w:ascii="Arial" w:cs="Arial" w:eastAsia="Arial" w:hAnsi="Arial"/>
                <w:sz w:val="14"/>
                <w:szCs w:val="14"/>
                <w:b w:val="1"/>
                <w:bCs w:val="1"/>
                <w:color w:val="auto"/>
                <w:w w:val="96"/>
              </w:rPr>
              <w:t>Level 3 Net Assets and (Liabilities) (a)</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69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0"/>
              </w:rPr>
              <w:t>Total 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6"/>
              </w:rPr>
              <w:t>Embedded</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78"/>
              </w:rPr>
              <w:t>Assets</w:t>
            </w:r>
          </w:p>
        </w:tc>
        <w:tc>
          <w:tcPr>
            <w:tcW w:w="0" w:type="dxa"/>
            <w:vAlign w:val="bottom"/>
          </w:tcPr>
          <w:p>
            <w:pPr>
              <w:spacing w:after="0"/>
              <w:rPr>
                <w:sz w:val="1"/>
                <w:szCs w:val="1"/>
                <w:color w:val="auto"/>
              </w:rPr>
            </w:pPr>
          </w:p>
        </w:tc>
      </w:tr>
      <w:tr>
        <w:trPr>
          <w:trHeight w:val="161"/>
        </w:trPr>
        <w:tc>
          <w:tcPr>
            <w:tcW w:w="6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85"/>
              </w:rPr>
              <w:t>Derivatives</w:t>
            </w:r>
          </w:p>
        </w:tc>
        <w:tc>
          <w:tcPr>
            <w:tcW w:w="54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Options</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Securities</w:t>
            </w:r>
          </w:p>
        </w:tc>
        <w:tc>
          <w:tcPr>
            <w:tcW w:w="12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210"/>
        </w:trPr>
        <w:tc>
          <w:tcPr>
            <w:tcW w:w="69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January 1, 2011</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(24)</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Transfer in and/or out of Level 3</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Total realized/unrealized gains (losses)</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220"/>
              <w:spacing w:after="0"/>
              <w:rPr>
                <w:sz w:val="20"/>
                <w:szCs w:val="20"/>
                <w:color w:val="auto"/>
              </w:rPr>
            </w:pPr>
            <w:r>
              <w:rPr>
                <w:rFonts w:ascii="Arial" w:cs="Arial" w:eastAsia="Arial" w:hAnsi="Arial"/>
                <w:sz w:val="18"/>
                <w:szCs w:val="18"/>
                <w:color w:val="auto"/>
              </w:rPr>
              <w:t>Included in earnings</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Included in Other comprehensive income</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Purchases</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Issuances</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Arial" w:cs="Arial" w:eastAsia="Arial" w:hAnsi="Arial"/>
                <w:sz w:val="18"/>
                <w:szCs w:val="18"/>
                <w:color w:val="auto"/>
              </w:rPr>
              <w:t>Balance at June 30, 2011</w:t>
            </w: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60" w:type="dxa"/>
            <w:vAlign w:val="bottom"/>
            <w:vMerge w:val="continue"/>
          </w:tcPr>
          <w:p>
            <w:pPr>
              <w:spacing w:after="0"/>
              <w:rPr>
                <w:sz w:val="19"/>
                <w:szCs w:val="19"/>
                <w:color w:val="auto"/>
              </w:rPr>
            </w:pPr>
          </w:p>
        </w:tc>
        <w:tc>
          <w:tcPr>
            <w:tcW w:w="5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145</w:t>
            </w:r>
          </w:p>
        </w:tc>
        <w:tc>
          <w:tcPr>
            <w:tcW w:w="7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52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10</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2"/>
              </w:rPr>
              <w:t>Amount of total gains and (losses) in the period included in earnings attributable to the change</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9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7"/>
              </w:rPr>
              <w:t>in unrealized gains or (losses) relating to assets/liabilities still held at the reporting date</w:t>
            </w:r>
          </w:p>
        </w:tc>
        <w:tc>
          <w:tcPr>
            <w:tcW w:w="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6960" w:type="dxa"/>
            <w:vAlign w:val="bottom"/>
            <w:vMerge w:val="restart"/>
          </w:tcPr>
          <w:p>
            <w:pPr>
              <w:ind w:left="5620"/>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69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20" w:type="dxa"/>
            <w:vAlign w:val="bottom"/>
            <w:gridSpan w:val="10"/>
          </w:tcPr>
          <w:p>
            <w:pPr>
              <w:jc w:val="right"/>
              <w:ind w:right="460"/>
              <w:spacing w:after="0"/>
              <w:rPr>
                <w:sz w:val="20"/>
                <w:szCs w:val="20"/>
                <w:color w:val="auto"/>
              </w:rPr>
            </w:pPr>
            <w:r>
              <w:rPr>
                <w:rFonts w:ascii="Arial" w:cs="Arial" w:eastAsia="Arial" w:hAnsi="Arial"/>
                <w:sz w:val="14"/>
                <w:szCs w:val="14"/>
                <w:b w:val="1"/>
                <w:bCs w:val="1"/>
                <w:color w:val="auto"/>
                <w:w w:val="97"/>
              </w:rPr>
              <w:t>Level 3 Net Assets and (Liabilities) (a)</w:t>
            </w: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7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3"/>
          </w:tcPr>
          <w:p>
            <w:pPr>
              <w:jc w:val="center"/>
              <w:ind w:right="640"/>
              <w:spacing w:after="0" w:line="129" w:lineRule="exact"/>
              <w:rPr>
                <w:sz w:val="20"/>
                <w:szCs w:val="20"/>
                <w:color w:val="auto"/>
              </w:rPr>
            </w:pPr>
            <w:r>
              <w:rPr>
                <w:rFonts w:ascii="Arial" w:cs="Arial" w:eastAsia="Arial" w:hAnsi="Arial"/>
                <w:sz w:val="14"/>
                <w:szCs w:val="14"/>
                <w:b w:val="1"/>
                <w:bCs w:val="1"/>
                <w:color w:val="auto"/>
                <w:w w:val="85"/>
              </w:rPr>
              <w:t>Foreign</w:t>
            </w:r>
          </w:p>
        </w:tc>
        <w:tc>
          <w:tcPr>
            <w:tcW w:w="1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0"/>
              </w:rPr>
              <w:t>Total 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220" w:type="dxa"/>
            <w:vAlign w:val="bottom"/>
            <w:gridSpan w:val="4"/>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Currency</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78"/>
              </w:rPr>
              <w:t>Assets</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220" w:type="dxa"/>
            <w:vAlign w:val="bottom"/>
            <w:gridSpan w:val="4"/>
          </w:tcPr>
          <w:p>
            <w:pPr>
              <w:ind w:left="20"/>
              <w:spacing w:after="0"/>
              <w:rPr>
                <w:sz w:val="20"/>
                <w:szCs w:val="20"/>
                <w:color w:val="auto"/>
              </w:rPr>
            </w:pPr>
            <w:r>
              <w:rPr>
                <w:rFonts w:ascii="Arial" w:cs="Arial" w:eastAsia="Arial" w:hAnsi="Arial"/>
                <w:sz w:val="14"/>
                <w:szCs w:val="14"/>
                <w:b w:val="1"/>
                <w:bCs w:val="1"/>
                <w:color w:val="auto"/>
              </w:rPr>
              <w:t>Derivatives</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Options</w:t>
            </w:r>
          </w:p>
        </w:tc>
        <w:tc>
          <w:tcPr>
            <w:tcW w:w="26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4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at April 1, 2010</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54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Transfer in and/or out of Level 3</w:t>
            </w:r>
          </w:p>
        </w:tc>
        <w:tc>
          <w:tcPr>
            <w:tcW w:w="100" w:type="dxa"/>
            <w:vAlign w:val="bottom"/>
          </w:tcPr>
          <w:p>
            <w:pPr>
              <w:spacing w:after="0"/>
              <w:rPr>
                <w:sz w:val="18"/>
                <w:szCs w:val="18"/>
                <w:color w:val="auto"/>
              </w:rPr>
            </w:pPr>
          </w:p>
        </w:tc>
        <w:tc>
          <w:tcPr>
            <w:tcW w:w="112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realized/unrealized gains (losses)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80" w:type="dxa"/>
            <w:vAlign w:val="bottom"/>
            <w:gridSpan w:val="2"/>
          </w:tcPr>
          <w:p>
            <w:pPr>
              <w:ind w:left="220"/>
              <w:spacing w:after="0"/>
              <w:rPr>
                <w:sz w:val="20"/>
                <w:szCs w:val="20"/>
                <w:color w:val="auto"/>
              </w:rPr>
            </w:pPr>
            <w:r>
              <w:rPr>
                <w:rFonts w:ascii="Arial" w:cs="Arial" w:eastAsia="Arial" w:hAnsi="Arial"/>
                <w:sz w:val="18"/>
                <w:szCs w:val="18"/>
                <w:color w:val="auto"/>
              </w:rPr>
              <w:t>Included in earnings</w:t>
            </w:r>
          </w:p>
        </w:tc>
        <w:tc>
          <w:tcPr>
            <w:tcW w:w="100" w:type="dxa"/>
            <w:vAlign w:val="bottom"/>
          </w:tcPr>
          <w:p>
            <w:pPr>
              <w:spacing w:after="0"/>
              <w:rPr>
                <w:sz w:val="18"/>
                <w:szCs w:val="18"/>
                <w:color w:val="auto"/>
              </w:rPr>
            </w:pPr>
          </w:p>
        </w:tc>
        <w:tc>
          <w:tcPr>
            <w:tcW w:w="1120" w:type="dxa"/>
            <w:vAlign w:val="bottom"/>
            <w:gridSpan w:val="3"/>
          </w:tcPr>
          <w:p>
            <w:pPr>
              <w:jc w:val="right"/>
              <w:ind w:right="500"/>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Included in Other comprehensive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Purchases, issuances, and settlements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June 30, 2010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(338)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0"/>
        </w:trPr>
        <w:tc>
          <w:tcPr>
            <w:tcW w:w="7940" w:type="dxa"/>
            <w:vAlign w:val="bottom"/>
            <w:gridSpan w:val="3"/>
            <w:vMerge w:val="restart"/>
          </w:tcPr>
          <w:p>
            <w:pPr>
              <w:ind w:left="460"/>
              <w:spacing w:after="0"/>
              <w:rPr>
                <w:sz w:val="20"/>
                <w:szCs w:val="20"/>
                <w:color w:val="auto"/>
              </w:rPr>
            </w:pPr>
            <w:r>
              <w:rPr>
                <w:rFonts w:ascii="Arial" w:cs="Arial" w:eastAsia="Arial" w:hAnsi="Arial"/>
                <w:sz w:val="18"/>
                <w:szCs w:val="18"/>
                <w:color w:val="auto"/>
                <w:w w:val="97"/>
              </w:rPr>
              <w:t>Amount of total gains and (losses) in the period included in earnings attributable to the change in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94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480" w:type="dxa"/>
            <w:vAlign w:val="bottom"/>
            <w:gridSpan w:val="2"/>
          </w:tcPr>
          <w:p>
            <w:pPr>
              <w:ind w:left="220"/>
              <w:spacing w:after="0"/>
              <w:rPr>
                <w:sz w:val="20"/>
                <w:szCs w:val="20"/>
                <w:color w:val="auto"/>
              </w:rPr>
            </w:pPr>
            <w:r>
              <w:rPr>
                <w:rFonts w:ascii="Arial" w:cs="Arial" w:eastAsia="Arial" w:hAnsi="Arial"/>
                <w:sz w:val="18"/>
                <w:szCs w:val="18"/>
                <w:color w:val="auto"/>
              </w:rPr>
              <w:t>unrealized gains or (losses) relating to assets still held at the reporting date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jc w:val="right"/>
              <w:ind w:right="500"/>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gridSpan w:val="10"/>
          </w:tcPr>
          <w:p>
            <w:pPr>
              <w:jc w:val="right"/>
              <w:ind w:right="460"/>
              <w:spacing w:after="0"/>
              <w:rPr>
                <w:sz w:val="20"/>
                <w:szCs w:val="20"/>
                <w:color w:val="auto"/>
              </w:rPr>
            </w:pPr>
            <w:r>
              <w:rPr>
                <w:rFonts w:ascii="Arial" w:cs="Arial" w:eastAsia="Arial" w:hAnsi="Arial"/>
                <w:sz w:val="14"/>
                <w:szCs w:val="14"/>
                <w:b w:val="1"/>
                <w:bCs w:val="1"/>
                <w:color w:val="auto"/>
                <w:w w:val="97"/>
              </w:rPr>
              <w:t>Level 3 Net Assets and (Liabilities) (a)</w:t>
            </w: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7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3"/>
          </w:tcPr>
          <w:p>
            <w:pPr>
              <w:jc w:val="center"/>
              <w:ind w:right="640"/>
              <w:spacing w:after="0" w:line="129" w:lineRule="exact"/>
              <w:rPr>
                <w:sz w:val="20"/>
                <w:szCs w:val="20"/>
                <w:color w:val="auto"/>
              </w:rPr>
            </w:pPr>
            <w:r>
              <w:rPr>
                <w:rFonts w:ascii="Arial" w:cs="Arial" w:eastAsia="Arial" w:hAnsi="Arial"/>
                <w:sz w:val="14"/>
                <w:szCs w:val="14"/>
                <w:b w:val="1"/>
                <w:bCs w:val="1"/>
                <w:color w:val="auto"/>
                <w:w w:val="85"/>
              </w:rPr>
              <w:t>Foreign</w:t>
            </w:r>
          </w:p>
        </w:tc>
        <w:tc>
          <w:tcPr>
            <w:tcW w:w="1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0"/>
              </w:rPr>
              <w:t>Total 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220" w:type="dxa"/>
            <w:vAlign w:val="bottom"/>
            <w:gridSpan w:val="4"/>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Currency</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78"/>
              </w:rPr>
              <w:t>Assets</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220" w:type="dxa"/>
            <w:vAlign w:val="bottom"/>
            <w:gridSpan w:val="4"/>
          </w:tcPr>
          <w:p>
            <w:pPr>
              <w:ind w:left="20"/>
              <w:spacing w:after="0"/>
              <w:rPr>
                <w:sz w:val="20"/>
                <w:szCs w:val="20"/>
                <w:color w:val="auto"/>
              </w:rPr>
            </w:pPr>
            <w:r>
              <w:rPr>
                <w:rFonts w:ascii="Arial" w:cs="Arial" w:eastAsia="Arial" w:hAnsi="Arial"/>
                <w:sz w:val="14"/>
                <w:szCs w:val="14"/>
                <w:b w:val="1"/>
                <w:bCs w:val="1"/>
                <w:color w:val="auto"/>
              </w:rPr>
              <w:t>Derivatives</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Options</w:t>
            </w:r>
          </w:p>
        </w:tc>
        <w:tc>
          <w:tcPr>
            <w:tcW w:w="26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4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at January 1, 2010</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54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Transfer in and/or out of Level 3</w:t>
            </w:r>
          </w:p>
        </w:tc>
        <w:tc>
          <w:tcPr>
            <w:tcW w:w="100" w:type="dxa"/>
            <w:vAlign w:val="bottom"/>
          </w:tcPr>
          <w:p>
            <w:pPr>
              <w:spacing w:after="0"/>
              <w:rPr>
                <w:sz w:val="18"/>
                <w:szCs w:val="18"/>
                <w:color w:val="auto"/>
              </w:rPr>
            </w:pPr>
          </w:p>
        </w:tc>
        <w:tc>
          <w:tcPr>
            <w:tcW w:w="112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realized/unrealized gains (losses)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80" w:type="dxa"/>
            <w:vAlign w:val="bottom"/>
            <w:gridSpan w:val="2"/>
          </w:tcPr>
          <w:p>
            <w:pPr>
              <w:ind w:left="220"/>
              <w:spacing w:after="0"/>
              <w:rPr>
                <w:sz w:val="20"/>
                <w:szCs w:val="20"/>
                <w:color w:val="auto"/>
              </w:rPr>
            </w:pPr>
            <w:r>
              <w:rPr>
                <w:rFonts w:ascii="Arial" w:cs="Arial" w:eastAsia="Arial" w:hAnsi="Arial"/>
                <w:sz w:val="18"/>
                <w:szCs w:val="18"/>
                <w:color w:val="auto"/>
              </w:rPr>
              <w:t>Included in earnings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Included in Other comprehensive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Purchases, issuances, and settlements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258</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June 30, 2010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(338)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0"/>
        </w:trPr>
        <w:tc>
          <w:tcPr>
            <w:tcW w:w="7940" w:type="dxa"/>
            <w:vAlign w:val="bottom"/>
            <w:gridSpan w:val="3"/>
            <w:vMerge w:val="restart"/>
          </w:tcPr>
          <w:p>
            <w:pPr>
              <w:ind w:left="460"/>
              <w:spacing w:after="0"/>
              <w:rPr>
                <w:sz w:val="20"/>
                <w:szCs w:val="20"/>
                <w:color w:val="auto"/>
              </w:rPr>
            </w:pPr>
            <w:r>
              <w:rPr>
                <w:rFonts w:ascii="Arial" w:cs="Arial" w:eastAsia="Arial" w:hAnsi="Arial"/>
                <w:sz w:val="18"/>
                <w:szCs w:val="18"/>
                <w:color w:val="auto"/>
                <w:w w:val="97"/>
              </w:rPr>
              <w:t>Amount of total gains and (losses) in the period included in earnings attributable to the change in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94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480" w:type="dxa"/>
            <w:vAlign w:val="bottom"/>
            <w:gridSpan w:val="2"/>
          </w:tcPr>
          <w:p>
            <w:pPr>
              <w:ind w:left="220"/>
              <w:spacing w:after="0"/>
              <w:rPr>
                <w:sz w:val="20"/>
                <w:szCs w:val="20"/>
                <w:color w:val="auto"/>
              </w:rPr>
            </w:pPr>
            <w:r>
              <w:rPr>
                <w:rFonts w:ascii="Arial" w:cs="Arial" w:eastAsia="Arial" w:hAnsi="Arial"/>
                <w:sz w:val="18"/>
                <w:szCs w:val="18"/>
                <w:color w:val="auto"/>
              </w:rPr>
              <w:t>unrealized gains or (losses) relating to assets still held at the reporting date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Realized and unrealized gains (losses) are recorded in Interest income and other non-operating income (expense), net and foreign currency translation gains (losses) are recorded in Accumulated other comprehensive income.</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Short-Term and Long-Term Debt</w:t>
      </w:r>
    </w:p>
    <w:p>
      <w:pPr>
        <w:spacing w:after="0" w:line="171" w:lineRule="exact"/>
        <w:rPr>
          <w:sz w:val="20"/>
          <w:szCs w:val="20"/>
          <w:color w:val="auto"/>
        </w:rPr>
      </w:pPr>
    </w:p>
    <w:p>
      <w:pPr>
        <w:ind w:right="200" w:firstLine="228"/>
        <w:spacing w:after="0" w:line="268" w:lineRule="auto"/>
        <w:rPr>
          <w:sz w:val="20"/>
          <w:szCs w:val="20"/>
          <w:color w:val="auto"/>
        </w:rPr>
      </w:pPr>
      <w:r>
        <w:rPr>
          <w:rFonts w:ascii="Arial" w:cs="Arial" w:eastAsia="Arial" w:hAnsi="Arial"/>
          <w:sz w:val="18"/>
          <w:szCs w:val="18"/>
          <w:color w:val="auto"/>
        </w:rPr>
        <w:t>We determined the fair value of debt based on a discounted cash flow model which used benchmark yield curves plus a spread that represented the yields on traded bonds of companies with comparable credit ratings.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carrying amount and estimated fair values of short-term and long-term debt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June 30, 2011</w:t>
            </w:r>
          </w:p>
        </w:tc>
        <w:tc>
          <w:tcPr>
            <w:tcW w:w="420" w:type="dxa"/>
            <w:vAlign w:val="bottom"/>
          </w:tcPr>
          <w:p>
            <w:pPr>
              <w:spacing w:after="0"/>
              <w:rPr>
                <w:sz w:val="14"/>
                <w:szCs w:val="14"/>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4"/>
              </w:rPr>
              <w:t>December 31, 2010</w:t>
            </w:r>
          </w:p>
        </w:tc>
      </w:tr>
      <w:tr>
        <w:trPr>
          <w:trHeight w:val="210"/>
        </w:trPr>
        <w:tc>
          <w:tcPr>
            <w:tcW w:w="5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Carrying amount (a)</w:t>
            </w:r>
          </w:p>
        </w:tc>
        <w:tc>
          <w:tcPr>
            <w:tcW w:w="36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4,717</w:t>
            </w:r>
          </w:p>
        </w:tc>
        <w:tc>
          <w:tcPr>
            <w:tcW w:w="4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8"/>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5040" w:type="dxa"/>
            <w:vAlign w:val="bottom"/>
          </w:tcPr>
          <w:p>
            <w:pPr>
              <w:spacing w:after="0"/>
              <w:rPr>
                <w:sz w:val="20"/>
                <w:szCs w:val="20"/>
                <w:color w:val="auto"/>
              </w:rPr>
            </w:pPr>
            <w:r>
              <w:rPr>
                <w:rFonts w:ascii="Arial" w:cs="Arial" w:eastAsia="Arial" w:hAnsi="Arial"/>
                <w:sz w:val="18"/>
                <w:szCs w:val="18"/>
                <w:color w:val="auto"/>
              </w:rPr>
              <w:t>Fair value (a)</w:t>
            </w:r>
          </w:p>
        </w:tc>
        <w:tc>
          <w:tcPr>
            <w:tcW w:w="3840" w:type="dxa"/>
            <w:vAlign w:val="bottom"/>
            <w:gridSpan w:val="2"/>
          </w:tcPr>
          <w:p>
            <w:pPr>
              <w:ind w:left="36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4,916</w:t>
            </w:r>
          </w:p>
        </w:tc>
        <w:tc>
          <w:tcPr>
            <w:tcW w:w="80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4,840</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00" w:hanging="452"/>
        <w:spacing w:after="0" w:line="268"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Accounts and notes receivable, net and Accounts payable (principally trade) are not included because the carrying amount approximates fair value due to their short-term nature.</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Ally Financial Common and Preferred Stock</w:t>
      </w:r>
    </w:p>
    <w:p>
      <w:pPr>
        <w:spacing w:after="0" w:line="171" w:lineRule="exact"/>
        <w:rPr>
          <w:sz w:val="20"/>
          <w:szCs w:val="20"/>
          <w:color w:val="auto"/>
        </w:rPr>
      </w:pPr>
    </w:p>
    <w:p>
      <w:pPr>
        <w:ind w:right="600" w:firstLine="228"/>
        <w:spacing w:after="0" w:line="268" w:lineRule="auto"/>
        <w:rPr>
          <w:sz w:val="20"/>
          <w:szCs w:val="20"/>
          <w:color w:val="auto"/>
        </w:rPr>
      </w:pPr>
      <w:r>
        <w:rPr>
          <w:rFonts w:ascii="Arial" w:cs="Arial" w:eastAsia="Arial" w:hAnsi="Arial"/>
          <w:sz w:val="18"/>
          <w:szCs w:val="18"/>
          <w:color w:val="auto"/>
        </w:rPr>
        <w:t>We estimated the fair value of Ally Financial common stock using a market approach that applies the average price to tangible book value multiples of comparable companies to the consolidated Ally Financial tangible book value. The significant inputs used in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our fair value analysis were Ally Financial’s June 30, 2011 and December 31, 2010 financial statements, as well as the financial statements and price to tangible book value multiples of comparable companies in the banking and finance industry.</w:t>
      </w:r>
    </w:p>
    <w:p>
      <w:pPr>
        <w:spacing w:after="0" w:line="132" w:lineRule="exact"/>
        <w:rPr>
          <w:sz w:val="20"/>
          <w:szCs w:val="20"/>
          <w:color w:val="auto"/>
        </w:rPr>
      </w:pPr>
    </w:p>
    <w:p>
      <w:pPr>
        <w:ind w:right="140" w:firstLine="228"/>
        <w:spacing w:after="0" w:line="259" w:lineRule="auto"/>
        <w:rPr>
          <w:sz w:val="20"/>
          <w:szCs w:val="20"/>
          <w:color w:val="auto"/>
        </w:rPr>
      </w:pPr>
      <w:r>
        <w:rPr>
          <w:rFonts w:ascii="Arial" w:cs="Arial" w:eastAsia="Arial" w:hAnsi="Arial"/>
          <w:sz w:val="18"/>
          <w:szCs w:val="18"/>
          <w:color w:val="auto"/>
        </w:rPr>
        <w:t>We calculated the fair value of our investment in Ally Financial preferred stock as of December 31, 2010 using a discounted cash flow approach. The present value of the cash flows was determined using assumptions regarding the expected receipt of dividends on Ally Financial preferred stock and the expected call date.</w:t>
      </w:r>
    </w:p>
    <w:p>
      <w:pPr>
        <w:spacing w:after="0" w:line="140" w:lineRule="exact"/>
        <w:rPr>
          <w:sz w:val="20"/>
          <w:szCs w:val="20"/>
          <w:color w:val="auto"/>
        </w:rPr>
      </w:pPr>
    </w:p>
    <w:p>
      <w:pPr>
        <w:ind w:right="300" w:firstLine="228"/>
        <w:spacing w:after="0" w:line="268" w:lineRule="auto"/>
        <w:rPr>
          <w:sz w:val="20"/>
          <w:szCs w:val="20"/>
          <w:color w:val="auto"/>
        </w:rPr>
      </w:pPr>
      <w:r>
        <w:rPr>
          <w:rFonts w:ascii="Arial" w:cs="Arial" w:eastAsia="Arial" w:hAnsi="Arial"/>
          <w:sz w:val="18"/>
          <w:szCs w:val="18"/>
          <w:color w:val="auto"/>
        </w:rPr>
        <w:t>In March 2011 our investment in Ally Financial preferred stock was sold through a public offering for net proceeds of $1.0 billion. The gain of $0.3 billion related to the sale was recorded in Interest income and other non-operating income (expense), net.</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summarizes the carrying amount and estimated fair value of Ally Financial common and preferred stock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June 30, 2011</w:t>
            </w:r>
          </w:p>
        </w:tc>
        <w:tc>
          <w:tcPr>
            <w:tcW w:w="4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1"/>
              </w:rPr>
              <w:t>December 31, 2010</w:t>
            </w:r>
          </w:p>
        </w:tc>
      </w:tr>
      <w:tr>
        <w:trPr>
          <w:trHeight w:val="196"/>
        </w:trPr>
        <w:tc>
          <w:tcPr>
            <w:tcW w:w="5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Common stock</w:t>
            </w:r>
          </w:p>
        </w:tc>
        <w:tc>
          <w:tcPr>
            <w:tcW w:w="36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Carrying amount (a)</w:t>
            </w:r>
          </w:p>
        </w:tc>
        <w:tc>
          <w:tcPr>
            <w:tcW w:w="3840" w:type="dxa"/>
            <w:vAlign w:val="bottom"/>
            <w:gridSpan w:val="2"/>
          </w:tcPr>
          <w:p>
            <w:pPr>
              <w:ind w:left="36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959</w:t>
            </w: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964</w:t>
            </w:r>
          </w:p>
        </w:tc>
        <w:tc>
          <w:tcPr>
            <w:tcW w:w="10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3840" w:type="dxa"/>
            <w:vAlign w:val="bottom"/>
            <w:gridSpan w:val="2"/>
            <w:shd w:val="clear" w:color="auto" w:fill="CCEEFF"/>
          </w:tcPr>
          <w:p>
            <w:pPr>
              <w:ind w:left="36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1,014</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10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b w:val="1"/>
                <w:bCs w:val="1"/>
                <w:color w:val="auto"/>
              </w:rPr>
              <w:t>Preferred stock</w:t>
            </w:r>
          </w:p>
        </w:tc>
        <w:tc>
          <w:tcPr>
            <w:tcW w:w="3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w:t>
            </w:r>
          </w:p>
        </w:tc>
        <w:tc>
          <w:tcPr>
            <w:tcW w:w="3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00" w:type="dxa"/>
            <w:vAlign w:val="bottom"/>
            <w:shd w:val="clear" w:color="auto" w:fill="CCEEFF"/>
          </w:tcPr>
          <w:p>
            <w:pPr>
              <w:spacing w:after="0"/>
              <w:rPr>
                <w:sz w:val="18"/>
                <w:szCs w:val="18"/>
                <w:color w:val="auto"/>
              </w:rPr>
            </w:pPr>
          </w:p>
        </w:tc>
      </w:tr>
      <w:tr>
        <w:trPr>
          <w:trHeight w:val="222"/>
        </w:trPr>
        <w:tc>
          <w:tcPr>
            <w:tcW w:w="5040" w:type="dxa"/>
            <w:vAlign w:val="bottom"/>
          </w:tcPr>
          <w:p>
            <w:pPr>
              <w:spacing w:after="0"/>
              <w:rPr>
                <w:sz w:val="20"/>
                <w:szCs w:val="20"/>
                <w:color w:val="auto"/>
              </w:rPr>
            </w:pPr>
            <w:r>
              <w:rPr>
                <w:rFonts w:ascii="Arial" w:cs="Arial" w:eastAsia="Arial" w:hAnsi="Arial"/>
                <w:sz w:val="18"/>
                <w:szCs w:val="18"/>
                <w:color w:val="auto"/>
              </w:rPr>
              <w:t>Fair value</w:t>
            </w:r>
          </w:p>
        </w:tc>
        <w:tc>
          <w:tcPr>
            <w:tcW w:w="3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1,055</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440" w:hanging="452"/>
        <w:spacing w:after="0" w:line="268"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Investment in Ally Financial common stock at December 31, 2010 includes a 4.0% direct ownership and a 5.9% ownership held indirectly through an independent trust. In May 2011 we transferred all directly held shares to the independent trust.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Financing - GM Financial</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Measurements on a Recurring Basis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summarize the financial instruments measured at fair value on a recurring basis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960" w:type="dxa"/>
            <w:vAlign w:val="bottom"/>
            <w:gridSpan w:val="8"/>
          </w:tcPr>
          <w:p>
            <w:pPr>
              <w:ind w:left="120"/>
              <w:spacing w:after="0"/>
              <w:rPr>
                <w:sz w:val="20"/>
                <w:szCs w:val="20"/>
                <w:color w:val="auto"/>
              </w:rPr>
            </w:pPr>
            <w:r>
              <w:rPr>
                <w:rFonts w:ascii="Arial" w:cs="Arial" w:eastAsia="Arial" w:hAnsi="Arial"/>
                <w:sz w:val="14"/>
                <w:szCs w:val="14"/>
                <w:b w:val="1"/>
                <w:bCs w:val="1"/>
                <w:color w:val="auto"/>
                <w:w w:val="90"/>
              </w:rPr>
              <w:t>Fair Value Measurements on a Recurring Basis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at June 30, 2011</w:t>
            </w:r>
          </w:p>
        </w:tc>
        <w:tc>
          <w:tcPr>
            <w:tcW w:w="5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88"/>
              </w:rPr>
              <w:t>Level 1</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Cash equivalents (a)</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Money market funds</w:t>
            </w:r>
          </w:p>
        </w:tc>
        <w:tc>
          <w:tcPr>
            <w:tcW w:w="3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Restricted cash (a)</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Money market funds</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Derivatives</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rate swaps (b)</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Pr>
          <w:p>
            <w:pPr>
              <w:ind w:left="200"/>
              <w:spacing w:after="0"/>
              <w:rPr>
                <w:sz w:val="20"/>
                <w:szCs w:val="20"/>
                <w:color w:val="auto"/>
              </w:rPr>
            </w:pPr>
            <w:r>
              <w:rPr>
                <w:rFonts w:ascii="Arial" w:cs="Arial" w:eastAsia="Arial" w:hAnsi="Arial"/>
                <w:sz w:val="18"/>
                <w:szCs w:val="18"/>
                <w:color w:val="auto"/>
              </w:rPr>
              <w:t>Interest rate caps (b)</w:t>
            </w:r>
          </w:p>
        </w:tc>
        <w:tc>
          <w:tcPr>
            <w:tcW w:w="3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w w:val="88"/>
              </w:rPr>
              <w:t>—</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3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860" w:type="dxa"/>
            <w:vAlign w:val="bottom"/>
            <w:gridSpan w:val="2"/>
            <w:vMerge w:val="continue"/>
          </w:tcPr>
          <w:p>
            <w:pPr>
              <w:spacing w:after="0"/>
              <w:rPr>
                <w:sz w:val="18"/>
                <w:szCs w:val="18"/>
                <w:color w:val="auto"/>
              </w:rPr>
            </w:pP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200"/>
              <w:spacing w:after="0"/>
              <w:rPr>
                <w:sz w:val="20"/>
                <w:szCs w:val="20"/>
                <w:color w:val="auto"/>
              </w:rPr>
            </w:pPr>
            <w:r>
              <w:rPr>
                <w:rFonts w:ascii="Arial" w:cs="Arial" w:eastAsia="Arial" w:hAnsi="Arial"/>
                <w:sz w:val="18"/>
                <w:szCs w:val="18"/>
                <w:color w:val="auto"/>
              </w:rPr>
              <w:t>Interest rate swaps (b)</w:t>
            </w:r>
          </w:p>
        </w:tc>
        <w:tc>
          <w:tcPr>
            <w:tcW w:w="3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400"/>
              <w:spacing w:after="0"/>
              <w:rPr>
                <w:sz w:val="20"/>
                <w:szCs w:val="20"/>
                <w:color w:val="auto"/>
              </w:rPr>
            </w:pPr>
            <w:r>
              <w:rPr>
                <w:rFonts w:ascii="Arial" w:cs="Arial" w:eastAsia="Arial" w:hAnsi="Arial"/>
                <w:sz w:val="18"/>
                <w:szCs w:val="18"/>
                <w:color w:val="auto"/>
              </w:rPr>
              <w:t>24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rate caps (b)</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Pr>
          <w:p>
            <w:pPr>
              <w:ind w:left="200"/>
              <w:spacing w:after="0"/>
              <w:rPr>
                <w:sz w:val="20"/>
                <w:szCs w:val="20"/>
                <w:color w:val="auto"/>
              </w:rPr>
            </w:pPr>
            <w:r>
              <w:rPr>
                <w:rFonts w:ascii="Arial" w:cs="Arial" w:eastAsia="Arial" w:hAnsi="Arial"/>
                <w:sz w:val="18"/>
                <w:szCs w:val="18"/>
                <w:color w:val="auto"/>
              </w:rPr>
              <w:t>Foreign currency contracts</w:t>
            </w:r>
          </w:p>
        </w:tc>
        <w:tc>
          <w:tcPr>
            <w:tcW w:w="3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w w:val="88"/>
              </w:rPr>
              <w:t>—</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24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140" w:type="dxa"/>
            <w:vAlign w:val="bottom"/>
            <w:vMerge w:val="restart"/>
          </w:tcPr>
          <w:p>
            <w:pPr>
              <w:jc w:val="right"/>
              <w:ind w:right="1112"/>
              <w:spacing w:after="0"/>
              <w:rPr>
                <w:sz w:val="20"/>
                <w:szCs w:val="20"/>
                <w:color w:val="auto"/>
              </w:rPr>
            </w:pPr>
            <w:r>
              <w:rPr>
                <w:rFonts w:ascii="Arial" w:cs="Arial" w:eastAsia="Arial" w:hAnsi="Arial"/>
                <w:sz w:val="18"/>
                <w:szCs w:val="18"/>
                <w:color w:val="auto"/>
              </w:rPr>
              <w:t>39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960" w:type="dxa"/>
            <w:vAlign w:val="bottom"/>
            <w:gridSpan w:val="8"/>
          </w:tcPr>
          <w:p>
            <w:pPr>
              <w:jc w:val="center"/>
              <w:spacing w:after="0"/>
              <w:rPr>
                <w:sz w:val="20"/>
                <w:szCs w:val="20"/>
                <w:color w:val="auto"/>
              </w:rPr>
            </w:pPr>
            <w:r>
              <w:rPr>
                <w:rFonts w:ascii="Arial" w:cs="Arial" w:eastAsia="Arial" w:hAnsi="Arial"/>
                <w:sz w:val="14"/>
                <w:szCs w:val="14"/>
                <w:b w:val="1"/>
                <w:bCs w:val="1"/>
                <w:color w:val="auto"/>
                <w:w w:val="86"/>
              </w:rPr>
              <w:t>Fair Value Measurements on a Recurring Basis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6"/>
          </w:tcPr>
          <w:p>
            <w:pPr>
              <w:jc w:val="center"/>
              <w:ind w:right="680"/>
              <w:spacing w:after="0"/>
              <w:rPr>
                <w:sz w:val="20"/>
                <w:szCs w:val="20"/>
                <w:color w:val="auto"/>
              </w:rPr>
            </w:pPr>
            <w:r>
              <w:rPr>
                <w:rFonts w:ascii="Arial" w:cs="Arial" w:eastAsia="Arial" w:hAnsi="Arial"/>
                <w:sz w:val="14"/>
                <w:szCs w:val="14"/>
                <w:b w:val="1"/>
                <w:bCs w:val="1"/>
                <w:color w:val="auto"/>
                <w:w w:val="87"/>
              </w:rPr>
              <w:t>at December 31, 2010</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88"/>
              </w:rPr>
              <w:t>Level 1</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Cash equivalents (a)</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Money market funds</w:t>
            </w:r>
          </w:p>
        </w:tc>
        <w:tc>
          <w:tcPr>
            <w:tcW w:w="2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Restricted cash (a)</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Money market funds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Derivatives</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rate swaps (b)</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gridSpan w:val="2"/>
          </w:tcPr>
          <w:p>
            <w:pPr>
              <w:ind w:left="200"/>
              <w:spacing w:after="0"/>
              <w:rPr>
                <w:sz w:val="20"/>
                <w:szCs w:val="20"/>
                <w:color w:val="auto"/>
              </w:rPr>
            </w:pPr>
            <w:r>
              <w:rPr>
                <w:rFonts w:ascii="Arial" w:cs="Arial" w:eastAsia="Arial" w:hAnsi="Arial"/>
                <w:sz w:val="18"/>
                <w:szCs w:val="18"/>
                <w:color w:val="auto"/>
              </w:rPr>
              <w:t>Interest rate caps (b)</w:t>
            </w:r>
          </w:p>
        </w:tc>
        <w:tc>
          <w:tcPr>
            <w:tcW w:w="2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w w:val="88"/>
              </w:rPr>
              <w:t>—</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2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23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540" w:type="dxa"/>
            <w:vAlign w:val="bottom"/>
            <w:gridSpan w:val="3"/>
            <w:vMerge w:val="continue"/>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ind w:left="200"/>
              <w:spacing w:after="0"/>
              <w:rPr>
                <w:sz w:val="20"/>
                <w:szCs w:val="20"/>
                <w:color w:val="auto"/>
              </w:rPr>
            </w:pPr>
            <w:r>
              <w:rPr>
                <w:rFonts w:ascii="Arial" w:cs="Arial" w:eastAsia="Arial" w:hAnsi="Arial"/>
                <w:sz w:val="18"/>
                <w:szCs w:val="18"/>
                <w:color w:val="auto"/>
              </w:rPr>
              <w:t>Interest rate swaps (b)</w:t>
            </w:r>
          </w:p>
        </w:tc>
        <w:tc>
          <w:tcPr>
            <w:tcW w:w="2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400"/>
              <w:spacing w:after="0"/>
              <w:rPr>
                <w:sz w:val="20"/>
                <w:szCs w:val="20"/>
                <w:color w:val="auto"/>
              </w:rPr>
            </w:pPr>
            <w:r>
              <w:rPr>
                <w:rFonts w:ascii="Arial" w:cs="Arial" w:eastAsia="Arial" w:hAnsi="Arial"/>
                <w:sz w:val="18"/>
                <w:szCs w:val="18"/>
                <w:color w:val="auto"/>
              </w:rPr>
              <w:t>47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rate caps (b)</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gridSpan w:val="2"/>
          </w:tcPr>
          <w:p>
            <w:pPr>
              <w:ind w:left="200"/>
              <w:spacing w:after="0"/>
              <w:rPr>
                <w:sz w:val="20"/>
                <w:szCs w:val="20"/>
                <w:color w:val="auto"/>
              </w:rPr>
            </w:pPr>
            <w:r>
              <w:rPr>
                <w:rFonts w:ascii="Arial" w:cs="Arial" w:eastAsia="Arial" w:hAnsi="Arial"/>
                <w:sz w:val="18"/>
                <w:szCs w:val="18"/>
                <w:color w:val="auto"/>
              </w:rPr>
              <w:t>Foreign currency contracts</w:t>
            </w:r>
          </w:p>
        </w:tc>
        <w:tc>
          <w:tcPr>
            <w:tcW w:w="2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w w:val="88"/>
              </w:rPr>
              <w:t>—</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47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38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Cash deposits and cash held in Guaranteed Investment Contracts have been excluded.</w:t>
      </w:r>
    </w:p>
    <w:p>
      <w:pPr>
        <w:spacing w:after="0" w:line="90" w:lineRule="exact"/>
        <w:rPr>
          <w:rFonts w:ascii="Arial" w:cs="Arial" w:eastAsia="Arial" w:hAnsi="Arial"/>
          <w:sz w:val="18"/>
          <w:szCs w:val="18"/>
          <w:color w:val="auto"/>
        </w:rPr>
      </w:pPr>
    </w:p>
    <w:p>
      <w:pPr>
        <w:ind w:left="460" w:right="420" w:hanging="452"/>
        <w:spacing w:after="0" w:line="332"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fair value of interest rate swap and cap derivatives are based upon quoted market prices when available. If quoted prices are not available, the fair value is estimated by discounting future net cash flows expected to be settled using a current risk adjusted rate.</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Measurements on a Recurring Basis using Level 3 Inputs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summarize the activity for financial instruments classified in Level 3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78"/>
              </w:rPr>
              <w:t>Assets</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Liabilities</w:t>
            </w:r>
          </w:p>
        </w:tc>
        <w:tc>
          <w:tcPr>
            <w:tcW w:w="0" w:type="dxa"/>
            <w:vAlign w:val="bottom"/>
          </w:tcPr>
          <w:p>
            <w:pPr>
              <w:spacing w:after="0"/>
              <w:rPr>
                <w:sz w:val="1"/>
                <w:szCs w:val="1"/>
                <w:color w:val="auto"/>
              </w:rPr>
            </w:pPr>
          </w:p>
        </w:tc>
      </w:tr>
      <w:tr>
        <w:trPr>
          <w:trHeight w:val="129"/>
        </w:trPr>
        <w:tc>
          <w:tcPr>
            <w:tcW w:w="458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7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Interest Rate</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Interest Rate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Swap</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Swap</w:t>
            </w:r>
          </w:p>
        </w:tc>
        <w:tc>
          <w:tcPr>
            <w:tcW w:w="0" w:type="dxa"/>
            <w:vAlign w:val="bottom"/>
          </w:tcPr>
          <w:p>
            <w:pPr>
              <w:spacing w:after="0"/>
              <w:rPr>
                <w:sz w:val="1"/>
                <w:szCs w:val="1"/>
                <w:color w:val="auto"/>
              </w:rPr>
            </w:pPr>
          </w:p>
        </w:tc>
      </w:tr>
      <w:tr>
        <w:trPr>
          <w:trHeight w:val="161"/>
        </w:trPr>
        <w:tc>
          <w:tcPr>
            <w:tcW w:w="458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2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8"/>
              </w:rPr>
              <w:t>Derivatives</w:t>
            </w:r>
          </w:p>
        </w:tc>
        <w:tc>
          <w:tcPr>
            <w:tcW w:w="380" w:type="dxa"/>
            <w:vAlign w:val="bottom"/>
          </w:tcPr>
          <w:p>
            <w:pPr>
              <w:spacing w:after="0"/>
              <w:rPr>
                <w:sz w:val="14"/>
                <w:szCs w:val="14"/>
                <w:color w:val="auto"/>
              </w:rPr>
            </w:pPr>
          </w:p>
        </w:tc>
        <w:tc>
          <w:tcPr>
            <w:tcW w:w="8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Derivatives</w:t>
            </w:r>
          </w:p>
        </w:tc>
        <w:tc>
          <w:tcPr>
            <w:tcW w:w="0" w:type="dxa"/>
            <w:vAlign w:val="bottom"/>
          </w:tcPr>
          <w:p>
            <w:pPr>
              <w:spacing w:after="0"/>
              <w:rPr>
                <w:sz w:val="1"/>
                <w:szCs w:val="1"/>
                <w:color w:val="auto"/>
              </w:rPr>
            </w:pPr>
          </w:p>
        </w:tc>
      </w:tr>
      <w:tr>
        <w:trPr>
          <w:trHeight w:val="210"/>
        </w:trPr>
        <w:tc>
          <w:tcPr>
            <w:tcW w:w="45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April 1, 2011</w:t>
            </w:r>
          </w:p>
        </w:tc>
        <w:tc>
          <w:tcPr>
            <w:tcW w:w="4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Transfers in and/or out of Level 3</w:t>
            </w:r>
          </w:p>
        </w:tc>
        <w:tc>
          <w:tcPr>
            <w:tcW w:w="4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realized/unrealized gains (losses)</w:t>
            </w:r>
          </w:p>
        </w:tc>
        <w:tc>
          <w:tcPr>
            <w:tcW w:w="4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220"/>
              <w:spacing w:after="0"/>
              <w:rPr>
                <w:sz w:val="20"/>
                <w:szCs w:val="20"/>
                <w:color w:val="auto"/>
              </w:rPr>
            </w:pPr>
            <w:r>
              <w:rPr>
                <w:rFonts w:ascii="Arial" w:cs="Arial" w:eastAsia="Arial" w:hAnsi="Arial"/>
                <w:sz w:val="18"/>
                <w:szCs w:val="18"/>
                <w:color w:val="auto"/>
              </w:rPr>
              <w:t>Included in earnings</w:t>
            </w:r>
          </w:p>
        </w:tc>
        <w:tc>
          <w:tcPr>
            <w:tcW w:w="4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Included in other comprehensive income (loss)</w:t>
            </w:r>
          </w:p>
        </w:tc>
        <w:tc>
          <w:tcPr>
            <w:tcW w:w="4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Purchases</w:t>
            </w:r>
          </w:p>
        </w:tc>
        <w:tc>
          <w:tcPr>
            <w:tcW w:w="4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4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Issuances</w:t>
            </w:r>
          </w:p>
        </w:tc>
        <w:tc>
          <w:tcPr>
            <w:tcW w:w="4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4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Balance at June 30, 2011</w:t>
            </w:r>
          </w:p>
        </w:tc>
        <w:tc>
          <w:tcPr>
            <w:tcW w:w="4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580" w:type="dxa"/>
            <w:vAlign w:val="bottom"/>
            <w:vMerge w:val="continue"/>
          </w:tcPr>
          <w:p>
            <w:pPr>
              <w:spacing w:after="0"/>
              <w:rPr>
                <w:sz w:val="19"/>
                <w:szCs w:val="19"/>
                <w:color w:val="auto"/>
              </w:rPr>
            </w:pPr>
          </w:p>
        </w:tc>
        <w:tc>
          <w:tcPr>
            <w:tcW w:w="44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13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4400" w:type="dxa"/>
            <w:vAlign w:val="bottom"/>
            <w:vMerge w:val="restart"/>
          </w:tcPr>
          <w:p>
            <w:pPr>
              <w:jc w:val="right"/>
              <w:ind w:right="3092"/>
              <w:spacing w:after="0"/>
              <w:rPr>
                <w:sz w:val="20"/>
                <w:szCs w:val="20"/>
                <w:color w:val="auto"/>
              </w:rPr>
            </w:pPr>
            <w:r>
              <w:rPr>
                <w:rFonts w:ascii="Arial" w:cs="Arial" w:eastAsia="Arial" w:hAnsi="Arial"/>
                <w:sz w:val="18"/>
                <w:szCs w:val="18"/>
                <w:color w:val="auto"/>
              </w:rPr>
              <w:t>40</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80" w:type="dxa"/>
            <w:vAlign w:val="bottom"/>
          </w:tcPr>
          <w:p>
            <w:pPr>
              <w:spacing w:after="0"/>
              <w:rPr>
                <w:sz w:val="24"/>
                <w:szCs w:val="24"/>
                <w:color w:val="auto"/>
              </w:rPr>
            </w:pPr>
          </w:p>
        </w:tc>
        <w:tc>
          <w:tcPr>
            <w:tcW w:w="44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78"/>
              </w:rPr>
              <w:t>Assets</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Liabilities</w:t>
            </w:r>
          </w:p>
        </w:tc>
        <w:tc>
          <w:tcPr>
            <w:tcW w:w="0" w:type="dxa"/>
            <w:vAlign w:val="bottom"/>
          </w:tcPr>
          <w:p>
            <w:pPr>
              <w:spacing w:after="0"/>
              <w:rPr>
                <w:sz w:val="1"/>
                <w:szCs w:val="1"/>
                <w:color w:val="auto"/>
              </w:rPr>
            </w:pPr>
          </w:p>
        </w:tc>
      </w:tr>
      <w:tr>
        <w:trPr>
          <w:trHeight w:val="129"/>
        </w:trPr>
        <w:tc>
          <w:tcPr>
            <w:tcW w:w="8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Interest Rate</w:t>
            </w:r>
          </w:p>
        </w:tc>
        <w:tc>
          <w:tcPr>
            <w:tcW w:w="440" w:type="dxa"/>
            <w:vAlign w:val="bottom"/>
            <w:gridSpan w:val="2"/>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Interest Rate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Swap</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Swap</w:t>
            </w:r>
          </w:p>
        </w:tc>
        <w:tc>
          <w:tcPr>
            <w:tcW w:w="0" w:type="dxa"/>
            <w:vAlign w:val="bottom"/>
          </w:tcPr>
          <w:p>
            <w:pPr>
              <w:spacing w:after="0"/>
              <w:rPr>
                <w:sz w:val="1"/>
                <w:szCs w:val="1"/>
                <w:color w:val="auto"/>
              </w:rPr>
            </w:pPr>
          </w:p>
        </w:tc>
      </w:tr>
      <w:tr>
        <w:trPr>
          <w:trHeight w:val="161"/>
        </w:trPr>
        <w:tc>
          <w:tcPr>
            <w:tcW w:w="8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88"/>
              </w:rPr>
              <w:t>Derivatives</w:t>
            </w:r>
          </w:p>
        </w:tc>
        <w:tc>
          <w:tcPr>
            <w:tcW w:w="380" w:type="dxa"/>
            <w:vAlign w:val="bottom"/>
          </w:tcPr>
          <w:p>
            <w:pPr>
              <w:spacing w:after="0"/>
              <w:rPr>
                <w:sz w:val="14"/>
                <w:szCs w:val="14"/>
                <w:color w:val="auto"/>
              </w:rPr>
            </w:pPr>
          </w:p>
        </w:tc>
        <w:tc>
          <w:tcPr>
            <w:tcW w:w="8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Derivatives</w:t>
            </w:r>
          </w:p>
        </w:tc>
        <w:tc>
          <w:tcPr>
            <w:tcW w:w="0" w:type="dxa"/>
            <w:vAlign w:val="bottom"/>
          </w:tcPr>
          <w:p>
            <w:pPr>
              <w:spacing w:after="0"/>
              <w:rPr>
                <w:sz w:val="1"/>
                <w:szCs w:val="1"/>
                <w:color w:val="auto"/>
              </w:rPr>
            </w:pPr>
          </w:p>
        </w:tc>
      </w:tr>
      <w:tr>
        <w:trPr>
          <w:trHeight w:val="210"/>
        </w:trPr>
        <w:tc>
          <w:tcPr>
            <w:tcW w:w="8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January 1, 2011</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Transfers in and/or out of Level 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Total realized/unrealized gains (losses)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ind w:left="220"/>
              <w:spacing w:after="0"/>
              <w:rPr>
                <w:sz w:val="20"/>
                <w:szCs w:val="20"/>
                <w:color w:val="auto"/>
              </w:rPr>
            </w:pPr>
            <w:r>
              <w:rPr>
                <w:rFonts w:ascii="Arial" w:cs="Arial" w:eastAsia="Arial" w:hAnsi="Arial"/>
                <w:sz w:val="18"/>
                <w:szCs w:val="18"/>
                <w:color w:val="auto"/>
              </w:rPr>
              <w:t>Included in earnings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Included in other comprehensive income (loss)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Purchases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Issuances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8980" w:type="dxa"/>
            <w:vAlign w:val="bottom"/>
            <w:vMerge w:val="restart"/>
          </w:tcPr>
          <w:p>
            <w:pPr>
              <w:spacing w:after="0"/>
              <w:rPr>
                <w:sz w:val="20"/>
                <w:szCs w:val="20"/>
                <w:color w:val="auto"/>
              </w:rPr>
            </w:pPr>
            <w:r>
              <w:rPr>
                <w:rFonts w:ascii="Arial" w:cs="Arial" w:eastAsia="Arial" w:hAnsi="Arial"/>
                <w:sz w:val="18"/>
                <w:szCs w:val="18"/>
                <w:color w:val="auto"/>
              </w:rPr>
              <w:t>Balance at June 30, 2011</w:t>
            </w: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980" w:type="dxa"/>
            <w:vAlign w:val="bottom"/>
            <w:vMerge w:val="continue"/>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42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80" w:firstLine="228"/>
        <w:spacing w:after="0" w:line="268" w:lineRule="auto"/>
        <w:rPr>
          <w:sz w:val="20"/>
          <w:szCs w:val="20"/>
          <w:color w:val="auto"/>
        </w:rPr>
      </w:pPr>
      <w:r>
        <w:rPr>
          <w:rFonts w:ascii="Arial" w:cs="Arial" w:eastAsia="Arial" w:hAnsi="Arial"/>
          <w:sz w:val="18"/>
          <w:szCs w:val="18"/>
          <w:color w:val="auto"/>
        </w:rPr>
        <w:t>The following table summarizes estimated fair values, carrying amounts and various methods and assumptions used in valuing GM Financial’s financial instruments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June 30, 2011</w:t>
            </w:r>
          </w:p>
        </w:tc>
        <w:tc>
          <w:tcPr>
            <w:tcW w:w="100" w:type="dxa"/>
            <w:vAlign w:val="bottom"/>
          </w:tcPr>
          <w:p>
            <w:pPr>
              <w:spacing w:after="0"/>
              <w:rPr>
                <w:sz w:val="14"/>
                <w:szCs w:val="14"/>
                <w:color w:val="auto"/>
              </w:rPr>
            </w:pPr>
          </w:p>
        </w:tc>
        <w:tc>
          <w:tcPr>
            <w:tcW w:w="1540" w:type="dxa"/>
            <w:vAlign w:val="bottom"/>
            <w:gridSpan w:val="5"/>
          </w:tcPr>
          <w:p>
            <w:pPr>
              <w:ind w:left="120"/>
              <w:spacing w:after="0"/>
              <w:rPr>
                <w:sz w:val="20"/>
                <w:szCs w:val="20"/>
                <w:color w:val="auto"/>
              </w:rPr>
            </w:pPr>
            <w:r>
              <w:rPr>
                <w:rFonts w:ascii="Arial" w:cs="Arial" w:eastAsia="Arial" w:hAnsi="Arial"/>
                <w:sz w:val="14"/>
                <w:szCs w:val="14"/>
                <w:b w:val="1"/>
                <w:bCs w:val="1"/>
                <w:color w:val="auto"/>
              </w:rPr>
              <w:t>December 31, 2010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Estimated</w:t>
            </w:r>
          </w:p>
        </w:tc>
        <w:tc>
          <w:tcPr>
            <w:tcW w:w="4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Estimated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9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c>
          <w:tcPr>
            <w:tcW w:w="90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Fair</w:t>
            </w: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c>
          <w:tcPr>
            <w:tcW w:w="5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96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9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0"/>
              </w:rPr>
              <w:t>Value</w:t>
            </w: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Finance receivables, net (a)</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8,587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8,768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8,197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8,186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liabilities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Syndicated and lease warehouse facilities (b)</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Medium term note facility and bank funding facilities (c)</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Securitization notes payable (c)</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6,881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6,915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6,128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6,107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Senior notes and convertible senior notes (c)</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571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578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300" w:hanging="452"/>
        <w:spacing w:after="0" w:line="26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fair value of the finance receivables is estimated based upon forecasted cash flows discounted using a pre-tax weighted-average cost of capital. The forecast includes factors such as prepayment, defaults, recoveries and fee income assumptions.</w:t>
      </w:r>
    </w:p>
    <w:p>
      <w:pPr>
        <w:spacing w:after="0" w:line="5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syndicated and lease warehouse facilities have variable rates of interest and maturities of approximately one year. The carrying amount is considered to be a reasonable estimate of fair value.</w:t>
      </w:r>
    </w:p>
    <w:p>
      <w:pPr>
        <w:spacing w:after="0" w:line="50" w:lineRule="exact"/>
        <w:rPr>
          <w:rFonts w:ascii="Arial" w:cs="Arial" w:eastAsia="Arial" w:hAnsi="Arial"/>
          <w:sz w:val="18"/>
          <w:szCs w:val="18"/>
          <w:color w:val="auto"/>
        </w:rPr>
      </w:pPr>
    </w:p>
    <w:p>
      <w:pPr>
        <w:jc w:val="both"/>
        <w:ind w:left="460" w:right="40" w:hanging="452"/>
        <w:spacing w:after="0" w:line="259"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fair values of the medium term note and bank funding facilities, securitization notes payable and senior notes and convertible senior notes are based on quoted market prices, when available. If quoted market prices are not available, the fair value is estimated by discounting future net cash flows expected to be settled using a current risk-adjusted rate.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Restructuring and Other Initiatives</w:t>
      </w:r>
    </w:p>
    <w:p>
      <w:pPr>
        <w:spacing w:after="0" w:line="177" w:lineRule="exact"/>
        <w:rPr>
          <w:sz w:val="20"/>
          <w:szCs w:val="20"/>
          <w:color w:val="auto"/>
        </w:rPr>
      </w:pPr>
    </w:p>
    <w:p>
      <w:pPr>
        <w:ind w:right="120" w:firstLine="228"/>
        <w:spacing w:after="0" w:line="259" w:lineRule="auto"/>
        <w:rPr>
          <w:sz w:val="20"/>
          <w:szCs w:val="20"/>
          <w:color w:val="auto"/>
        </w:rPr>
      </w:pPr>
      <w:r>
        <w:rPr>
          <w:rFonts w:ascii="Arial" w:cs="Arial" w:eastAsia="Arial" w:hAnsi="Arial"/>
          <w:sz w:val="18"/>
          <w:szCs w:val="18"/>
          <w:color w:val="auto"/>
        </w:rPr>
        <w:t>We have previously executed various restructuring and other initiatives, and we plan to execute additional initiatives in the future, if necessary, in order to align manufacturing capacity and other costs with prevailing global automotive production and to improve the utilization of remaining facilities. Related charges are recorded in Automotive cost of sales and Automotive selling, general and administrative expense.</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GM Financial did not execute any new restructuring initiatives in the three and six months ended June 30, 2011.</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jc w:val="both"/>
        <w:ind w:right="580" w:firstLine="228"/>
        <w:spacing w:after="0" w:line="259" w:lineRule="auto"/>
        <w:rPr>
          <w:sz w:val="20"/>
          <w:szCs w:val="20"/>
          <w:color w:val="auto"/>
        </w:rPr>
      </w:pPr>
      <w:r>
        <w:rPr>
          <w:rFonts w:ascii="Arial" w:cs="Arial" w:eastAsia="Arial" w:hAnsi="Arial"/>
          <w:sz w:val="18"/>
          <w:szCs w:val="18"/>
          <w:color w:val="auto"/>
        </w:rPr>
        <w:t>The following table summarizes the reserves related to restructuring and other initiatives (excluding restructuring reserves related to dealer wind-down agreements) and charges by segment, including postemployment benefit reserves and charges in the three and six months ended June 30, 2011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7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GMNA</w:t>
            </w:r>
          </w:p>
        </w:tc>
        <w:tc>
          <w:tcPr>
            <w:tcW w:w="220" w:type="dxa"/>
            <w:vAlign w:val="bottom"/>
          </w:tcPr>
          <w:p>
            <w:pPr>
              <w:spacing w:after="0"/>
              <w:rPr>
                <w:sz w:val="14"/>
                <w:szCs w:val="14"/>
                <w:color w:val="auto"/>
              </w:rPr>
            </w:pPr>
          </w:p>
        </w:tc>
        <w:tc>
          <w:tcPr>
            <w:tcW w:w="9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GME</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GMIO</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GMSA</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94"/>
              </w:rPr>
              <w:t>Total Automotive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at January 1, 2011</w:t>
            </w:r>
          </w:p>
        </w:tc>
        <w:tc>
          <w:tcPr>
            <w:tcW w:w="20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1,135</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$ 664</w:t>
            </w: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26</w:t>
            </w:r>
          </w:p>
        </w:tc>
        <w:tc>
          <w:tcPr>
            <w:tcW w:w="1120" w:type="dxa"/>
            <w:vAlign w:val="bottom"/>
            <w:gridSpan w:val="3"/>
          </w:tcPr>
          <w:p>
            <w:pPr>
              <w:jc w:val="right"/>
              <w:ind w:right="48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7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50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accretion and other</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w:t>
            </w:r>
          </w:p>
        </w:tc>
        <w:tc>
          <w:tcPr>
            <w:tcW w:w="11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Payments</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(129)</w:t>
            </w:r>
          </w:p>
        </w:tc>
        <w:tc>
          <w:tcPr>
            <w:tcW w:w="1120" w:type="dxa"/>
            <w:vAlign w:val="bottom"/>
            <w:gridSpan w:val="3"/>
          </w:tcPr>
          <w:p>
            <w:pPr>
              <w:jc w:val="right"/>
              <w:ind w:right="420"/>
              <w:spacing w:after="0"/>
              <w:rPr>
                <w:sz w:val="20"/>
                <w:szCs w:val="20"/>
                <w:color w:val="auto"/>
              </w:rPr>
            </w:pPr>
            <w:r>
              <w:rPr>
                <w:rFonts w:ascii="Arial" w:cs="Arial" w:eastAsia="Arial" w:hAnsi="Arial"/>
                <w:sz w:val="18"/>
                <w:szCs w:val="18"/>
                <w:color w:val="auto"/>
              </w:rPr>
              <w:t>(205)</w:t>
            </w:r>
          </w:p>
        </w:tc>
        <w:tc>
          <w:tcPr>
            <w:tcW w:w="160" w:type="dxa"/>
            <w:vAlign w:val="bottom"/>
          </w:tcPr>
          <w:p>
            <w:pPr>
              <w:spacing w:after="0"/>
              <w:rPr>
                <w:sz w:val="18"/>
                <w:szCs w:val="18"/>
                <w:color w:val="auto"/>
              </w:rPr>
            </w:pPr>
          </w:p>
        </w:tc>
        <w:tc>
          <w:tcPr>
            <w:tcW w:w="720" w:type="dxa"/>
            <w:vAlign w:val="bottom"/>
            <w:gridSpan w:val="2"/>
          </w:tcPr>
          <w:p>
            <w:pPr>
              <w:jc w:val="right"/>
              <w:ind w:right="42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740" w:type="dxa"/>
            <w:vAlign w:val="bottom"/>
            <w:gridSpan w:val="2"/>
          </w:tcPr>
          <w:p>
            <w:pPr>
              <w:jc w:val="right"/>
              <w:ind w:right="44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Revisions to estimates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Effect of foreign currency translation</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34</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March 31, 2011</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1,062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0"/>
        </w:trPr>
        <w:tc>
          <w:tcPr>
            <w:tcW w:w="4640" w:type="dxa"/>
            <w:vAlign w:val="bottom"/>
            <w:gridSpan w:val="3"/>
            <w:vMerge w:val="restart"/>
          </w:tcPr>
          <w:p>
            <w:pPr>
              <w:spacing w:after="0"/>
              <w:rPr>
                <w:sz w:val="20"/>
                <w:szCs w:val="20"/>
                <w:color w:val="auto"/>
              </w:rPr>
            </w:pPr>
            <w:r>
              <w:rPr>
                <w:rFonts w:ascii="Arial" w:cs="Arial" w:eastAsia="Arial" w:hAnsi="Arial"/>
                <w:sz w:val="18"/>
                <w:szCs w:val="18"/>
                <w:color w:val="auto"/>
              </w:rPr>
              <w:t>Additions</w:t>
            </w:r>
          </w:p>
        </w:tc>
        <w:tc>
          <w:tcPr>
            <w:tcW w:w="20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40" w:type="dxa"/>
            <w:vAlign w:val="bottom"/>
            <w:gridSpan w:val="3"/>
            <w:vMerge w:val="continue"/>
          </w:tcPr>
          <w:p>
            <w:pPr>
              <w:spacing w:after="0"/>
              <w:rPr>
                <w:sz w:val="19"/>
                <w:szCs w:val="19"/>
                <w:color w:val="auto"/>
              </w:rPr>
            </w:pPr>
          </w:p>
        </w:tc>
        <w:tc>
          <w:tcPr>
            <w:tcW w:w="2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62</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50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accretion and other</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11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Payments</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(109)</w:t>
            </w:r>
          </w:p>
        </w:tc>
        <w:tc>
          <w:tcPr>
            <w:tcW w:w="1120" w:type="dxa"/>
            <w:vAlign w:val="bottom"/>
            <w:gridSpan w:val="3"/>
          </w:tcPr>
          <w:p>
            <w:pPr>
              <w:jc w:val="right"/>
              <w:ind w:right="420"/>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18"/>
                <w:szCs w:val="18"/>
                <w:color w:val="auto"/>
              </w:rPr>
            </w:pPr>
          </w:p>
        </w:tc>
        <w:tc>
          <w:tcPr>
            <w:tcW w:w="7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44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Revisions to estimates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Effect of foreign currency translation</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120" w:type="dxa"/>
            <w:vAlign w:val="bottom"/>
            <w:gridSpan w:val="3"/>
          </w:tcPr>
          <w:p>
            <w:pPr>
              <w:jc w:val="right"/>
              <w:ind w:right="48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7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June 30, 2011 (a)</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958</w:t>
            </w:r>
          </w:p>
        </w:tc>
        <w:tc>
          <w:tcPr>
            <w:tcW w:w="11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$ 563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480" w:type="dxa"/>
            <w:vAlign w:val="bottom"/>
          </w:tcPr>
          <w:p>
            <w:pPr>
              <w:spacing w:after="0"/>
              <w:rPr>
                <w:sz w:val="8"/>
                <w:szCs w:val="8"/>
                <w:color w:val="auto"/>
              </w:rPr>
            </w:pPr>
          </w:p>
        </w:tc>
        <w:tc>
          <w:tcPr>
            <w:tcW w:w="20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remaining cash payments related to these restructuring reserves primarily relate to postemployment benefits to be paid.</w:t>
      </w:r>
    </w:p>
    <w:p>
      <w:pPr>
        <w:spacing w:after="0" w:line="171" w:lineRule="exact"/>
        <w:rPr>
          <w:sz w:val="20"/>
          <w:szCs w:val="20"/>
          <w:color w:val="auto"/>
        </w:rPr>
      </w:pPr>
    </w:p>
    <w:p>
      <w:pPr>
        <w:ind w:right="260" w:firstLine="228"/>
        <w:spacing w:after="0" w:line="332" w:lineRule="auto"/>
        <w:rPr>
          <w:sz w:val="20"/>
          <w:szCs w:val="20"/>
          <w:color w:val="auto"/>
        </w:rPr>
      </w:pPr>
      <w:r>
        <w:rPr>
          <w:rFonts w:ascii="Arial" w:cs="Arial" w:eastAsia="Arial" w:hAnsi="Arial"/>
          <w:sz w:val="16"/>
          <w:szCs w:val="16"/>
          <w:color w:val="auto"/>
        </w:rPr>
        <w:t>GMNA recorded charges, interest accretion and other and revisions to estimates that increased the reserves by $46 million in the six months ended June 30, 2011. This increase was primarily related to skilled trades hourly U.S. employees who participated in a special attrition program.</w:t>
      </w:r>
    </w:p>
    <w:p>
      <w:pPr>
        <w:spacing w:after="0" w:line="85" w:lineRule="exact"/>
        <w:rPr>
          <w:sz w:val="20"/>
          <w:szCs w:val="20"/>
          <w:color w:val="auto"/>
        </w:rPr>
      </w:pPr>
    </w:p>
    <w:p>
      <w:pPr>
        <w:ind w:right="260" w:firstLine="228"/>
        <w:spacing w:after="0" w:line="268" w:lineRule="auto"/>
        <w:rPr>
          <w:sz w:val="20"/>
          <w:szCs w:val="20"/>
          <w:color w:val="auto"/>
        </w:rPr>
      </w:pPr>
      <w:r>
        <w:rPr>
          <w:rFonts w:ascii="Arial" w:cs="Arial" w:eastAsia="Arial" w:hAnsi="Arial"/>
          <w:sz w:val="18"/>
          <w:szCs w:val="18"/>
          <w:color w:val="auto"/>
        </w:rPr>
        <w:t>GME recorded charges and interest accretion and other of $78 million and $135 million for separation programs in the three and six months ended June 30, 2011 primarily related to previously announced programs in Germany.</w:t>
      </w:r>
    </w:p>
    <w:p>
      <w:pPr>
        <w:spacing w:after="0" w:line="132" w:lineRule="exact"/>
        <w:rPr>
          <w:sz w:val="20"/>
          <w:szCs w:val="20"/>
          <w:color w:val="auto"/>
        </w:rPr>
      </w:pPr>
    </w:p>
    <w:p>
      <w:pPr>
        <w:ind w:right="60" w:firstLine="228"/>
        <w:spacing w:after="0" w:line="294" w:lineRule="auto"/>
        <w:rPr>
          <w:sz w:val="20"/>
          <w:szCs w:val="20"/>
          <w:color w:val="auto"/>
        </w:rPr>
      </w:pPr>
      <w:r>
        <w:rPr>
          <w:rFonts w:ascii="Arial" w:cs="Arial" w:eastAsia="Arial" w:hAnsi="Arial"/>
          <w:sz w:val="16"/>
          <w:szCs w:val="16"/>
          <w:color w:val="auto"/>
        </w:rPr>
        <w:t>Restructuring and early retirement programs in Spain, the U.K. and Belgium were essentially completed in 2010 and we also initiated a program in Germany in 2010. Through June 30, 2011 these programs had a total cost of $800 million and affected a total of 5,000 employees and included the closure of the Antwerp, Belgium facility. We expect to incur an additional $400 million, primarily in 2011 and 2012, to complete these programs, which will affect an additional 2,000 employees. As these programs primarily involve voluntary separations, no liabilities are recorded until offers to employees are accepted. To the extent employees will be involuntarily terminated, a liability is recorded at the communication date.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jc w:val="both"/>
        <w:ind w:right="580" w:firstLine="228"/>
        <w:spacing w:after="0" w:line="259" w:lineRule="auto"/>
        <w:rPr>
          <w:sz w:val="20"/>
          <w:szCs w:val="20"/>
          <w:color w:val="auto"/>
        </w:rPr>
      </w:pPr>
      <w:r>
        <w:rPr>
          <w:rFonts w:ascii="Arial" w:cs="Arial" w:eastAsia="Arial" w:hAnsi="Arial"/>
          <w:sz w:val="18"/>
          <w:szCs w:val="18"/>
          <w:color w:val="auto"/>
        </w:rPr>
        <w:t>The following table summarizes the reserves related to restructuring and other initiatives (excluding restructuring reserves related to dealer wind-down agreements) and charges by segment, including postemployment benefit reserves and charges in the three and six months ended June 30, 2010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GMNA</w:t>
            </w:r>
          </w:p>
        </w:tc>
        <w:tc>
          <w:tcPr>
            <w:tcW w:w="120" w:type="dxa"/>
            <w:vAlign w:val="bottom"/>
          </w:tcPr>
          <w:p>
            <w:pPr>
              <w:spacing w:after="0"/>
              <w:rPr>
                <w:sz w:val="14"/>
                <w:szCs w:val="14"/>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GME</w:t>
            </w:r>
          </w:p>
        </w:tc>
        <w:tc>
          <w:tcPr>
            <w:tcW w:w="580" w:type="dxa"/>
            <w:vAlign w:val="bottom"/>
            <w:gridSpan w:val="3"/>
          </w:tcPr>
          <w:p>
            <w:pPr>
              <w:spacing w:after="0"/>
              <w:rPr>
                <w:sz w:val="20"/>
                <w:szCs w:val="20"/>
                <w:color w:val="auto"/>
              </w:rPr>
            </w:pPr>
            <w:r>
              <w:rPr>
                <w:rFonts w:ascii="Arial" w:cs="Arial" w:eastAsia="Arial" w:hAnsi="Arial"/>
                <w:sz w:val="14"/>
                <w:szCs w:val="14"/>
                <w:b w:val="1"/>
                <w:bCs w:val="1"/>
                <w:color w:val="auto"/>
              </w:rPr>
              <w:t>GMIO</w:t>
            </w:r>
          </w:p>
        </w:tc>
        <w:tc>
          <w:tcPr>
            <w:tcW w:w="700" w:type="dxa"/>
            <w:vAlign w:val="bottom"/>
            <w:gridSpan w:val="4"/>
          </w:tcPr>
          <w:p>
            <w:pPr>
              <w:ind w:left="120"/>
              <w:spacing w:after="0"/>
              <w:rPr>
                <w:sz w:val="20"/>
                <w:szCs w:val="20"/>
                <w:color w:val="auto"/>
              </w:rPr>
            </w:pPr>
            <w:r>
              <w:rPr>
                <w:rFonts w:ascii="Arial" w:cs="Arial" w:eastAsia="Arial" w:hAnsi="Arial"/>
                <w:sz w:val="14"/>
                <w:szCs w:val="14"/>
                <w:b w:val="1"/>
                <w:bCs w:val="1"/>
                <w:color w:val="auto"/>
              </w:rPr>
              <w:t>GMSA</w:t>
            </w:r>
          </w:p>
        </w:tc>
        <w:tc>
          <w:tcPr>
            <w:tcW w:w="14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at January 1, 2010</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$2,088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$ 451</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$2,546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50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860" w:type="dxa"/>
            <w:vAlign w:val="bottom"/>
            <w:gridSpan w:val="3"/>
          </w:tcPr>
          <w:p>
            <w:pPr>
              <w:jc w:val="right"/>
              <w:ind w:right="320"/>
              <w:spacing w:after="0"/>
              <w:rPr>
                <w:sz w:val="20"/>
                <w:szCs w:val="20"/>
                <w:color w:val="auto"/>
              </w:rPr>
            </w:pPr>
            <w:r>
              <w:rPr>
                <w:rFonts w:ascii="Arial" w:cs="Arial" w:eastAsia="Arial" w:hAnsi="Arial"/>
                <w:sz w:val="18"/>
                <w:szCs w:val="18"/>
                <w:color w:val="auto"/>
              </w:rPr>
              <w:t>273</w:t>
            </w:r>
          </w:p>
        </w:tc>
        <w:tc>
          <w:tcPr>
            <w:tcW w:w="14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accretion and other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Payments</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(243)</w:t>
            </w:r>
          </w:p>
        </w:tc>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Revisions to estimates</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Effect of foreign currency translation</w:t>
            </w:r>
          </w:p>
        </w:tc>
        <w:tc>
          <w:tcPr>
            <w:tcW w:w="50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7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March 31, 2010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2,472</w:t>
            </w:r>
          </w:p>
        </w:tc>
        <w:tc>
          <w:tcPr>
            <w:tcW w:w="0" w:type="dxa"/>
            <w:vAlign w:val="bottom"/>
          </w:tcPr>
          <w:p>
            <w:pPr>
              <w:spacing w:after="0"/>
              <w:rPr>
                <w:sz w:val="1"/>
                <w:szCs w:val="1"/>
                <w:color w:val="auto"/>
              </w:rPr>
            </w:pPr>
          </w:p>
        </w:tc>
      </w:tr>
      <w:tr>
        <w:trPr>
          <w:trHeight w:val="20"/>
        </w:trPr>
        <w:tc>
          <w:tcPr>
            <w:tcW w:w="7860" w:type="dxa"/>
            <w:vAlign w:val="bottom"/>
            <w:gridSpan w:val="3"/>
            <w:vMerge w:val="restart"/>
          </w:tcPr>
          <w:p>
            <w:pPr>
              <w:spacing w:after="0"/>
              <w:rPr>
                <w:sz w:val="20"/>
                <w:szCs w:val="20"/>
                <w:color w:val="auto"/>
              </w:rPr>
            </w:pPr>
            <w:r>
              <w:rPr>
                <w:rFonts w:ascii="Arial" w:cs="Arial" w:eastAsia="Arial" w:hAnsi="Arial"/>
                <w:sz w:val="18"/>
                <w:szCs w:val="18"/>
                <w:color w:val="auto"/>
              </w:rPr>
              <w:t>Additions</w:t>
            </w: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860" w:type="dxa"/>
            <w:vAlign w:val="bottom"/>
            <w:gridSpan w:val="3"/>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207</w:t>
            </w:r>
          </w:p>
        </w:tc>
        <w:tc>
          <w:tcPr>
            <w:tcW w:w="140" w:type="dxa"/>
            <w:vAlign w:val="bottom"/>
          </w:tcPr>
          <w:p>
            <w:pPr>
              <w:spacing w:after="0"/>
              <w:rPr>
                <w:sz w:val="19"/>
                <w:szCs w:val="19"/>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accretion and other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Payments</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(178)</w:t>
            </w:r>
          </w:p>
        </w:tc>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(257)</w:t>
            </w:r>
          </w:p>
        </w:tc>
        <w:tc>
          <w:tcPr>
            <w:tcW w:w="14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Revisions to estimates</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Effect of foreign currency translation</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7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June 30, 2010 (a)</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1,609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$ 593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remaining cash payments related to these restructuring reserves primarily relate to postemployment benefits to be paid.</w:t>
      </w:r>
    </w:p>
    <w:p>
      <w:pPr>
        <w:spacing w:after="0" w:line="171" w:lineRule="exact"/>
        <w:rPr>
          <w:sz w:val="20"/>
          <w:szCs w:val="20"/>
          <w:color w:val="auto"/>
        </w:rPr>
      </w:pPr>
    </w:p>
    <w:p>
      <w:pPr>
        <w:ind w:right="120" w:firstLine="228"/>
        <w:spacing w:after="0" w:line="255" w:lineRule="auto"/>
        <w:rPr>
          <w:sz w:val="20"/>
          <w:szCs w:val="20"/>
          <w:color w:val="auto"/>
        </w:rPr>
      </w:pPr>
      <w:r>
        <w:rPr>
          <w:rFonts w:ascii="Arial" w:cs="Arial" w:eastAsia="Arial" w:hAnsi="Arial"/>
          <w:sz w:val="18"/>
          <w:szCs w:val="18"/>
          <w:color w:val="auto"/>
        </w:rPr>
        <w:t>GMNA recorded charges, interest accretion and other and revisions to estimates that increased the restructuring reserves by $30 million in the three months ended June 30, 2010 and decreased the restructuring reserves by $57 million in the six months ended June 30, 2010. The increase in the three months ended June 30, 2010 was primarily related to a Canadian hourly separation program at the Oshawa Facility which partially offset the decrease recorded in the three months ended March 31, 2010 that was primarily related to increased production capacity utilization resulting in the recall of idled employees to fill added shifts at multiple production sites.</w:t>
      </w:r>
    </w:p>
    <w:p>
      <w:pPr>
        <w:spacing w:after="0" w:line="143"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GME recorded charges, and interest accretion and other and revisions to estimates of $227 million and $532 million in the three and six months ended June 30, 2010 for separation programs primarily related to the following initiatives:</w:t>
      </w:r>
    </w:p>
    <w:p>
      <w:pPr>
        <w:spacing w:after="0" w:line="172" w:lineRule="exact"/>
        <w:rPr>
          <w:sz w:val="20"/>
          <w:szCs w:val="20"/>
          <w:color w:val="auto"/>
        </w:rPr>
      </w:pPr>
    </w:p>
    <w:p>
      <w:pPr>
        <w:ind w:left="660" w:right="180" w:hanging="436"/>
        <w:spacing w:after="0" w:line="268"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Separation charges of $169 million and $353 million in the three and six months ended June 30, 2010 for a separation plan related to the closure of the Antwerp, Belgium facility which affected 2,600 employees.</w:t>
      </w:r>
    </w:p>
    <w:p>
      <w:pPr>
        <w:spacing w:after="0" w:line="50" w:lineRule="exact"/>
        <w:rPr>
          <w:rFonts w:ascii="Arial" w:cs="Arial" w:eastAsia="Arial" w:hAnsi="Arial"/>
          <w:sz w:val="18"/>
          <w:szCs w:val="18"/>
          <w:color w:val="auto"/>
        </w:rPr>
      </w:pPr>
    </w:p>
    <w:p>
      <w:pPr>
        <w:ind w:left="660" w:right="360" w:hanging="436"/>
        <w:spacing w:after="0" w:line="332"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Separation charges of $72 million in the six months ended June 30, 2010 and revisions to estimates of $8 million to decrease the reserve in the three months ended June 30, 2010 related to separation/layoff plans and an early retirement plan in Spain which affected 1,200 employees.</w:t>
      </w:r>
    </w:p>
    <w:p>
      <w:pPr>
        <w:spacing w:after="0" w:line="4" w:lineRule="exact"/>
        <w:rPr>
          <w:rFonts w:ascii="Arial" w:cs="Arial" w:eastAsia="Arial" w:hAnsi="Arial"/>
          <w:sz w:val="16"/>
          <w:szCs w:val="16"/>
          <w:color w:val="auto"/>
        </w:rPr>
      </w:pPr>
    </w:p>
    <w:p>
      <w:pPr>
        <w:ind w:left="660" w:hanging="436"/>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Separation charges of $25 million in the three months ended June 30, 2010 related to a voluntary separation program in the United Kingdom.</w:t>
      </w:r>
    </w:p>
    <w:p>
      <w:pPr>
        <w:spacing w:after="0" w:line="113" w:lineRule="exact"/>
        <w:rPr>
          <w:rFonts w:ascii="Arial" w:cs="Arial" w:eastAsia="Arial" w:hAnsi="Arial"/>
          <w:sz w:val="16"/>
          <w:szCs w:val="16"/>
          <w:color w:val="auto"/>
        </w:rPr>
      </w:pPr>
    </w:p>
    <w:p>
      <w:pPr>
        <w:ind w:left="660" w:right="360" w:hanging="436"/>
        <w:spacing w:after="0" w:line="268"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Separation charges of $11 million and $27 million and interest accretion and other of $26 million and $56 million in the three and six months ended June 30, 2010 related to previously announced programs in Germany.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Dealer Wind-downs</w:t>
      </w:r>
    </w:p>
    <w:p>
      <w:pPr>
        <w:spacing w:after="0" w:line="177" w:lineRule="exact"/>
        <w:rPr>
          <w:sz w:val="20"/>
          <w:szCs w:val="20"/>
          <w:color w:val="auto"/>
        </w:rPr>
      </w:pPr>
    </w:p>
    <w:p>
      <w:pPr>
        <w:ind w:right="400" w:firstLine="228"/>
        <w:spacing w:after="0" w:line="268" w:lineRule="auto"/>
        <w:rPr>
          <w:sz w:val="20"/>
          <w:szCs w:val="20"/>
          <w:color w:val="auto"/>
        </w:rPr>
      </w:pPr>
      <w:r>
        <w:rPr>
          <w:rFonts w:ascii="Arial" w:cs="Arial" w:eastAsia="Arial" w:hAnsi="Arial"/>
          <w:sz w:val="18"/>
          <w:szCs w:val="18"/>
          <w:color w:val="auto"/>
        </w:rPr>
        <w:t>The following table summarizes GMNA’s restructuring reserves related to dealer wind-down agreements in the three and six months ended June 30, 2011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96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U.S.</w:t>
            </w: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Canada and Mexico</w:t>
            </w:r>
          </w:p>
        </w:tc>
        <w:tc>
          <w:tcPr>
            <w:tcW w:w="260" w:type="dxa"/>
            <w:vAlign w:val="bottom"/>
          </w:tcPr>
          <w:p>
            <w:pPr>
              <w:spacing w:after="0"/>
              <w:rPr>
                <w:sz w:val="14"/>
                <w:szCs w:val="14"/>
                <w:color w:val="auto"/>
              </w:rPr>
            </w:pPr>
          </w:p>
        </w:tc>
        <w:tc>
          <w:tcPr>
            <w:tcW w:w="4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5"/>
              </w:rPr>
              <w:t>Total</w:t>
            </w:r>
          </w:p>
        </w:tc>
      </w:tr>
      <w:tr>
        <w:trPr>
          <w:trHeight w:val="210"/>
        </w:trPr>
        <w:tc>
          <w:tcPr>
            <w:tcW w:w="20" w:type="dxa"/>
            <w:vAlign w:val="bottom"/>
          </w:tcPr>
          <w:p>
            <w:pPr>
              <w:spacing w:after="0"/>
              <w:rPr>
                <w:sz w:val="18"/>
                <w:szCs w:val="18"/>
                <w:color w:val="auto"/>
              </w:rPr>
            </w:pPr>
          </w:p>
        </w:tc>
        <w:tc>
          <w:tcPr>
            <w:tcW w:w="82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January 1, 2011</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135</w:t>
            </w:r>
          </w:p>
        </w:tc>
        <w:tc>
          <w:tcPr>
            <w:tcW w:w="6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Revisions to estimates</w:t>
            </w:r>
          </w:p>
        </w:tc>
        <w:tc>
          <w:tcPr>
            <w:tcW w:w="80" w:type="dxa"/>
            <w:vAlign w:val="bottom"/>
          </w:tcPr>
          <w:p>
            <w:pPr>
              <w:spacing w:after="0"/>
              <w:rPr>
                <w:sz w:val="18"/>
                <w:szCs w:val="18"/>
                <w:color w:val="auto"/>
              </w:rPr>
            </w:pPr>
          </w:p>
        </w:tc>
        <w:tc>
          <w:tcPr>
            <w:tcW w:w="880" w:type="dxa"/>
            <w:vAlign w:val="bottom"/>
            <w:gridSpan w:val="2"/>
          </w:tcPr>
          <w:p>
            <w:pPr>
              <w:jc w:val="right"/>
              <w:ind w:right="540"/>
              <w:spacing w:after="0"/>
              <w:rPr>
                <w:sz w:val="20"/>
                <w:szCs w:val="20"/>
                <w:color w:val="auto"/>
              </w:rPr>
            </w:pPr>
            <w:r>
              <w:rPr>
                <w:rFonts w:ascii="Arial" w:cs="Arial" w:eastAsia="Arial" w:hAnsi="Arial"/>
                <w:sz w:val="18"/>
                <w:szCs w:val="18"/>
                <w:color w:val="auto"/>
              </w:rPr>
              <w:t>(6)</w:t>
            </w:r>
          </w:p>
        </w:tc>
        <w:tc>
          <w:tcPr>
            <w:tcW w:w="5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Payments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9"/>
              </w:rPr>
              <w:t>(80)</w:t>
            </w: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(80)</w:t>
            </w:r>
          </w:p>
        </w:tc>
      </w:tr>
      <w:tr>
        <w:trPr>
          <w:trHeight w:val="230"/>
        </w:trPr>
        <w:tc>
          <w:tcPr>
            <w:tcW w:w="8240" w:type="dxa"/>
            <w:vAlign w:val="bottom"/>
            <w:gridSpan w:val="2"/>
          </w:tcPr>
          <w:p>
            <w:pPr>
              <w:spacing w:after="0"/>
              <w:rPr>
                <w:sz w:val="20"/>
                <w:szCs w:val="20"/>
                <w:color w:val="auto"/>
              </w:rPr>
            </w:pPr>
            <w:r>
              <w:rPr>
                <w:rFonts w:ascii="Arial" w:cs="Arial" w:eastAsia="Arial" w:hAnsi="Arial"/>
                <w:sz w:val="18"/>
                <w:szCs w:val="18"/>
                <w:color w:val="auto"/>
              </w:rPr>
              <w:t>Balance at March 31, 2011</w:t>
            </w:r>
          </w:p>
        </w:tc>
        <w:tc>
          <w:tcPr>
            <w:tcW w:w="8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600" w:type="dxa"/>
            <w:vAlign w:val="bottom"/>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Revisions to estimates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23"/>
        </w:trPr>
        <w:tc>
          <w:tcPr>
            <w:tcW w:w="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Payments</w:t>
            </w:r>
          </w:p>
        </w:tc>
        <w:tc>
          <w:tcPr>
            <w:tcW w:w="80" w:type="dxa"/>
            <w:vAlign w:val="bottom"/>
          </w:tcPr>
          <w:p>
            <w:pPr>
              <w:spacing w:after="0"/>
              <w:rPr>
                <w:sz w:val="19"/>
                <w:szCs w:val="19"/>
                <w:color w:val="auto"/>
              </w:rPr>
            </w:pPr>
          </w:p>
        </w:tc>
        <w:tc>
          <w:tcPr>
            <w:tcW w:w="880" w:type="dxa"/>
            <w:vAlign w:val="bottom"/>
            <w:gridSpan w:val="2"/>
          </w:tcPr>
          <w:p>
            <w:pPr>
              <w:jc w:val="right"/>
              <w:ind w:right="540"/>
              <w:spacing w:after="0"/>
              <w:rPr>
                <w:sz w:val="20"/>
                <w:szCs w:val="20"/>
                <w:color w:val="auto"/>
              </w:rPr>
            </w:pPr>
            <w:r>
              <w:rPr>
                <w:rFonts w:ascii="Arial" w:cs="Arial" w:eastAsia="Arial" w:hAnsi="Arial"/>
                <w:sz w:val="18"/>
                <w:szCs w:val="18"/>
                <w:color w:val="auto"/>
                <w:w w:val="99"/>
              </w:rPr>
              <w:t>(24)</w:t>
            </w:r>
          </w:p>
        </w:tc>
        <w:tc>
          <w:tcPr>
            <w:tcW w:w="52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(24)</w:t>
            </w: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2011</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0" w:type="dxa"/>
            <w:vAlign w:val="bottom"/>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80" w:firstLine="228"/>
        <w:spacing w:after="0" w:line="268" w:lineRule="auto"/>
        <w:rPr>
          <w:sz w:val="20"/>
          <w:szCs w:val="20"/>
          <w:color w:val="auto"/>
        </w:rPr>
      </w:pPr>
      <w:r>
        <w:rPr>
          <w:rFonts w:ascii="Arial" w:cs="Arial" w:eastAsia="Arial" w:hAnsi="Arial"/>
          <w:sz w:val="18"/>
          <w:szCs w:val="18"/>
          <w:color w:val="auto"/>
        </w:rPr>
        <w:t>The following table summarizes GMNA’s restructuring reserves related to dealer wind-down agreements in the three and six months ended June 30, 2010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7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U.S.</w:t>
            </w:r>
          </w:p>
        </w:tc>
        <w:tc>
          <w:tcPr>
            <w:tcW w:w="32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Canada and Mexico</w:t>
            </w:r>
          </w:p>
        </w:tc>
        <w:tc>
          <w:tcPr>
            <w:tcW w:w="32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January 1, 2010</w:t>
            </w:r>
          </w:p>
        </w:tc>
        <w:tc>
          <w:tcPr>
            <w:tcW w:w="38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$ 460</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$ 501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Additions</w:t>
            </w:r>
          </w:p>
        </w:tc>
        <w:tc>
          <w:tcPr>
            <w:tcW w:w="42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Payments</w:t>
            </w:r>
          </w:p>
        </w:tc>
        <w:tc>
          <w:tcPr>
            <w:tcW w:w="46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(44)</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Effect of foreign currency translation</w:t>
            </w:r>
          </w:p>
        </w:tc>
        <w:tc>
          <w:tcPr>
            <w:tcW w:w="382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2010</w:t>
            </w:r>
          </w:p>
        </w:tc>
        <w:tc>
          <w:tcPr>
            <w:tcW w:w="38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120" w:type="dxa"/>
            <w:vAlign w:val="bottom"/>
            <w:gridSpan w:val="2"/>
          </w:tcPr>
          <w:p>
            <w:pPr>
              <w:spacing w:after="0"/>
              <w:rPr>
                <w:sz w:val="20"/>
                <w:szCs w:val="20"/>
                <w:color w:val="auto"/>
              </w:rPr>
            </w:pPr>
            <w:r>
              <w:rPr>
                <w:rFonts w:ascii="Arial" w:cs="Arial" w:eastAsia="Arial" w:hAnsi="Arial"/>
                <w:sz w:val="18"/>
                <w:szCs w:val="18"/>
                <w:color w:val="auto"/>
              </w:rPr>
              <w:t>Revisions to estimates</w:t>
            </w:r>
          </w:p>
        </w:tc>
        <w:tc>
          <w:tcPr>
            <w:tcW w:w="4600" w:type="dxa"/>
            <w:vAlign w:val="bottom"/>
            <w:gridSpan w:val="3"/>
          </w:tcPr>
          <w:p>
            <w:pPr>
              <w:jc w:val="right"/>
              <w:ind w:right="300"/>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Payments</w:t>
            </w:r>
          </w:p>
        </w:tc>
        <w:tc>
          <w:tcPr>
            <w:tcW w:w="46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(140)</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Effect of foreign currency translation</w:t>
            </w:r>
          </w:p>
        </w:tc>
        <w:tc>
          <w:tcPr>
            <w:tcW w:w="3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2010</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$ 279</w:t>
            </w: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820" w:type="dxa"/>
            <w:vAlign w:val="bottom"/>
            <w:vMerge w:val="restart"/>
          </w:tcPr>
          <w:p>
            <w:pPr>
              <w:jc w:val="right"/>
              <w:ind w:right="2052"/>
              <w:spacing w:after="0"/>
              <w:rPr>
                <w:sz w:val="20"/>
                <w:szCs w:val="20"/>
                <w:color w:val="auto"/>
              </w:rPr>
            </w:pPr>
            <w:r>
              <w:rPr>
                <w:rFonts w:ascii="Arial" w:cs="Arial" w:eastAsia="Arial" w:hAnsi="Arial"/>
                <w:sz w:val="18"/>
                <w:szCs w:val="18"/>
                <w:color w:val="auto"/>
              </w:rPr>
              <w:t>44</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8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Impairments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impairment charges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7"/>
              </w:rPr>
              <w:t>Six Months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w w:val="99"/>
              </w:rPr>
              <w:t>June 30,</w:t>
            </w:r>
          </w:p>
        </w:tc>
        <w:tc>
          <w:tcPr>
            <w:tcW w:w="40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w w:val="85"/>
              </w:rPr>
              <w:t>June 30,</w:t>
            </w:r>
          </w:p>
        </w:tc>
        <w:tc>
          <w:tcPr>
            <w:tcW w:w="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ind w:right="15"/>
              <w:spacing w:after="0" w:line="142" w:lineRule="exact"/>
              <w:rPr>
                <w:sz w:val="20"/>
                <w:szCs w:val="20"/>
                <w:color w:val="auto"/>
              </w:rPr>
            </w:pPr>
            <w:r>
              <w:rPr>
                <w:rFonts w:ascii="Arial" w:cs="Arial" w:eastAsia="Arial" w:hAnsi="Arial"/>
                <w:sz w:val="14"/>
                <w:szCs w:val="14"/>
                <w:b w:val="1"/>
                <w:bCs w:val="1"/>
                <w:color w:val="auto"/>
                <w:w w:val="83"/>
              </w:rPr>
              <w:t>2011</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2010</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2011</w:t>
            </w:r>
          </w:p>
        </w:tc>
        <w:tc>
          <w:tcPr>
            <w:tcW w:w="10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6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GMNA</w:t>
            </w:r>
          </w:p>
        </w:tc>
        <w:tc>
          <w:tcPr>
            <w:tcW w:w="1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spacing w:after="0"/>
              <w:rPr>
                <w:sz w:val="20"/>
                <w:szCs w:val="20"/>
                <w:color w:val="auto"/>
              </w:rPr>
            </w:pPr>
            <w:r>
              <w:rPr>
                <w:rFonts w:ascii="Arial" w:cs="Arial" w:eastAsia="Arial" w:hAnsi="Arial"/>
                <w:sz w:val="18"/>
                <w:szCs w:val="18"/>
                <w:color w:val="auto"/>
              </w:rPr>
              <w:t>Product-specific tooling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40</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Vehicles leased to rental car companies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GMNA impairment charges</w:t>
            </w: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6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62</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100</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GME</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395</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Vehicles leased to rental car companies</w:t>
            </w: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620" w:type="dxa"/>
            <w:vAlign w:val="bottom"/>
            <w:gridSpan w:val="2"/>
          </w:tcPr>
          <w:p>
            <w:pPr>
              <w:ind w:left="440"/>
              <w:spacing w:after="0"/>
              <w:rPr>
                <w:sz w:val="20"/>
                <w:szCs w:val="20"/>
                <w:color w:val="auto"/>
              </w:rPr>
            </w:pPr>
            <w:r>
              <w:rPr>
                <w:rFonts w:ascii="Arial" w:cs="Arial" w:eastAsia="Arial" w:hAnsi="Arial"/>
                <w:sz w:val="18"/>
                <w:szCs w:val="18"/>
                <w:color w:val="auto"/>
              </w:rPr>
              <w:t>Total GME impairment charges</w:t>
            </w: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29</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448</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w w:val="79"/>
              </w:rPr>
              <w:t>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GMIO</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spacing w:after="0"/>
              <w:rPr>
                <w:sz w:val="20"/>
                <w:szCs w:val="20"/>
                <w:color w:val="auto"/>
              </w:rPr>
            </w:pPr>
            <w:r>
              <w:rPr>
                <w:rFonts w:ascii="Arial" w:cs="Arial" w:eastAsia="Arial" w:hAnsi="Arial"/>
                <w:sz w:val="18"/>
                <w:szCs w:val="18"/>
                <w:color w:val="auto"/>
              </w:rPr>
              <w:t>Product-specific tooling assets</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 HKJV (a)</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GMIO impairment charges</w:t>
            </w: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6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41</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GMSA</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spacing w:after="0"/>
              <w:rPr>
                <w:sz w:val="20"/>
                <w:szCs w:val="20"/>
                <w:color w:val="auto"/>
              </w:rPr>
            </w:pPr>
            <w:r>
              <w:rPr>
                <w:rFonts w:ascii="Arial" w:cs="Arial" w:eastAsia="Arial" w:hAnsi="Arial"/>
                <w:sz w:val="18"/>
                <w:szCs w:val="18"/>
                <w:color w:val="auto"/>
              </w:rPr>
              <w:t>Product-specific tooling assets</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GMSA impairment charges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Arial" w:cs="Arial" w:eastAsia="Arial" w:hAnsi="Arial"/>
                <w:sz w:val="18"/>
                <w:szCs w:val="18"/>
                <w:color w:val="auto"/>
              </w:rPr>
              <w:t>Total impairment charges</w:t>
            </w: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92</w:t>
            </w:r>
          </w:p>
        </w:tc>
        <w:tc>
          <w:tcPr>
            <w:tcW w:w="6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5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591</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w w:val="79"/>
              </w:rPr>
              <w:t>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Refer to Note 8 for additional information related to our investment in HKJV.</w:t>
      </w:r>
    </w:p>
    <w:p>
      <w:pPr>
        <w:spacing w:after="0" w:line="171" w:lineRule="exact"/>
        <w:rPr>
          <w:sz w:val="20"/>
          <w:szCs w:val="20"/>
          <w:color w:val="auto"/>
        </w:rPr>
      </w:pPr>
    </w:p>
    <w:p>
      <w:pPr>
        <w:ind w:right="680" w:firstLine="228"/>
        <w:spacing w:after="0" w:line="259" w:lineRule="auto"/>
        <w:rPr>
          <w:sz w:val="20"/>
          <w:szCs w:val="20"/>
          <w:color w:val="auto"/>
        </w:rPr>
      </w:pPr>
      <w:r>
        <w:rPr>
          <w:rFonts w:ascii="Arial" w:cs="Arial" w:eastAsia="Arial" w:hAnsi="Arial"/>
          <w:sz w:val="18"/>
          <w:szCs w:val="18"/>
          <w:color w:val="auto"/>
        </w:rPr>
        <w:t>Fair value measurements, excluding vehicles leased to rental car companies, utilized projected cash flows discounted at a rate commensurate with the perceived business risks related to the assets involved. Fair value measurements of vehicles leased to rental car companies utilized projected cash flows throughout the rental period and at auction.</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tables summarize assets measured at fair value (all of which utilized Level 3 inputs) on a nonrecurring basis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9"/>
              </w:rPr>
              <w:t>Fair Value Measurements Using</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1"/>
              </w:rPr>
              <w:t>Total Losses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3"/>
          </w:tcPr>
          <w:p>
            <w:pPr>
              <w:jc w:val="center"/>
              <w:ind w:right="20"/>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9"/>
              </w:rPr>
              <w:t>Three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Active Markets</w:t>
            </w:r>
          </w:p>
        </w:tc>
        <w:tc>
          <w:tcPr>
            <w:tcW w:w="560" w:type="dxa"/>
            <w:vAlign w:val="bottom"/>
          </w:tcPr>
          <w:p>
            <w:pPr>
              <w:spacing w:after="0"/>
              <w:rPr>
                <w:sz w:val="12"/>
                <w:szCs w:val="12"/>
                <w:color w:val="auto"/>
              </w:rPr>
            </w:pPr>
          </w:p>
        </w:tc>
        <w:tc>
          <w:tcPr>
            <w:tcW w:w="162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Significant Other</w:t>
            </w:r>
          </w:p>
        </w:tc>
        <w:tc>
          <w:tcPr>
            <w:tcW w:w="100" w:type="dxa"/>
            <w:vAlign w:val="bottom"/>
          </w:tcPr>
          <w:p>
            <w:pPr>
              <w:spacing w:after="0"/>
              <w:rPr>
                <w:sz w:val="12"/>
                <w:szCs w:val="12"/>
                <w:color w:val="auto"/>
              </w:rPr>
            </w:pPr>
          </w:p>
        </w:tc>
        <w:tc>
          <w:tcPr>
            <w:tcW w:w="10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8"/>
              </w:rPr>
              <w:t>Three Months</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for Identical</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6"/>
              </w:rPr>
              <w:t>Observable</w:t>
            </w:r>
          </w:p>
        </w:tc>
        <w:tc>
          <w:tcPr>
            <w:tcW w:w="11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ind w:right="219"/>
              <w:spacing w:after="0" w:line="149" w:lineRule="exact"/>
              <w:rPr>
                <w:sz w:val="20"/>
                <w:szCs w:val="20"/>
                <w:color w:val="auto"/>
              </w:rPr>
            </w:pPr>
            <w:r>
              <w:rPr>
                <w:rFonts w:ascii="Arial" w:cs="Arial" w:eastAsia="Arial" w:hAnsi="Arial"/>
                <w:sz w:val="14"/>
                <w:szCs w:val="14"/>
                <w:b w:val="1"/>
                <w:bCs w:val="1"/>
                <w:color w:val="auto"/>
              </w:rPr>
              <w:t>Ended</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78"/>
              </w:rPr>
              <w:t>Assets</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0"/>
              </w:rPr>
              <w:t>Inputs</w:t>
            </w:r>
          </w:p>
        </w:tc>
        <w:tc>
          <w:tcPr>
            <w:tcW w:w="100" w:type="dxa"/>
            <w:vAlign w:val="bottom"/>
          </w:tcPr>
          <w:p>
            <w:pPr>
              <w:spacing w:after="0"/>
              <w:rPr>
                <w:sz w:val="12"/>
                <w:szCs w:val="12"/>
                <w:color w:val="auto"/>
              </w:rPr>
            </w:pPr>
          </w:p>
        </w:tc>
        <w:tc>
          <w:tcPr>
            <w:tcW w:w="10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Inputs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w w:val="85"/>
              </w:rPr>
              <w:t>June 30, 2011 (a)</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(Level 1)</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7"/>
              </w:rPr>
              <w:t>(Level 2)</w:t>
            </w:r>
          </w:p>
        </w:tc>
        <w:tc>
          <w:tcPr>
            <w:tcW w:w="100" w:type="dxa"/>
            <w:vAlign w:val="bottom"/>
          </w:tcPr>
          <w:p>
            <w:pPr>
              <w:spacing w:after="0"/>
              <w:rPr>
                <w:sz w:val="14"/>
                <w:szCs w:val="14"/>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(Level 3)</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center"/>
              <w:ind w:right="25"/>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Product-specific tooling assets</w:t>
            </w:r>
          </w:p>
        </w:tc>
        <w:tc>
          <w:tcPr>
            <w:tcW w:w="8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88"/>
              </w:rPr>
              <w:t>—</w:t>
            </w:r>
          </w:p>
        </w:tc>
        <w:tc>
          <w:tcPr>
            <w:tcW w:w="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88"/>
              </w:rPr>
              <w:t>—</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Vehicles leased to rental car companies</w:t>
            </w:r>
          </w:p>
        </w:tc>
        <w:tc>
          <w:tcPr>
            <w:tcW w:w="10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890-922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890-922</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vMerge w:val="restart"/>
          </w:tcPr>
          <w:p>
            <w:pPr>
              <w:jc w:val="right"/>
              <w:ind w:right="112"/>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8"/>
          </w:tcPr>
          <w:p>
            <w:pPr>
              <w:jc w:val="center"/>
              <w:ind w:right="120"/>
              <w:spacing w:after="0"/>
              <w:rPr>
                <w:sz w:val="20"/>
                <w:szCs w:val="20"/>
                <w:color w:val="auto"/>
              </w:rPr>
            </w:pPr>
            <w:r>
              <w:rPr>
                <w:rFonts w:ascii="Arial" w:cs="Arial" w:eastAsia="Arial" w:hAnsi="Arial"/>
                <w:sz w:val="14"/>
                <w:szCs w:val="14"/>
                <w:b w:val="1"/>
                <w:bCs w:val="1"/>
                <w:color w:val="auto"/>
                <w:w w:val="86"/>
              </w:rPr>
              <w:t>Fair Value Measurements Using</w:t>
            </w: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Active Markets</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Significant Other</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1"/>
              </w:rPr>
              <w:t>Total Losses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Six Months</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for Identical</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4"/>
          </w:tcPr>
          <w:p>
            <w:pPr>
              <w:jc w:val="center"/>
              <w:ind w:right="640"/>
              <w:spacing w:after="0" w:line="149" w:lineRule="exact"/>
              <w:rPr>
                <w:sz w:val="20"/>
                <w:szCs w:val="20"/>
                <w:color w:val="auto"/>
              </w:rPr>
            </w:pPr>
            <w:r>
              <w:rPr>
                <w:rFonts w:ascii="Arial" w:cs="Arial" w:eastAsia="Arial" w:hAnsi="Arial"/>
                <w:sz w:val="14"/>
                <w:szCs w:val="14"/>
                <w:b w:val="1"/>
                <w:bCs w:val="1"/>
                <w:color w:val="auto"/>
                <w:w w:val="86"/>
              </w:rPr>
              <w:t>Observable</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Unobservable</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Ended</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78"/>
              </w:rPr>
              <w:t>Assets</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4"/>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Inputs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Inputs</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4"/>
          </w:tcPr>
          <w:p>
            <w:pPr>
              <w:spacing w:after="0"/>
              <w:rPr>
                <w:sz w:val="20"/>
                <w:szCs w:val="20"/>
                <w:color w:val="auto"/>
              </w:rPr>
            </w:pPr>
            <w:r>
              <w:rPr>
                <w:rFonts w:ascii="Arial" w:cs="Arial" w:eastAsia="Arial" w:hAnsi="Arial"/>
                <w:sz w:val="14"/>
                <w:szCs w:val="14"/>
                <w:b w:val="1"/>
                <w:bCs w:val="1"/>
                <w:color w:val="auto"/>
              </w:rPr>
              <w:t>June 30, 2011 (a)</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(Level 1)</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w w:val="87"/>
              </w:rPr>
              <w:t>(Level 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7"/>
              </w:rPr>
              <w:t>(Level 3)</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June 30, 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gridSpan w:val="3"/>
            <w:shd w:val="clear" w:color="auto" w:fill="CCEEFF"/>
          </w:tcPr>
          <w:p>
            <w:pPr>
              <w:ind w:left="740"/>
              <w:spacing w:after="0"/>
              <w:rPr>
                <w:sz w:val="20"/>
                <w:szCs w:val="20"/>
                <w:color w:val="auto"/>
              </w:rPr>
            </w:pPr>
            <w:r>
              <w:rPr>
                <w:rFonts w:ascii="Arial" w:cs="Arial" w:eastAsia="Arial" w:hAnsi="Arial"/>
                <w:sz w:val="18"/>
                <w:szCs w:val="18"/>
                <w:color w:val="auto"/>
                <w:w w:val="88"/>
              </w:rPr>
              <w:t>—</w:t>
            </w:r>
          </w:p>
        </w:tc>
        <w:tc>
          <w:tcPr>
            <w:tcW w:w="5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Product-specific tooling assets</w:t>
            </w:r>
          </w:p>
        </w:tc>
        <w:tc>
          <w:tcPr>
            <w:tcW w:w="220" w:type="dxa"/>
            <w:vAlign w:val="bottom"/>
            <w:gridSpan w:val="3"/>
          </w:tcPr>
          <w:p>
            <w:pPr>
              <w:ind w:left="100"/>
              <w:spacing w:after="0"/>
              <w:rPr>
                <w:sz w:val="20"/>
                <w:szCs w:val="20"/>
                <w:color w:val="auto"/>
              </w:rPr>
            </w:pPr>
            <w:r>
              <w:rPr>
                <w:rFonts w:ascii="Arial" w:cs="Arial" w:eastAsia="Arial" w:hAnsi="Arial"/>
                <w:sz w:val="18"/>
                <w:szCs w:val="18"/>
                <w:color w:val="auto"/>
                <w:w w:val="99"/>
              </w:rPr>
              <w:t>$</w:t>
            </w: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gridSpan w:val="4"/>
          </w:tcPr>
          <w:p>
            <w:pPr>
              <w:ind w:left="340"/>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4"/>
          </w:tcPr>
          <w:p>
            <w:pPr>
              <w:ind w:left="600"/>
              <w:spacing w:after="0"/>
              <w:rPr>
                <w:sz w:val="20"/>
                <w:szCs w:val="20"/>
                <w:color w:val="auto"/>
              </w:rPr>
            </w:pPr>
            <w:r>
              <w:rPr>
                <w:rFonts w:ascii="Arial" w:cs="Arial" w:eastAsia="Arial" w:hAnsi="Arial"/>
                <w:sz w:val="18"/>
                <w:szCs w:val="18"/>
                <w:color w:val="auto"/>
                <w:w w:val="79"/>
              </w:rPr>
              <w:t>$</w:t>
            </w:r>
          </w:p>
        </w:tc>
        <w:tc>
          <w:tcPr>
            <w:tcW w:w="1460" w:type="dxa"/>
            <w:vAlign w:val="bottom"/>
            <w:gridSpan w:val="4"/>
          </w:tcPr>
          <w:p>
            <w:pPr>
              <w:ind w:left="740"/>
              <w:spacing w:after="0"/>
              <w:rPr>
                <w:sz w:val="20"/>
                <w:szCs w:val="20"/>
                <w:color w:val="auto"/>
              </w:rPr>
            </w:pPr>
            <w:r>
              <w:rPr>
                <w:rFonts w:ascii="Arial" w:cs="Arial" w:eastAsia="Arial" w:hAnsi="Arial"/>
                <w:sz w:val="18"/>
                <w:szCs w:val="18"/>
                <w:color w:val="auto"/>
              </w:rPr>
              <w:t>—</w:t>
            </w:r>
          </w:p>
        </w:tc>
        <w:tc>
          <w:tcPr>
            <w:tcW w:w="140" w:type="dxa"/>
            <w:vAlign w:val="bottom"/>
            <w:gridSpan w:val="3"/>
          </w:tcPr>
          <w:p>
            <w:pPr>
              <w:ind w:left="60"/>
              <w:spacing w:after="0"/>
              <w:rPr>
                <w:sz w:val="20"/>
                <w:szCs w:val="20"/>
                <w:color w:val="auto"/>
              </w:rPr>
            </w:pPr>
            <w:r>
              <w:rPr>
                <w:rFonts w:ascii="Arial" w:cs="Arial" w:eastAsia="Arial" w:hAnsi="Arial"/>
                <w:sz w:val="15"/>
                <w:szCs w:val="15"/>
                <w:color w:val="auto"/>
                <w:w w:val="71"/>
              </w:rPr>
              <w:t>$</w:t>
            </w:r>
          </w:p>
        </w:tc>
        <w:tc>
          <w:tcPr>
            <w:tcW w:w="100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Investment in HKJV</w:t>
            </w:r>
          </w:p>
        </w:tc>
        <w:tc>
          <w:tcPr>
            <w:tcW w:w="2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112</w:t>
            </w:r>
          </w:p>
        </w:tc>
        <w:tc>
          <w:tcPr>
            <w:tcW w:w="44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4"/>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1460" w:type="dxa"/>
            <w:vAlign w:val="bottom"/>
            <w:gridSpan w:val="4"/>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gridSpan w:val="3"/>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10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112</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Vehicles leased to rental car companies</w:t>
            </w:r>
          </w:p>
        </w:tc>
        <w:tc>
          <w:tcPr>
            <w:tcW w:w="220" w:type="dxa"/>
            <w:vAlign w:val="bottom"/>
            <w:gridSpan w:val="3"/>
          </w:tcPr>
          <w:p>
            <w:pPr>
              <w:ind w:left="100"/>
              <w:spacing w:after="0"/>
              <w:rPr>
                <w:sz w:val="20"/>
                <w:szCs w:val="20"/>
                <w:color w:val="auto"/>
              </w:rPr>
            </w:pPr>
            <w:r>
              <w:rPr>
                <w:rFonts w:ascii="Arial" w:cs="Arial" w:eastAsia="Arial" w:hAnsi="Arial"/>
                <w:sz w:val="18"/>
                <w:szCs w:val="18"/>
                <w:color w:val="auto"/>
                <w:w w:val="99"/>
              </w:rPr>
              <w:t>$</w:t>
            </w: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545-922</w:t>
            </w:r>
          </w:p>
        </w:tc>
        <w:tc>
          <w:tcPr>
            <w:tcW w:w="440" w:type="dxa"/>
            <w:vAlign w:val="bottom"/>
            <w:gridSpan w:val="4"/>
          </w:tcPr>
          <w:p>
            <w:pPr>
              <w:ind w:left="340"/>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4"/>
          </w:tcPr>
          <w:p>
            <w:pPr>
              <w:ind w:left="600"/>
              <w:spacing w:after="0"/>
              <w:rPr>
                <w:sz w:val="20"/>
                <w:szCs w:val="20"/>
                <w:color w:val="auto"/>
              </w:rPr>
            </w:pPr>
            <w:r>
              <w:rPr>
                <w:rFonts w:ascii="Arial" w:cs="Arial" w:eastAsia="Arial" w:hAnsi="Arial"/>
                <w:sz w:val="18"/>
                <w:szCs w:val="18"/>
                <w:color w:val="auto"/>
                <w:w w:val="79"/>
              </w:rPr>
              <w:t>$</w:t>
            </w:r>
          </w:p>
        </w:tc>
        <w:tc>
          <w:tcPr>
            <w:tcW w:w="1460" w:type="dxa"/>
            <w:vAlign w:val="bottom"/>
            <w:gridSpan w:val="4"/>
          </w:tcPr>
          <w:p>
            <w:pPr>
              <w:ind w:left="740"/>
              <w:spacing w:after="0"/>
              <w:rPr>
                <w:sz w:val="20"/>
                <w:szCs w:val="20"/>
                <w:color w:val="auto"/>
              </w:rPr>
            </w:pPr>
            <w:r>
              <w:rPr>
                <w:rFonts w:ascii="Arial" w:cs="Arial" w:eastAsia="Arial" w:hAnsi="Arial"/>
                <w:sz w:val="18"/>
                <w:szCs w:val="18"/>
                <w:color w:val="auto"/>
              </w:rPr>
              <w:t>—</w:t>
            </w:r>
          </w:p>
        </w:tc>
        <w:tc>
          <w:tcPr>
            <w:tcW w:w="140" w:type="dxa"/>
            <w:vAlign w:val="bottom"/>
            <w:gridSpan w:val="3"/>
          </w:tcPr>
          <w:p>
            <w:pPr>
              <w:ind w:left="60"/>
              <w:spacing w:after="0"/>
              <w:rPr>
                <w:sz w:val="20"/>
                <w:szCs w:val="20"/>
                <w:color w:val="auto"/>
              </w:rPr>
            </w:pPr>
            <w:r>
              <w:rPr>
                <w:rFonts w:ascii="Arial" w:cs="Arial" w:eastAsia="Arial" w:hAnsi="Arial"/>
                <w:sz w:val="15"/>
                <w:szCs w:val="15"/>
                <w:color w:val="auto"/>
                <w:w w:val="71"/>
              </w:rPr>
              <w:t>$</w:t>
            </w:r>
          </w:p>
        </w:tc>
        <w:tc>
          <w:tcPr>
            <w:tcW w:w="1000" w:type="dxa"/>
            <w:vAlign w:val="bottom"/>
            <w:gridSpan w:val="4"/>
          </w:tcPr>
          <w:p>
            <w:pPr>
              <w:jc w:val="right"/>
              <w:ind w:right="280"/>
              <w:spacing w:after="0"/>
              <w:rPr>
                <w:sz w:val="20"/>
                <w:szCs w:val="20"/>
                <w:color w:val="auto"/>
              </w:rPr>
            </w:pPr>
            <w:r>
              <w:rPr>
                <w:rFonts w:ascii="Arial" w:cs="Arial" w:eastAsia="Arial" w:hAnsi="Arial"/>
                <w:sz w:val="18"/>
                <w:szCs w:val="18"/>
                <w:color w:val="auto"/>
              </w:rPr>
              <w:t>545-922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gridSpan w:val="8"/>
            <w:vMerge w:val="restart"/>
          </w:tcPr>
          <w:p>
            <w:pPr>
              <w:ind w:left="20"/>
              <w:spacing w:after="0"/>
              <w:rPr>
                <w:sz w:val="20"/>
                <w:szCs w:val="20"/>
                <w:color w:val="auto"/>
              </w:rPr>
            </w:pPr>
            <w:r>
              <w:rPr>
                <w:rFonts w:ascii="Arial" w:cs="Arial" w:eastAsia="Arial" w:hAnsi="Arial"/>
                <w:sz w:val="14"/>
                <w:szCs w:val="14"/>
                <w:b w:val="1"/>
                <w:bCs w:val="1"/>
                <w:color w:val="auto"/>
              </w:rPr>
              <w:t>Fair Value Measurements Using</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8"/>
            <w:vMerge w:val="continue"/>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6"/>
          </w:tcPr>
          <w:p>
            <w:pPr>
              <w:jc w:val="center"/>
              <w:ind w:right="100"/>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6"/>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Active Markets</w:t>
            </w:r>
          </w:p>
        </w:tc>
        <w:tc>
          <w:tcPr>
            <w:tcW w:w="520" w:type="dxa"/>
            <w:vAlign w:val="bottom"/>
          </w:tcPr>
          <w:p>
            <w:pPr>
              <w:spacing w:after="0"/>
              <w:rPr>
                <w:sz w:val="12"/>
                <w:szCs w:val="12"/>
                <w:color w:val="auto"/>
              </w:rPr>
            </w:pPr>
          </w:p>
        </w:tc>
        <w:tc>
          <w:tcPr>
            <w:tcW w:w="1640" w:type="dxa"/>
            <w:vAlign w:val="bottom"/>
            <w:gridSpan w:val="7"/>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Significant Other</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5"/>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1"/>
              </w:rPr>
              <w:t>Total Losses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Three Months</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for Identical</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4"/>
          </w:tcPr>
          <w:p>
            <w:pPr>
              <w:jc w:val="center"/>
              <w:ind w:right="800"/>
              <w:spacing w:after="0" w:line="149" w:lineRule="exact"/>
              <w:rPr>
                <w:sz w:val="20"/>
                <w:szCs w:val="20"/>
                <w:color w:val="auto"/>
              </w:rPr>
            </w:pPr>
            <w:r>
              <w:rPr>
                <w:rFonts w:ascii="Arial" w:cs="Arial" w:eastAsia="Arial" w:hAnsi="Arial"/>
                <w:sz w:val="14"/>
                <w:szCs w:val="14"/>
                <w:b w:val="1"/>
                <w:bCs w:val="1"/>
                <w:color w:val="auto"/>
                <w:w w:val="86"/>
              </w:rPr>
              <w:t>Observable</w:t>
            </w:r>
          </w:p>
        </w:tc>
        <w:tc>
          <w:tcPr>
            <w:tcW w:w="1140" w:type="dxa"/>
            <w:vAlign w:val="bottom"/>
            <w:gridSpan w:val="7"/>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280" w:type="dxa"/>
            <w:vAlign w:val="bottom"/>
          </w:tcPr>
          <w:p>
            <w:pPr>
              <w:spacing w:after="0"/>
              <w:rPr>
                <w:sz w:val="12"/>
                <w:szCs w:val="12"/>
                <w:color w:val="auto"/>
              </w:rPr>
            </w:pPr>
          </w:p>
        </w:tc>
        <w:tc>
          <w:tcPr>
            <w:tcW w:w="92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right"/>
              <w:ind w:right="660"/>
              <w:spacing w:after="0" w:line="149" w:lineRule="exact"/>
              <w:rPr>
                <w:sz w:val="20"/>
                <w:szCs w:val="20"/>
                <w:color w:val="auto"/>
              </w:rPr>
            </w:pPr>
            <w:r>
              <w:rPr>
                <w:rFonts w:ascii="Arial" w:cs="Arial" w:eastAsia="Arial" w:hAnsi="Arial"/>
                <w:sz w:val="14"/>
                <w:szCs w:val="14"/>
                <w:b w:val="1"/>
                <w:bCs w:val="1"/>
                <w:color w:val="auto"/>
              </w:rPr>
              <w:t>Ended</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78"/>
              </w:rPr>
              <w:t>Assets</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4"/>
          </w:tcPr>
          <w:p>
            <w:pPr>
              <w:jc w:val="center"/>
              <w:ind w:right="800"/>
              <w:spacing w:after="0" w:line="149" w:lineRule="exact"/>
              <w:rPr>
                <w:sz w:val="20"/>
                <w:szCs w:val="20"/>
                <w:color w:val="auto"/>
              </w:rPr>
            </w:pPr>
            <w:r>
              <w:rPr>
                <w:rFonts w:ascii="Arial" w:cs="Arial" w:eastAsia="Arial" w:hAnsi="Arial"/>
                <w:sz w:val="14"/>
                <w:szCs w:val="14"/>
                <w:b w:val="1"/>
                <w:bCs w:val="1"/>
                <w:color w:val="auto"/>
                <w:w w:val="90"/>
              </w:rPr>
              <w:t>Inputs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4"/>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Inputs</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34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85"/>
              </w:rPr>
              <w:t>June 30, 2010 (a)</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(Level 1)</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4"/>
          </w:tcPr>
          <w:p>
            <w:pPr>
              <w:jc w:val="center"/>
              <w:ind w:right="800"/>
              <w:spacing w:after="0"/>
              <w:rPr>
                <w:sz w:val="20"/>
                <w:szCs w:val="20"/>
                <w:color w:val="auto"/>
              </w:rPr>
            </w:pPr>
            <w:r>
              <w:rPr>
                <w:rFonts w:ascii="Arial" w:cs="Arial" w:eastAsia="Arial" w:hAnsi="Arial"/>
                <w:sz w:val="14"/>
                <w:szCs w:val="14"/>
                <w:b w:val="1"/>
                <w:bCs w:val="1"/>
                <w:color w:val="auto"/>
                <w:w w:val="87"/>
              </w:rPr>
              <w:t>(Level 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1"/>
              </w:rPr>
              <w:t>(Level 3)</w:t>
            </w:r>
          </w:p>
        </w:tc>
        <w:tc>
          <w:tcPr>
            <w:tcW w:w="280" w:type="dxa"/>
            <w:vAlign w:val="bottom"/>
          </w:tcPr>
          <w:p>
            <w:pPr>
              <w:spacing w:after="0"/>
              <w:rPr>
                <w:sz w:val="14"/>
                <w:szCs w:val="14"/>
                <w:color w:val="auto"/>
              </w:rPr>
            </w:pPr>
          </w:p>
        </w:tc>
        <w:tc>
          <w:tcPr>
            <w:tcW w:w="9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5"/>
              </w:rPr>
              <w:t>June 30, 2010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Vehicles leased to rental car companies</w:t>
            </w: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3"/>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77"/>
              </w:rPr>
              <w:t>—</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3"/>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88"/>
              </w:rPr>
              <w:t>—</w:t>
            </w:r>
          </w:p>
        </w:tc>
        <w:tc>
          <w:tcPr>
            <w:tcW w:w="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3"/>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8"/>
          </w:tcPr>
          <w:p>
            <w:pPr>
              <w:jc w:val="center"/>
              <w:ind w:right="160"/>
              <w:spacing w:after="0"/>
              <w:rPr>
                <w:sz w:val="20"/>
                <w:szCs w:val="20"/>
                <w:color w:val="auto"/>
              </w:rPr>
            </w:pPr>
            <w:r>
              <w:rPr>
                <w:rFonts w:ascii="Arial" w:cs="Arial" w:eastAsia="Arial" w:hAnsi="Arial"/>
                <w:sz w:val="14"/>
                <w:szCs w:val="14"/>
                <w:b w:val="1"/>
                <w:bCs w:val="1"/>
                <w:color w:val="auto"/>
                <w:w w:val="86"/>
              </w:rPr>
              <w:t>Fair Value Measurements Using</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5"/>
          </w:tcPr>
          <w:p>
            <w:pPr>
              <w:spacing w:after="0" w:line="129" w:lineRule="exact"/>
              <w:rPr>
                <w:sz w:val="20"/>
                <w:szCs w:val="20"/>
                <w:color w:val="auto"/>
              </w:rPr>
            </w:pPr>
            <w:r>
              <w:rPr>
                <w:rFonts w:ascii="Arial" w:cs="Arial" w:eastAsia="Arial" w:hAnsi="Arial"/>
                <w:sz w:val="14"/>
                <w:szCs w:val="14"/>
                <w:b w:val="1"/>
                <w:bCs w:val="1"/>
                <w:color w:val="auto"/>
                <w:w w:val="88"/>
              </w:rPr>
              <w:t>Quoted Prices in</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Active Markets</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gridSpan w:val="6"/>
          </w:tcPr>
          <w:p>
            <w:pPr>
              <w:spacing w:after="0" w:line="149" w:lineRule="exact"/>
              <w:rPr>
                <w:sz w:val="20"/>
                <w:szCs w:val="20"/>
                <w:color w:val="auto"/>
              </w:rPr>
            </w:pPr>
            <w:r>
              <w:rPr>
                <w:rFonts w:ascii="Arial" w:cs="Arial" w:eastAsia="Arial" w:hAnsi="Arial"/>
                <w:sz w:val="14"/>
                <w:szCs w:val="14"/>
                <w:b w:val="1"/>
                <w:bCs w:val="1"/>
                <w:color w:val="auto"/>
              </w:rPr>
              <w:t>Significant Other</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1"/>
              </w:rPr>
              <w:t>Total Losses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Six Months</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for Identical</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4"/>
          </w:tcPr>
          <w:p>
            <w:pPr>
              <w:jc w:val="center"/>
              <w:ind w:right="680"/>
              <w:spacing w:after="0" w:line="149" w:lineRule="exact"/>
              <w:rPr>
                <w:sz w:val="20"/>
                <w:szCs w:val="20"/>
                <w:color w:val="auto"/>
              </w:rPr>
            </w:pPr>
            <w:r>
              <w:rPr>
                <w:rFonts w:ascii="Arial" w:cs="Arial" w:eastAsia="Arial" w:hAnsi="Arial"/>
                <w:sz w:val="14"/>
                <w:szCs w:val="14"/>
                <w:b w:val="1"/>
                <w:bCs w:val="1"/>
                <w:color w:val="auto"/>
                <w:w w:val="86"/>
              </w:rPr>
              <w:t>Observable</w:t>
            </w:r>
          </w:p>
        </w:tc>
        <w:tc>
          <w:tcPr>
            <w:tcW w:w="40" w:type="dxa"/>
            <w:vAlign w:val="bottom"/>
          </w:tcPr>
          <w:p>
            <w:pPr>
              <w:spacing w:after="0"/>
              <w:rPr>
                <w:sz w:val="12"/>
                <w:szCs w:val="12"/>
                <w:color w:val="auto"/>
              </w:rPr>
            </w:pPr>
          </w:p>
        </w:tc>
        <w:tc>
          <w:tcPr>
            <w:tcW w:w="1100" w:type="dxa"/>
            <w:vAlign w:val="bottom"/>
            <w:gridSpan w:val="6"/>
          </w:tcPr>
          <w:p>
            <w:pPr>
              <w:spacing w:after="0" w:line="149" w:lineRule="exact"/>
              <w:rPr>
                <w:sz w:val="20"/>
                <w:szCs w:val="20"/>
                <w:color w:val="auto"/>
              </w:rPr>
            </w:pPr>
            <w:r>
              <w:rPr>
                <w:rFonts w:ascii="Arial" w:cs="Arial" w:eastAsia="Arial" w:hAnsi="Arial"/>
                <w:sz w:val="14"/>
                <w:szCs w:val="14"/>
                <w:b w:val="1"/>
                <w:bCs w:val="1"/>
                <w:color w:val="auto"/>
              </w:rPr>
              <w:t>Unobservable</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Ended</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78"/>
              </w:rPr>
              <w:t>Assets</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4"/>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Inputs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Inputs</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5"/>
          </w:tcPr>
          <w:p>
            <w:pPr>
              <w:spacing w:after="0"/>
              <w:rPr>
                <w:sz w:val="20"/>
                <w:szCs w:val="20"/>
                <w:color w:val="auto"/>
              </w:rPr>
            </w:pPr>
            <w:r>
              <w:rPr>
                <w:rFonts w:ascii="Arial" w:cs="Arial" w:eastAsia="Arial" w:hAnsi="Arial"/>
                <w:sz w:val="14"/>
                <w:szCs w:val="14"/>
                <w:b w:val="1"/>
                <w:bCs w:val="1"/>
                <w:color w:val="auto"/>
              </w:rPr>
              <w:t>June 30, 2010 (a)</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7"/>
              </w:rPr>
              <w:t>(Level 1)</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4"/>
          </w:tcPr>
          <w:p>
            <w:pPr>
              <w:jc w:val="center"/>
              <w:ind w:right="680"/>
              <w:spacing w:after="0"/>
              <w:rPr>
                <w:sz w:val="20"/>
                <w:szCs w:val="20"/>
                <w:color w:val="auto"/>
              </w:rPr>
            </w:pPr>
            <w:r>
              <w:rPr>
                <w:rFonts w:ascii="Arial" w:cs="Arial" w:eastAsia="Arial" w:hAnsi="Arial"/>
                <w:sz w:val="14"/>
                <w:szCs w:val="14"/>
                <w:b w:val="1"/>
                <w:bCs w:val="1"/>
                <w:color w:val="auto"/>
                <w:w w:val="87"/>
              </w:rPr>
              <w:t>(Level 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1"/>
              </w:rPr>
              <w:t>(Level 3)</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5"/>
              </w:rPr>
              <w:t>June 30, 2010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Vehicles leased to rental car companies</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537-563</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gridSpan w:val="2"/>
            <w:shd w:val="clear" w:color="auto" w:fill="CCEEFF"/>
          </w:tcPr>
          <w:p>
            <w:pPr>
              <w:ind w:left="720"/>
              <w:spacing w:after="0"/>
              <w:rPr>
                <w:sz w:val="20"/>
                <w:szCs w:val="20"/>
                <w:color w:val="auto"/>
              </w:rPr>
            </w:pPr>
            <w:r>
              <w:rPr>
                <w:rFonts w:ascii="Arial" w:cs="Arial" w:eastAsia="Arial" w:hAnsi="Arial"/>
                <w:sz w:val="18"/>
                <w:szCs w:val="18"/>
                <w:color w:val="auto"/>
                <w:w w:val="88"/>
              </w:rPr>
              <w:t>—</w:t>
            </w:r>
          </w:p>
        </w:tc>
        <w:tc>
          <w:tcPr>
            <w:tcW w:w="560" w:type="dxa"/>
            <w:vAlign w:val="bottom"/>
            <w:tcBorders>
              <w:top w:val="single" w:sz="8" w:color="CCEEFF"/>
            </w:tcBorders>
            <w:gridSpan w:val="2"/>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537-563</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Amounts represent the fair value measure (or range of measures) during the period.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Cancellations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contract cancellation charges primarily related to the cancellation of product programs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5"/>
          </w:tcPr>
          <w:p>
            <w:pPr>
              <w:jc w:val="right"/>
              <w:ind w:right="116"/>
              <w:spacing w:after="0"/>
              <w:rPr>
                <w:sz w:val="20"/>
                <w:szCs w:val="20"/>
                <w:color w:val="auto"/>
              </w:rPr>
            </w:pPr>
            <w:r>
              <w:rPr>
                <w:rFonts w:ascii="Arial" w:cs="Arial" w:eastAsia="Arial" w:hAnsi="Arial"/>
                <w:sz w:val="14"/>
                <w:szCs w:val="14"/>
                <w:b w:val="1"/>
                <w:bCs w:val="1"/>
                <w:color w:val="auto"/>
                <w:w w:val="95"/>
              </w:rPr>
              <w:t>Three Months Ended</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4"/>
          </w:tcPr>
          <w:p>
            <w:pPr>
              <w:jc w:val="right"/>
              <w:spacing w:after="0"/>
              <w:rPr>
                <w:sz w:val="20"/>
                <w:szCs w:val="20"/>
                <w:color w:val="auto"/>
              </w:rPr>
            </w:pPr>
            <w:r>
              <w:rPr>
                <w:rFonts w:ascii="Arial" w:cs="Arial" w:eastAsia="Arial" w:hAnsi="Arial"/>
                <w:sz w:val="14"/>
                <w:szCs w:val="14"/>
                <w:b w:val="1"/>
                <w:bCs w:val="1"/>
                <w:color w:val="auto"/>
                <w:w w:val="93"/>
              </w:rPr>
              <w:t>Six Months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83"/>
              <w:spacing w:after="0"/>
              <w:rPr>
                <w:sz w:val="20"/>
                <w:szCs w:val="20"/>
                <w:color w:val="auto"/>
              </w:rPr>
            </w:pPr>
            <w:r>
              <w:rPr>
                <w:rFonts w:ascii="Arial" w:cs="Arial" w:eastAsia="Arial" w:hAnsi="Arial"/>
                <w:sz w:val="14"/>
                <w:szCs w:val="14"/>
                <w:b w:val="1"/>
                <w:bCs w:val="1"/>
                <w:color w:val="auto"/>
                <w:w w:val="96"/>
              </w:rPr>
              <w:t>June 30,</w:t>
            </w:r>
          </w:p>
        </w:tc>
        <w:tc>
          <w:tcPr>
            <w:tcW w:w="42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243"/>
              <w:spacing w:after="0"/>
              <w:rPr>
                <w:sz w:val="20"/>
                <w:szCs w:val="20"/>
                <w:color w:val="auto"/>
              </w:rPr>
            </w:pPr>
            <w:r>
              <w:rPr>
                <w:rFonts w:ascii="Arial" w:cs="Arial" w:eastAsia="Arial" w:hAnsi="Arial"/>
                <w:sz w:val="14"/>
                <w:szCs w:val="14"/>
                <w:b w:val="1"/>
                <w:bCs w:val="1"/>
                <w:color w:val="auto"/>
                <w:w w:val="89"/>
              </w:rPr>
              <w:t>June 30,</w:t>
            </w:r>
          </w:p>
        </w:tc>
        <w:tc>
          <w:tcPr>
            <w:tcW w:w="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ind w:right="39"/>
              <w:spacing w:after="0" w:line="142" w:lineRule="exact"/>
              <w:rPr>
                <w:sz w:val="20"/>
                <w:szCs w:val="20"/>
                <w:color w:val="auto"/>
              </w:rPr>
            </w:pPr>
            <w:r>
              <w:rPr>
                <w:rFonts w:ascii="Arial" w:cs="Arial" w:eastAsia="Arial" w:hAnsi="Arial"/>
                <w:sz w:val="14"/>
                <w:szCs w:val="14"/>
                <w:b w:val="1"/>
                <w:bCs w:val="1"/>
                <w:color w:val="auto"/>
                <w:w w:val="76"/>
              </w:rPr>
              <w:t>2011</w:t>
            </w: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2010</w:t>
            </w:r>
          </w:p>
        </w:tc>
        <w:tc>
          <w:tcPr>
            <w:tcW w:w="560" w:type="dxa"/>
            <w:vAlign w:val="bottom"/>
          </w:tcPr>
          <w:p>
            <w:pPr>
              <w:spacing w:after="0"/>
              <w:rPr>
                <w:sz w:val="12"/>
                <w:szCs w:val="12"/>
                <w:color w:val="auto"/>
              </w:rPr>
            </w:pPr>
          </w:p>
        </w:tc>
        <w:tc>
          <w:tcPr>
            <w:tcW w:w="4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12"/>
                <w:szCs w:val="12"/>
                <w:color w:val="auto"/>
              </w:rPr>
            </w:pPr>
          </w:p>
        </w:tc>
        <w:tc>
          <w:tcPr>
            <w:tcW w:w="10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6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GMNA</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GME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GMIO</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0"/>
        </w:trPr>
        <w:tc>
          <w:tcPr>
            <w:tcW w:w="7640" w:type="dxa"/>
            <w:vAlign w:val="bottom"/>
            <w:vMerge w:val="restart"/>
          </w:tcPr>
          <w:p>
            <w:pPr>
              <w:spacing w:after="0"/>
              <w:rPr>
                <w:sz w:val="20"/>
                <w:szCs w:val="20"/>
                <w:color w:val="auto"/>
              </w:rPr>
            </w:pPr>
            <w:r>
              <w:rPr>
                <w:rFonts w:ascii="Arial" w:cs="Arial" w:eastAsia="Arial" w:hAnsi="Arial"/>
                <w:sz w:val="18"/>
                <w:szCs w:val="18"/>
                <w:color w:val="auto"/>
              </w:rPr>
              <w:t>Total contract cancellation charges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40" w:type="dxa"/>
            <w:vAlign w:val="bottom"/>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84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Earnings Per Share</w:t>
      </w:r>
    </w:p>
    <w:p>
      <w:pPr>
        <w:spacing w:after="0" w:line="177" w:lineRule="exact"/>
        <w:rPr>
          <w:sz w:val="20"/>
          <w:szCs w:val="20"/>
          <w:color w:val="auto"/>
        </w:rPr>
      </w:pPr>
    </w:p>
    <w:p>
      <w:pPr>
        <w:ind w:right="180" w:firstLine="228"/>
        <w:spacing w:after="0" w:line="332" w:lineRule="auto"/>
        <w:rPr>
          <w:sz w:val="20"/>
          <w:szCs w:val="20"/>
          <w:color w:val="auto"/>
        </w:rPr>
      </w:pPr>
      <w:r>
        <w:rPr>
          <w:rFonts w:ascii="Arial" w:cs="Arial" w:eastAsia="Arial" w:hAnsi="Arial"/>
          <w:sz w:val="16"/>
          <w:szCs w:val="16"/>
          <w:color w:val="auto"/>
        </w:rPr>
        <w:t>In the three and six months ended June 30, 2011 we were required to use the two-class method for calculating earnings per share, as further discussed below, as the applicable market value of our common stock was below $33.00 per common share in the period ended June 30, 2011.</w:t>
      </w:r>
    </w:p>
    <w:p>
      <w:pPr>
        <w:spacing w:after="0" w:line="85" w:lineRule="exact"/>
        <w:rPr>
          <w:sz w:val="20"/>
          <w:szCs w:val="20"/>
          <w:color w:val="auto"/>
        </w:rPr>
      </w:pPr>
    </w:p>
    <w:p>
      <w:pPr>
        <w:ind w:right="220" w:firstLine="228"/>
        <w:spacing w:after="0" w:line="256" w:lineRule="auto"/>
        <w:rPr>
          <w:sz w:val="20"/>
          <w:szCs w:val="20"/>
          <w:color w:val="auto"/>
        </w:rPr>
      </w:pPr>
      <w:r>
        <w:rPr>
          <w:rFonts w:ascii="Arial" w:cs="Arial" w:eastAsia="Arial" w:hAnsi="Arial"/>
          <w:sz w:val="18"/>
          <w:szCs w:val="18"/>
          <w:color w:val="auto"/>
        </w:rPr>
        <w:t>Basic and diluted earnings per share were computed by dividing earnings attributable to common stockholders by the weighted-average common shares outstanding in the period. The computation of diluted earnings per share gives effect to all potentially dilutive securities. In periods prior to our public offering, we utilized an average stock price based upon estimates of the fair value of our common stock. Subsequent to our public offering, we used the New York Stock Exchange price.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summarize basic and diluted earnings per share (in millions,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Basic</w:t>
            </w:r>
          </w:p>
        </w:tc>
        <w:tc>
          <w:tcPr>
            <w:tcW w:w="6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Diluted</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420" w:type="dxa"/>
            <w:vAlign w:val="bottom"/>
          </w:tcPr>
          <w:p>
            <w:pPr>
              <w:spacing w:after="0"/>
              <w:rPr>
                <w:sz w:val="11"/>
                <w:szCs w:val="11"/>
                <w:color w:val="auto"/>
              </w:rPr>
            </w:pPr>
          </w:p>
        </w:tc>
        <w:tc>
          <w:tcPr>
            <w:tcW w:w="8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3"/>
              </w:rPr>
              <w:t>Three Months</w:t>
            </w:r>
          </w:p>
        </w:tc>
        <w:tc>
          <w:tcPr>
            <w:tcW w:w="500" w:type="dxa"/>
            <w:vAlign w:val="bottom"/>
          </w:tcPr>
          <w:p>
            <w:pPr>
              <w:spacing w:after="0"/>
              <w:rPr>
                <w:sz w:val="11"/>
                <w:szCs w:val="11"/>
                <w:color w:val="auto"/>
              </w:rPr>
            </w:pPr>
          </w:p>
        </w:tc>
        <w:tc>
          <w:tcPr>
            <w:tcW w:w="7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Six Months</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7"/>
              </w:rPr>
              <w:t>Three Months</w:t>
            </w:r>
          </w:p>
        </w:tc>
        <w:tc>
          <w:tcPr>
            <w:tcW w:w="560" w:type="dxa"/>
            <w:vAlign w:val="bottom"/>
          </w:tcPr>
          <w:p>
            <w:pPr>
              <w:spacing w:after="0"/>
              <w:rPr>
                <w:sz w:val="11"/>
                <w:szCs w:val="11"/>
                <w:color w:val="auto"/>
              </w:rPr>
            </w:pPr>
          </w:p>
        </w:tc>
        <w:tc>
          <w:tcPr>
            <w:tcW w:w="7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Six Months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8"/>
              </w:rPr>
              <w:t>Ended</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Ended</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134"/>
              <w:spacing w:after="0" w:line="149" w:lineRule="exact"/>
              <w:rPr>
                <w:sz w:val="20"/>
                <w:szCs w:val="20"/>
                <w:color w:val="auto"/>
              </w:rPr>
            </w:pPr>
            <w:r>
              <w:rPr>
                <w:rFonts w:ascii="Arial" w:cs="Arial" w:eastAsia="Arial" w:hAnsi="Arial"/>
                <w:sz w:val="14"/>
                <w:szCs w:val="14"/>
                <w:b w:val="1"/>
                <w:bCs w:val="1"/>
                <w:color w:val="auto"/>
              </w:rPr>
              <w:t>Ended</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June 30, 2011</w:t>
            </w:r>
          </w:p>
        </w:tc>
        <w:tc>
          <w:tcPr>
            <w:tcW w:w="50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June 30, 2011</w:t>
            </w:r>
          </w:p>
        </w:tc>
        <w:tc>
          <w:tcPr>
            <w:tcW w:w="28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June 30, 2011</w:t>
            </w:r>
          </w:p>
        </w:tc>
        <w:tc>
          <w:tcPr>
            <w:tcW w:w="5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June 30, 2011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income attributable to common stockholders</w:t>
            </w: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Net income attributable to stockholders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2,992</w:t>
            </w:r>
          </w:p>
        </w:tc>
        <w:tc>
          <w:tcPr>
            <w:tcW w:w="6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6,358</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2,992</w:t>
            </w: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6,358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w w:val="97"/>
              </w:rPr>
              <w:t>Less: cumulative dividends on preferred stock and undistributed earnings allocated</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 Series B Preferred Stock participating security (a)</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468</w:t>
            </w: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971</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common stockholders</w:t>
            </w: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40" w:type="dxa"/>
            <w:vAlign w:val="bottom"/>
            <w:gridSpan w:val="2"/>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2,524</w:t>
            </w:r>
          </w:p>
        </w:tc>
        <w:tc>
          <w:tcPr>
            <w:tcW w:w="6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5,387</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2,545</w:t>
            </w: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5,434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Weighted-average shares outstanding</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Weighted-average common shares outstanding</w:t>
            </w: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1,505</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1,505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1,505</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warrants</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Dilutive effect of restricted stock units</w:t>
            </w: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outstanding-diluted</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1,505</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440" w:type="dxa"/>
            <w:vAlign w:val="bottom"/>
            <w:gridSpan w:val="2"/>
            <w:vMerge w:val="continue"/>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1.68</w:t>
            </w:r>
          </w:p>
        </w:tc>
        <w:tc>
          <w:tcPr>
            <w:tcW w:w="6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3.58</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1.54</w:t>
            </w: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400" w:hanging="452"/>
        <w:spacing w:after="0" w:line="298"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Includes cumulative dividends on preferred stock of $214 million and $429 million in the three and six months ended June 30, 2011. Earnings of $254 million and $542 million for the three and six months ended June 30, 2011 have been allocated to the Series B Preferred Stock holders for the basic earnings per share calculation. Earnings of $233 million and $495 million for the three and six months ended June 30, 2011 have been allocated to the Series B Preferred Stock holders for the diluted earnings per share calculation.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Basic</w:t>
            </w:r>
          </w:p>
        </w:tc>
        <w:tc>
          <w:tcPr>
            <w:tcW w:w="6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Diluted</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7"/>
              </w:rPr>
              <w:t>Three Months</w:t>
            </w:r>
          </w:p>
        </w:tc>
        <w:tc>
          <w:tcPr>
            <w:tcW w:w="560" w:type="dxa"/>
            <w:vAlign w:val="bottom"/>
          </w:tcPr>
          <w:p>
            <w:pPr>
              <w:spacing w:after="0"/>
              <w:rPr>
                <w:sz w:val="11"/>
                <w:szCs w:val="11"/>
                <w:color w:val="auto"/>
              </w:rPr>
            </w:pPr>
          </w:p>
        </w:tc>
        <w:tc>
          <w:tcPr>
            <w:tcW w:w="8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Six Months</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7"/>
              </w:rPr>
              <w:t>Three Months</w:t>
            </w:r>
          </w:p>
        </w:tc>
        <w:tc>
          <w:tcPr>
            <w:tcW w:w="540" w:type="dxa"/>
            <w:vAlign w:val="bottom"/>
          </w:tcPr>
          <w:p>
            <w:pPr>
              <w:spacing w:after="0"/>
              <w:rPr>
                <w:sz w:val="11"/>
                <w:szCs w:val="11"/>
                <w:color w:val="auto"/>
              </w:rPr>
            </w:pPr>
          </w:p>
        </w:tc>
        <w:tc>
          <w:tcPr>
            <w:tcW w:w="8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Six Months</w:t>
            </w:r>
          </w:p>
        </w:tc>
        <w:tc>
          <w:tcPr>
            <w:tcW w:w="100" w:type="dxa"/>
            <w:vAlign w:val="bottom"/>
          </w:tcPr>
          <w:p>
            <w:pPr>
              <w:spacing w:after="0"/>
              <w:rPr>
                <w:sz w:val="11"/>
                <w:szCs w:val="11"/>
                <w:color w:val="auto"/>
              </w:rPr>
            </w:pPr>
          </w:p>
        </w:tc>
      </w:tr>
      <w:tr>
        <w:trPr>
          <w:trHeight w:val="149"/>
        </w:trPr>
        <w:tc>
          <w:tcPr>
            <w:tcW w:w="5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ind w:right="135"/>
              <w:spacing w:after="0" w:line="149" w:lineRule="exact"/>
              <w:rPr>
                <w:sz w:val="20"/>
                <w:szCs w:val="20"/>
                <w:color w:val="auto"/>
              </w:rPr>
            </w:pPr>
            <w:r>
              <w:rPr>
                <w:rFonts w:ascii="Arial" w:cs="Arial" w:eastAsia="Arial" w:hAnsi="Arial"/>
                <w:sz w:val="14"/>
                <w:szCs w:val="14"/>
                <w:b w:val="1"/>
                <w:bCs w:val="1"/>
                <w:color w:val="auto"/>
                <w:w w:val="98"/>
              </w:rPr>
              <w:t>Ended</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4"/>
              </w:rPr>
              <w:t>Ended</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135"/>
              <w:spacing w:after="0" w:line="149" w:lineRule="exact"/>
              <w:rPr>
                <w:sz w:val="20"/>
                <w:szCs w:val="20"/>
                <w:color w:val="auto"/>
              </w:rPr>
            </w:pPr>
            <w:r>
              <w:rPr>
                <w:rFonts w:ascii="Arial" w:cs="Arial" w:eastAsia="Arial" w:hAnsi="Arial"/>
                <w:sz w:val="14"/>
                <w:szCs w:val="14"/>
                <w:b w:val="1"/>
                <w:bCs w:val="1"/>
                <w:color w:val="auto"/>
              </w:rPr>
              <w:t>Ended</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5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June 30, 2010</w:t>
            </w:r>
          </w:p>
        </w:tc>
        <w:tc>
          <w:tcPr>
            <w:tcW w:w="56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June 30, 2010</w:t>
            </w:r>
          </w:p>
        </w:tc>
        <w:tc>
          <w:tcPr>
            <w:tcW w:w="28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June 30, 2010</w:t>
            </w:r>
          </w:p>
        </w:tc>
        <w:tc>
          <w:tcPr>
            <w:tcW w:w="54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June 30, 2010</w:t>
            </w:r>
          </w:p>
        </w:tc>
      </w:tr>
      <w:tr>
        <w:trPr>
          <w:trHeight w:val="196"/>
        </w:trPr>
        <w:tc>
          <w:tcPr>
            <w:tcW w:w="5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income attributable to common stockholders</w:t>
            </w:r>
          </w:p>
        </w:tc>
        <w:tc>
          <w:tcPr>
            <w:tcW w:w="1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Net income attributable to stockholders</w:t>
            </w:r>
          </w:p>
        </w:tc>
        <w:tc>
          <w:tcPr>
            <w:tcW w:w="14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1,536</w:t>
            </w: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2,604</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1,536</w:t>
            </w:r>
          </w:p>
        </w:tc>
        <w:tc>
          <w:tcPr>
            <w:tcW w:w="7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2,604</w:t>
            </w: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Less: cumulative dividends on preferred stock</w:t>
            </w:r>
          </w:p>
        </w:tc>
        <w:tc>
          <w:tcPr>
            <w:tcW w:w="1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5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18"/>
                <w:szCs w:val="18"/>
                <w:color w:val="auto"/>
              </w:rPr>
            </w:pPr>
          </w:p>
        </w:tc>
      </w:tr>
      <w:tr>
        <w:trPr>
          <w:trHeight w:val="222"/>
        </w:trPr>
        <w:tc>
          <w:tcPr>
            <w:tcW w:w="5120" w:type="dxa"/>
            <w:vAlign w:val="bottom"/>
          </w:tcPr>
          <w:p>
            <w:pPr>
              <w:spacing w:after="0"/>
              <w:rPr>
                <w:sz w:val="20"/>
                <w:szCs w:val="20"/>
                <w:color w:val="auto"/>
              </w:rPr>
            </w:pPr>
            <w:r>
              <w:rPr>
                <w:rFonts w:ascii="Arial" w:cs="Arial" w:eastAsia="Arial" w:hAnsi="Arial"/>
                <w:sz w:val="18"/>
                <w:szCs w:val="18"/>
                <w:color w:val="auto"/>
              </w:rPr>
              <w:t>Net income attributable to common stockholders</w:t>
            </w:r>
          </w:p>
        </w:tc>
        <w:tc>
          <w:tcPr>
            <w:tcW w:w="14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1,334</w:t>
            </w: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2,199</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1,334</w:t>
            </w:r>
          </w:p>
        </w:tc>
        <w:tc>
          <w:tcPr>
            <w:tcW w:w="7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2,199</w:t>
            </w:r>
          </w:p>
        </w:tc>
        <w:tc>
          <w:tcPr>
            <w:tcW w:w="100" w:type="dxa"/>
            <w:vAlign w:val="bottom"/>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Weighted-average shares outstanding</w:t>
            </w: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Weighted-average common shares outstanding</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1,500</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1,500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1,500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warrants</w:t>
            </w:r>
          </w:p>
        </w:tc>
        <w:tc>
          <w:tcPr>
            <w:tcW w:w="1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r>
      <w:tr>
        <w:trPr>
          <w:trHeight w:val="222"/>
        </w:trPr>
        <w:tc>
          <w:tcPr>
            <w:tcW w:w="5120" w:type="dxa"/>
            <w:vAlign w:val="bottom"/>
          </w:tcPr>
          <w:p>
            <w:pPr>
              <w:spacing w:after="0"/>
              <w:rPr>
                <w:sz w:val="20"/>
                <w:szCs w:val="20"/>
                <w:color w:val="auto"/>
              </w:rPr>
            </w:pPr>
            <w:r>
              <w:rPr>
                <w:rFonts w:ascii="Arial" w:cs="Arial" w:eastAsia="Arial" w:hAnsi="Arial"/>
                <w:sz w:val="18"/>
                <w:szCs w:val="18"/>
                <w:color w:val="auto"/>
              </w:rPr>
              <w:t>Weighted-average common shares outstanding-diluted</w:t>
            </w: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1,500</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1,500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1,567</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1,567</w:t>
            </w:r>
          </w:p>
        </w:tc>
        <w:tc>
          <w:tcPr>
            <w:tcW w:w="100" w:type="dxa"/>
            <w:vAlign w:val="bottom"/>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46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1.47</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Three and Six Months Ended June 30, 2011</w:t>
      </w:r>
    </w:p>
    <w:p>
      <w:pPr>
        <w:spacing w:after="0" w:line="171" w:lineRule="exact"/>
        <w:rPr>
          <w:sz w:val="20"/>
          <w:szCs w:val="20"/>
          <w:color w:val="auto"/>
        </w:rPr>
      </w:pPr>
    </w:p>
    <w:p>
      <w:pPr>
        <w:ind w:right="80" w:firstLine="228"/>
        <w:spacing w:after="0" w:line="318" w:lineRule="auto"/>
        <w:rPr>
          <w:sz w:val="20"/>
          <w:szCs w:val="20"/>
          <w:color w:val="auto"/>
        </w:rPr>
      </w:pPr>
      <w:r>
        <w:rPr>
          <w:rFonts w:ascii="Arial" w:cs="Arial" w:eastAsia="Arial" w:hAnsi="Arial"/>
          <w:sz w:val="15"/>
          <w:szCs w:val="15"/>
          <w:color w:val="auto"/>
        </w:rPr>
        <w:t>Our Series B Preferred Stock is a participating security and requires the application of the two-class method for calculating earnings per share when the applicable market value of our common stock is below $33.00 or above $39.60 per common share. For purposes of calculating earnings per share, the applicable market value is calculated as the average of the closing prices of our common stock over the 40 consecutive trading day period ending on the third trading day immediately preceding the date of our financial statements. The calculation of the applicable market value at the date of our financial statements will apply to the current quarter and the year to date period presented, irrespective of the applicable market value computed during the prior quarters of the current year.</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60" w:firstLine="228"/>
        <w:spacing w:after="0" w:line="323" w:lineRule="auto"/>
        <w:rPr>
          <w:sz w:val="20"/>
          <w:szCs w:val="20"/>
          <w:color w:val="auto"/>
        </w:rPr>
      </w:pPr>
      <w:r>
        <w:rPr>
          <w:rFonts w:ascii="Arial" w:cs="Arial" w:eastAsia="Arial" w:hAnsi="Arial"/>
          <w:sz w:val="15"/>
          <w:szCs w:val="15"/>
          <w:color w:val="auto"/>
        </w:rPr>
        <w:t>Under the two-class method for computing earnings per share, undistributed earnings are allocated to common stock and the Series B Preferred Stock according to their respective participation rights in undistributed earnings, as if all the earnings for the period had been distributed. This allocation to the Series B Preferred Stock holders reduced Net income attributable to common stockholders, resulting in a lower basic and dilutive earnings per share amount. Accordingly, variability may result in our calculation of earnings per share from period to period depending on whether the application of the two-class method is required.</w:t>
      </w:r>
    </w:p>
    <w:p>
      <w:pPr>
        <w:spacing w:after="0" w:line="98" w:lineRule="exact"/>
        <w:rPr>
          <w:sz w:val="20"/>
          <w:szCs w:val="20"/>
          <w:color w:val="auto"/>
        </w:rPr>
      </w:pPr>
    </w:p>
    <w:p>
      <w:pPr>
        <w:ind w:right="100" w:firstLine="228"/>
        <w:spacing w:after="0" w:line="294" w:lineRule="auto"/>
        <w:rPr>
          <w:sz w:val="20"/>
          <w:szCs w:val="20"/>
          <w:color w:val="auto"/>
        </w:rPr>
      </w:pPr>
      <w:r>
        <w:rPr>
          <w:rFonts w:ascii="Arial" w:cs="Arial" w:eastAsia="Arial" w:hAnsi="Arial"/>
          <w:sz w:val="16"/>
          <w:szCs w:val="16"/>
          <w:color w:val="auto"/>
        </w:rPr>
        <w:t>Because the applicable market value of our common stock was below the price range of $33.00 to $39.60 per common share for the three and six months ended June 30, 2011, we applied the two-class method to calculate basic earnings per share and the more dilutive of the two-class or the if-converted method to calculate diluted earnings per share. The application of the two-class method resulted in an allocation of undistributed earnings to our Series B Preferred Stock holders and, accordingly, 152 million common stock equivalents from the assumed conversion of the Series B Preferred Stock are not considered outstanding for purposes of determining the weighted-average common shares outstanding in the computation of diluted earnings per share.</w:t>
      </w:r>
    </w:p>
    <w:p>
      <w:pPr>
        <w:spacing w:after="0" w:line="116" w:lineRule="exact"/>
        <w:rPr>
          <w:sz w:val="20"/>
          <w:szCs w:val="20"/>
          <w:color w:val="auto"/>
        </w:rPr>
      </w:pPr>
    </w:p>
    <w:p>
      <w:pPr>
        <w:ind w:right="20" w:firstLine="228"/>
        <w:spacing w:after="0" w:line="259" w:lineRule="auto"/>
        <w:rPr>
          <w:sz w:val="20"/>
          <w:szCs w:val="20"/>
          <w:color w:val="auto"/>
        </w:rPr>
      </w:pPr>
      <w:r>
        <w:rPr>
          <w:rFonts w:ascii="Arial" w:cs="Arial" w:eastAsia="Arial" w:hAnsi="Arial"/>
          <w:sz w:val="18"/>
          <w:szCs w:val="18"/>
          <w:color w:val="auto"/>
        </w:rPr>
        <w:t>In April 2011 MLC began distribution of 272 million warrants for our common stock to its unsecured creditors. The warrant holders may exercise the warrants at any time prior to their respective expiration dates. Upon exercise of the warrants the shares issued will be included in the number of basic shares outstanding used in the computation of earnings per share.</w:t>
      </w:r>
    </w:p>
    <w:p>
      <w:pPr>
        <w:spacing w:after="0" w:line="140" w:lineRule="exact"/>
        <w:rPr>
          <w:sz w:val="20"/>
          <w:szCs w:val="20"/>
          <w:color w:val="auto"/>
        </w:rPr>
      </w:pPr>
    </w:p>
    <w:p>
      <w:pPr>
        <w:ind w:right="220" w:firstLine="228"/>
        <w:spacing w:after="0" w:line="256" w:lineRule="auto"/>
        <w:rPr>
          <w:sz w:val="20"/>
          <w:szCs w:val="20"/>
          <w:color w:val="auto"/>
        </w:rPr>
      </w:pPr>
      <w:r>
        <w:rPr>
          <w:rFonts w:ascii="Arial" w:cs="Arial" w:eastAsia="Arial" w:hAnsi="Arial"/>
          <w:sz w:val="18"/>
          <w:szCs w:val="18"/>
          <w:color w:val="auto"/>
        </w:rPr>
        <w:t>Warrants to purchase 317 million shares of our common stock were outstanding at June 30, 2011, of which 46 million shares were not included in the computation of diluted earnings per share because the warrants’ exercise price was greater than the average market price of the common shares. Under the treasury stock method, the assumed exercise of warrants to purchase the remaining 271 million shares resulted in 147 million and 154 million dilutive shares in the three and six months ended June 30, 2011.</w:t>
      </w:r>
    </w:p>
    <w:p>
      <w:pPr>
        <w:spacing w:after="0" w:line="143"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Diluted earnings per share included the assumed issuance of unvested restricted stock units (RSUs) granted to certain global executives. At June 30, 2011 there were 14 million unvested RSUs outstanding.</w:t>
      </w:r>
    </w:p>
    <w:p>
      <w:pPr>
        <w:spacing w:after="0" w:line="132" w:lineRule="exact"/>
        <w:rPr>
          <w:sz w:val="20"/>
          <w:szCs w:val="20"/>
          <w:color w:val="auto"/>
        </w:rPr>
      </w:pPr>
    </w:p>
    <w:p>
      <w:pPr>
        <w:jc w:val="both"/>
        <w:ind w:right="260" w:firstLine="228"/>
        <w:spacing w:after="0" w:line="268" w:lineRule="auto"/>
        <w:rPr>
          <w:sz w:val="20"/>
          <w:szCs w:val="20"/>
          <w:color w:val="auto"/>
        </w:rPr>
      </w:pPr>
      <w:r>
        <w:rPr>
          <w:rFonts w:ascii="Arial" w:cs="Arial" w:eastAsia="Arial" w:hAnsi="Arial"/>
          <w:sz w:val="18"/>
          <w:szCs w:val="18"/>
          <w:color w:val="auto"/>
        </w:rPr>
        <w:t>The Adjustment Shares were excluded from the computation of basic and diluted earnings per share as the condition that would result in the issuance of the Adjustment Shares was not satisfied.</w:t>
      </w:r>
    </w:p>
    <w:p>
      <w:pPr>
        <w:spacing w:after="0" w:line="132" w:lineRule="exact"/>
        <w:rPr>
          <w:sz w:val="20"/>
          <w:szCs w:val="20"/>
          <w:color w:val="auto"/>
        </w:rPr>
      </w:pPr>
    </w:p>
    <w:p>
      <w:pPr>
        <w:jc w:val="both"/>
        <w:ind w:right="260" w:firstLine="228"/>
        <w:spacing w:after="0" w:line="306" w:lineRule="auto"/>
        <w:rPr>
          <w:sz w:val="20"/>
          <w:szCs w:val="20"/>
          <w:color w:val="auto"/>
        </w:rPr>
      </w:pPr>
      <w:r>
        <w:rPr>
          <w:rFonts w:ascii="Arial" w:cs="Arial" w:eastAsia="Arial" w:hAnsi="Arial"/>
          <w:sz w:val="16"/>
          <w:szCs w:val="16"/>
          <w:color w:val="auto"/>
        </w:rPr>
        <w:t>The 61 million shares of common stock contributed to our pension plans in January 2011 were excluded from the computation of earnings per share as they did not meet the criteria to qualify as plan assets for accounting purposes. As these shares met the criteria in July 2011 to qualify as plan assets for accounting purposes they will be considered outstanding for earnings per share purposes beginning in the three months ending September 30, 2011.</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Three and Six Months Ended June 30, 2010</w:t>
      </w:r>
    </w:p>
    <w:p>
      <w:pPr>
        <w:spacing w:after="0" w:line="171" w:lineRule="exact"/>
        <w:rPr>
          <w:sz w:val="20"/>
          <w:szCs w:val="20"/>
          <w:color w:val="auto"/>
        </w:rPr>
      </w:pPr>
    </w:p>
    <w:p>
      <w:pPr>
        <w:ind w:right="240" w:firstLine="228"/>
        <w:spacing w:after="0" w:line="306" w:lineRule="auto"/>
        <w:rPr>
          <w:sz w:val="20"/>
          <w:szCs w:val="20"/>
          <w:color w:val="auto"/>
        </w:rPr>
      </w:pPr>
      <w:r>
        <w:rPr>
          <w:rFonts w:ascii="Arial" w:cs="Arial" w:eastAsia="Arial" w:hAnsi="Arial"/>
          <w:sz w:val="16"/>
          <w:szCs w:val="16"/>
          <w:color w:val="auto"/>
        </w:rPr>
        <w:t>Warrants to purchase 318 million shares of our common stock were outstanding, of which 46 million shares were not included in the computation of diluted earnings per share because the warrants’ exercise price was greater than the fair value of our common stock. Under the treasury stock method, the assumed exercise of warrants to purchase the remaining 272 million shares resulted in 67 million dilutive shares.</w:t>
      </w:r>
    </w:p>
    <w:p>
      <w:pPr>
        <w:spacing w:after="0" w:line="107" w:lineRule="exact"/>
        <w:rPr>
          <w:sz w:val="20"/>
          <w:szCs w:val="20"/>
          <w:color w:val="auto"/>
        </w:rPr>
      </w:pPr>
    </w:p>
    <w:p>
      <w:pPr>
        <w:ind w:right="160" w:firstLine="228"/>
        <w:spacing w:after="0" w:line="306" w:lineRule="auto"/>
        <w:rPr>
          <w:sz w:val="20"/>
          <w:szCs w:val="20"/>
          <w:color w:val="auto"/>
        </w:rPr>
      </w:pPr>
      <w:r>
        <w:rPr>
          <w:rFonts w:ascii="Arial" w:cs="Arial" w:eastAsia="Arial" w:hAnsi="Arial"/>
          <w:sz w:val="16"/>
          <w:szCs w:val="16"/>
          <w:color w:val="auto"/>
        </w:rPr>
        <w:t>Diluted earnings per share excluded the assumed issuance of unvested RSUs granted to certain global executives as these awards were payable in cash if settled prior to six months after a completion of a successful public offering. At June 30, 2010 a total of 17 million RSUs were outstanding, of which neither the vested or unvested portion was included for purposes of calculating diluted earnings per share due to the cash settlement condition at that time.</w:t>
      </w:r>
    </w:p>
    <w:p>
      <w:pPr>
        <w:spacing w:after="0" w:line="107" w:lineRule="exact"/>
        <w:rPr>
          <w:sz w:val="20"/>
          <w:szCs w:val="20"/>
          <w:color w:val="auto"/>
        </w:rPr>
      </w:pPr>
    </w:p>
    <w:p>
      <w:pPr>
        <w:ind w:right="260" w:firstLine="228"/>
        <w:spacing w:after="0" w:line="268" w:lineRule="auto"/>
        <w:rPr>
          <w:sz w:val="20"/>
          <w:szCs w:val="20"/>
          <w:color w:val="auto"/>
        </w:rPr>
      </w:pPr>
      <w:r>
        <w:rPr>
          <w:rFonts w:ascii="Arial" w:cs="Arial" w:eastAsia="Arial" w:hAnsi="Arial"/>
          <w:sz w:val="18"/>
          <w:szCs w:val="18"/>
          <w:color w:val="auto"/>
        </w:rPr>
        <w:t>The Adjustment Shares were excluded from the computation of basic and diluted earnings per share as the condition that would result in the issuance of the Adjustment Shares was not satisfied.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Stock Incentive Plans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w:t>
      </w:r>
    </w:p>
    <w:p>
      <w:pPr>
        <w:spacing w:after="0" w:line="177" w:lineRule="exact"/>
        <w:rPr>
          <w:sz w:val="20"/>
          <w:szCs w:val="20"/>
          <w:color w:val="auto"/>
        </w:rPr>
      </w:pPr>
    </w:p>
    <w:p>
      <w:pPr>
        <w:ind w:right="380" w:firstLine="228"/>
        <w:spacing w:after="0" w:line="306" w:lineRule="auto"/>
        <w:rPr>
          <w:sz w:val="20"/>
          <w:szCs w:val="20"/>
          <w:color w:val="auto"/>
        </w:rPr>
      </w:pPr>
      <w:r>
        <w:rPr>
          <w:rFonts w:ascii="Arial" w:cs="Arial" w:eastAsia="Arial" w:hAnsi="Arial"/>
          <w:sz w:val="16"/>
          <w:szCs w:val="16"/>
          <w:color w:val="auto"/>
        </w:rPr>
        <w:t>Our stock incentive plans consist of the 2009 Long-Term Incentive Plan as amended on December 22, 2010 (2009 GMLTIP) and the Salary Stock Plan as amended on October 5, 2010 (GMSSP). Both plans are administered by the Executive Compensation Committee of our Board of Directors. The aggregate number of shares that may be granted under the 2009 GMLTIP and the GMSSP shall not exceed 75 million shares.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compensation expense recorded for our stock incentive plans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220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90"/>
              </w:rPr>
              <w:t>Three Months Ended</w:t>
            </w:r>
          </w:p>
        </w:tc>
        <w:tc>
          <w:tcPr>
            <w:tcW w:w="16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0"/>
              </w:rPr>
              <w:t>Six Months Ended</w:t>
            </w:r>
          </w:p>
        </w:tc>
      </w:tr>
      <w:tr>
        <w:trPr>
          <w:trHeight w:val="161"/>
        </w:trPr>
        <w:tc>
          <w:tcPr>
            <w:tcW w:w="7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20" w:type="dxa"/>
            <w:vAlign w:val="bottom"/>
            <w:gridSpan w:val="3"/>
          </w:tcPr>
          <w:p>
            <w:pPr>
              <w:jc w:val="center"/>
              <w:ind w:right="1040"/>
              <w:spacing w:after="0"/>
              <w:rPr>
                <w:sz w:val="20"/>
                <w:szCs w:val="20"/>
                <w:color w:val="auto"/>
              </w:rPr>
            </w:pPr>
            <w:r>
              <w:rPr>
                <w:rFonts w:ascii="Arial" w:cs="Arial" w:eastAsia="Arial" w:hAnsi="Arial"/>
                <w:sz w:val="14"/>
                <w:szCs w:val="14"/>
                <w:b w:val="1"/>
                <w:bCs w:val="1"/>
                <w:color w:val="auto"/>
                <w:w w:val="85"/>
              </w:rPr>
              <w:t>June 30,</w:t>
            </w:r>
          </w:p>
        </w:tc>
        <w:tc>
          <w:tcPr>
            <w:tcW w:w="500" w:type="dxa"/>
            <w:vAlign w:val="bottom"/>
          </w:tcPr>
          <w:p>
            <w:pPr>
              <w:spacing w:after="0"/>
              <w:rPr>
                <w:sz w:val="14"/>
                <w:szCs w:val="14"/>
                <w:color w:val="auto"/>
              </w:rPr>
            </w:pPr>
          </w:p>
        </w:tc>
        <w:tc>
          <w:tcPr>
            <w:tcW w:w="11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5"/>
              </w:rPr>
              <w:t>June 30,</w:t>
            </w:r>
          </w:p>
        </w:tc>
      </w:tr>
      <w:tr>
        <w:trPr>
          <w:trHeight w:val="142"/>
        </w:trPr>
        <w:tc>
          <w:tcPr>
            <w:tcW w:w="7620" w:type="dxa"/>
            <w:vAlign w:val="bottom"/>
          </w:tcPr>
          <w:p>
            <w:pPr>
              <w:spacing w:after="0"/>
              <w:rPr>
                <w:sz w:val="12"/>
                <w:szCs w:val="12"/>
                <w:color w:val="auto"/>
              </w:rPr>
            </w:pPr>
          </w:p>
        </w:tc>
        <w:tc>
          <w:tcPr>
            <w:tcW w:w="480" w:type="dxa"/>
            <w:vAlign w:val="bottom"/>
            <w:tcBorders>
              <w:top w:val="single" w:sz="8" w:color="auto"/>
            </w:tcBorders>
          </w:tcPr>
          <w:p>
            <w:pPr>
              <w:jc w:val="right"/>
              <w:ind w:right="26"/>
              <w:spacing w:after="0" w:line="142" w:lineRule="exact"/>
              <w:rPr>
                <w:sz w:val="20"/>
                <w:szCs w:val="20"/>
                <w:color w:val="auto"/>
              </w:rPr>
            </w:pPr>
            <w:r>
              <w:rPr>
                <w:rFonts w:ascii="Arial" w:cs="Arial" w:eastAsia="Arial" w:hAnsi="Arial"/>
                <w:sz w:val="14"/>
                <w:szCs w:val="14"/>
                <w:b w:val="1"/>
                <w:bCs w:val="1"/>
                <w:color w:val="auto"/>
              </w:rPr>
              <w:t>2011</w:t>
            </w:r>
          </w:p>
        </w:tc>
        <w:tc>
          <w:tcPr>
            <w:tcW w:w="116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2010</w:t>
            </w:r>
          </w:p>
        </w:tc>
        <w:tc>
          <w:tcPr>
            <w:tcW w:w="560" w:type="dxa"/>
            <w:vAlign w:val="bottom"/>
          </w:tcPr>
          <w:p>
            <w:pPr>
              <w:spacing w:after="0"/>
              <w:rPr>
                <w:sz w:val="12"/>
                <w:szCs w:val="12"/>
                <w:color w:val="auto"/>
              </w:rPr>
            </w:pPr>
          </w:p>
        </w:tc>
        <w:tc>
          <w:tcPr>
            <w:tcW w:w="500" w:type="dxa"/>
            <w:vAlign w:val="bottom"/>
            <w:tcBorders>
              <w:top w:val="single" w:sz="8" w:color="auto"/>
            </w:tcBorders>
          </w:tcPr>
          <w:p>
            <w:pPr>
              <w:jc w:val="right"/>
              <w:ind w:right="46"/>
              <w:spacing w:after="0" w:line="142" w:lineRule="exact"/>
              <w:rPr>
                <w:sz w:val="20"/>
                <w:szCs w:val="20"/>
                <w:color w:val="auto"/>
              </w:rPr>
            </w:pPr>
            <w:r>
              <w:rPr>
                <w:rFonts w:ascii="Arial" w:cs="Arial" w:eastAsia="Arial" w:hAnsi="Arial"/>
                <w:sz w:val="14"/>
                <w:szCs w:val="14"/>
                <w:b w:val="1"/>
                <w:bCs w:val="1"/>
                <w:color w:val="auto"/>
              </w:rPr>
              <w:t>2011</w:t>
            </w:r>
          </w:p>
        </w:tc>
        <w:tc>
          <w:tcPr>
            <w:tcW w:w="10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76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Compensation expense</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60</w:t>
            </w:r>
          </w:p>
        </w:tc>
        <w:tc>
          <w:tcPr>
            <w:tcW w:w="6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34</w:t>
            </w:r>
          </w:p>
        </w:tc>
        <w:tc>
          <w:tcPr>
            <w:tcW w:w="5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113</w:t>
            </w:r>
          </w:p>
        </w:tc>
        <w:tc>
          <w:tcPr>
            <w:tcW w:w="6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52</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54" w:lineRule="exact"/>
        <w:rPr>
          <w:sz w:val="20"/>
          <w:szCs w:val="20"/>
          <w:color w:val="auto"/>
        </w:rPr>
      </w:pPr>
    </w:p>
    <w:p>
      <w:pPr>
        <w:ind w:right="100" w:firstLine="228"/>
        <w:spacing w:after="0" w:line="268" w:lineRule="auto"/>
        <w:rPr>
          <w:sz w:val="20"/>
          <w:szCs w:val="20"/>
          <w:color w:val="auto"/>
        </w:rPr>
      </w:pPr>
      <w:r>
        <w:rPr>
          <w:rFonts w:ascii="Arial" w:cs="Arial" w:eastAsia="Arial" w:hAnsi="Arial"/>
          <w:sz w:val="18"/>
          <w:szCs w:val="18"/>
          <w:color w:val="auto"/>
        </w:rPr>
        <w:t>Income tax expense amounts were insignificant in the three and six months ended June 30, 2011 and 2010 and did not include U.S. and non-U.S. jurisdictions with full valuation allowances.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Long-Term Incentive Plan</w:t>
      </w:r>
    </w:p>
    <w:p>
      <w:pPr>
        <w:spacing w:after="0" w:line="171" w:lineRule="exact"/>
        <w:rPr>
          <w:sz w:val="20"/>
          <w:szCs w:val="20"/>
          <w:color w:val="auto"/>
        </w:rPr>
      </w:pPr>
    </w:p>
    <w:p>
      <w:pPr>
        <w:ind w:right="60" w:firstLine="228"/>
        <w:spacing w:after="0" w:line="256" w:lineRule="auto"/>
        <w:rPr>
          <w:sz w:val="20"/>
          <w:szCs w:val="20"/>
          <w:color w:val="auto"/>
        </w:rPr>
      </w:pPr>
      <w:r>
        <w:rPr>
          <w:rFonts w:ascii="Arial" w:cs="Arial" w:eastAsia="Arial" w:hAnsi="Arial"/>
          <w:sz w:val="18"/>
          <w:szCs w:val="18"/>
          <w:color w:val="auto"/>
        </w:rPr>
        <w:t>In the six months ended June 30, 2011 we granted RSUs to certain global executives under the 2009 GMLTIP. The RSUs were valued on the date of grant at the fair value of our common stock. Awards granted under the 2009 GMLTIP either cliff vest or ratably vest generally over a three-year service period, as defined in the terms of each award. We have elected to record compensation cost for these awards on a straight-line basis over the entire vesting period. Our policy is to issue new shares upon settlement of RSUs.</w:t>
      </w:r>
    </w:p>
    <w:p>
      <w:pPr>
        <w:spacing w:after="0" w:line="143" w:lineRule="exact"/>
        <w:rPr>
          <w:sz w:val="20"/>
          <w:szCs w:val="20"/>
          <w:color w:val="auto"/>
        </w:rPr>
      </w:pPr>
    </w:p>
    <w:p>
      <w:pPr>
        <w:ind w:right="20" w:firstLine="228"/>
        <w:spacing w:after="0" w:line="256" w:lineRule="auto"/>
        <w:rPr>
          <w:sz w:val="20"/>
          <w:szCs w:val="20"/>
          <w:color w:val="auto"/>
        </w:rPr>
      </w:pPr>
      <w:r>
        <w:rPr>
          <w:rFonts w:ascii="Arial" w:cs="Arial" w:eastAsia="Arial" w:hAnsi="Arial"/>
          <w:sz w:val="18"/>
          <w:szCs w:val="18"/>
          <w:color w:val="auto"/>
        </w:rPr>
        <w:t>2011 awards granted to the Top 25 highest compensated employees will settle three years from the grant date in 25% increments in conjunction with each 25% of our Troubled Asset Relief Program obligations that are repaid. The awards for the Next 75 highest compensated employees will settle: (1) three years from the date of grant; or (2) on the first and third anniversary dates of grant. The awards to the non-Top 100 highest compensated employees will settle on the first, second, and third anniversary dates of grant.</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Salary Stock</w:t>
      </w:r>
    </w:p>
    <w:p>
      <w:pPr>
        <w:spacing w:after="0" w:line="171" w:lineRule="exact"/>
        <w:rPr>
          <w:sz w:val="20"/>
          <w:szCs w:val="20"/>
          <w:color w:val="auto"/>
        </w:rPr>
      </w:pPr>
    </w:p>
    <w:p>
      <w:pPr>
        <w:ind w:right="240" w:firstLine="228"/>
        <w:spacing w:after="0" w:line="306" w:lineRule="auto"/>
        <w:rPr>
          <w:sz w:val="20"/>
          <w:szCs w:val="20"/>
          <w:color w:val="auto"/>
        </w:rPr>
      </w:pPr>
      <w:r>
        <w:rPr>
          <w:rFonts w:ascii="Arial" w:cs="Arial" w:eastAsia="Arial" w:hAnsi="Arial"/>
          <w:sz w:val="16"/>
          <w:szCs w:val="16"/>
          <w:color w:val="auto"/>
        </w:rPr>
        <w:t>In November 2009 we initiated a salary stock program for certain global executives under the GMSSP whereby a portion of each participant’s total annual compensation was accrued and converted to RSUs at each salary payment date. Beginning in 2010 a portion of each participant’s salary accrued on each salary payment date converted to RSUs on a quarterly basis. Our policy is to issue new shares upon settlement of these awards.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summarizes our RSU activity under the 2009 GMLTIP and GMSSP in the six months ended June 30, 2011 (RSUs in millions):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3"/>
            <w:vMerge w:val="restart"/>
          </w:tcPr>
          <w:p>
            <w:pPr>
              <w:jc w:val="center"/>
              <w:ind w:right="500"/>
              <w:spacing w:after="0"/>
              <w:rPr>
                <w:sz w:val="20"/>
                <w:szCs w:val="20"/>
                <w:color w:val="auto"/>
              </w:rPr>
            </w:pPr>
            <w:r>
              <w:rPr>
                <w:rFonts w:ascii="Arial" w:cs="Arial" w:eastAsia="Arial" w:hAnsi="Arial"/>
                <w:sz w:val="14"/>
                <w:szCs w:val="14"/>
                <w:b w:val="1"/>
                <w:bCs w:val="1"/>
                <w:color w:val="auto"/>
                <w:w w:val="85"/>
              </w:rPr>
              <w:t>Weighted-</w:t>
            </w: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5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3"/>
              </w:rPr>
              <w:t>Average</w:t>
            </w: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Grant Date</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76"/>
              </w:rPr>
              <w:t>Shares</w:t>
            </w:r>
          </w:p>
        </w:tc>
        <w:tc>
          <w:tcPr>
            <w:tcW w:w="220" w:type="dxa"/>
            <w:vAlign w:val="bottom"/>
          </w:tcPr>
          <w:p>
            <w:pPr>
              <w:spacing w:after="0"/>
              <w:rPr>
                <w:sz w:val="14"/>
                <w:szCs w:val="14"/>
                <w:color w:val="auto"/>
              </w:rPr>
            </w:pPr>
          </w:p>
        </w:tc>
        <w:tc>
          <w:tcPr>
            <w:tcW w:w="116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2"/>
              </w:rPr>
              <w:t>Fair Value</w:t>
            </w: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Term</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RSUs outstanding at January 1, 2011</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5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Granted</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5.7</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34.72</w:t>
            </w: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Settled</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Forfeited or expired</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(0.7)</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21.33</w:t>
            </w: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RSUs outstanding at June 30, 2011</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21.8</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60" w:type="dxa"/>
            <w:vAlign w:val="bottom"/>
            <w:gridSpan w:val="2"/>
            <w:vMerge w:val="restart"/>
          </w:tcPr>
          <w:p>
            <w:pPr>
              <w:spacing w:after="0"/>
              <w:rPr>
                <w:sz w:val="20"/>
                <w:szCs w:val="20"/>
                <w:color w:val="auto"/>
              </w:rPr>
            </w:pPr>
            <w:r>
              <w:rPr>
                <w:rFonts w:ascii="Arial" w:cs="Arial" w:eastAsia="Arial" w:hAnsi="Arial"/>
                <w:sz w:val="18"/>
                <w:szCs w:val="18"/>
                <w:color w:val="auto"/>
              </w:rPr>
              <w:t>RSUs unvested and expected to vest at June 30, 2011</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gridSpan w:val="2"/>
            <w:vMerge w:val="restart"/>
          </w:tcPr>
          <w:p>
            <w:pPr>
              <w:ind w:left="220"/>
              <w:spacing w:after="0"/>
              <w:rPr>
                <w:sz w:val="20"/>
                <w:szCs w:val="20"/>
                <w:color w:val="auto"/>
              </w:rPr>
            </w:pPr>
            <w:r>
              <w:rPr>
                <w:rFonts w:ascii="Arial" w:cs="Arial" w:eastAsia="Arial" w:hAnsi="Arial"/>
                <w:sz w:val="18"/>
                <w:szCs w:val="18"/>
                <w:color w:val="auto"/>
                <w:w w:val="79"/>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23.50</w:t>
            </w:r>
          </w:p>
        </w:tc>
        <w:tc>
          <w:tcPr>
            <w:tcW w:w="500" w:type="dxa"/>
            <w:vAlign w:val="bottom"/>
          </w:tcPr>
          <w:p>
            <w:pPr>
              <w:spacing w:after="0" w:line="20" w:lineRule="exact"/>
              <w:rPr>
                <w:sz w:val="1"/>
                <w:szCs w:val="1"/>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560" w:type="dxa"/>
            <w:vAlign w:val="bottom"/>
            <w:gridSpan w:val="2"/>
            <w:vMerge w:val="continue"/>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14.9</w:t>
            </w:r>
          </w:p>
        </w:tc>
        <w:tc>
          <w:tcPr>
            <w:tcW w:w="320" w:type="dxa"/>
            <w:vAlign w:val="bottom"/>
            <w:gridSpan w:val="2"/>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RSUs vested and payable at June 30, 2011</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w:t>
            </w: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00" w:firstLine="228"/>
        <w:spacing w:after="0" w:line="268" w:lineRule="auto"/>
        <w:rPr>
          <w:sz w:val="20"/>
          <w:szCs w:val="20"/>
          <w:color w:val="auto"/>
        </w:rPr>
      </w:pPr>
      <w:r>
        <w:rPr>
          <w:rFonts w:ascii="Arial" w:cs="Arial" w:eastAsia="Arial" w:hAnsi="Arial"/>
          <w:sz w:val="18"/>
          <w:szCs w:val="18"/>
          <w:color w:val="auto"/>
        </w:rPr>
        <w:t>At June 30, 2011 the total unrecognized compensation expense for nonvested equity awards granted under the 2009 GMLTIP was $362 million. This expense is expected to be recorded over a weighted-average period of 2.0 years.</w:t>
      </w:r>
    </w:p>
    <w:p>
      <w:pPr>
        <w:spacing w:after="0" w:line="132" w:lineRule="exact"/>
        <w:rPr>
          <w:sz w:val="20"/>
          <w:szCs w:val="20"/>
          <w:color w:val="auto"/>
        </w:rPr>
      </w:pPr>
    </w:p>
    <w:p>
      <w:pPr>
        <w:ind w:right="200" w:firstLine="228"/>
        <w:spacing w:after="0" w:line="268" w:lineRule="auto"/>
        <w:rPr>
          <w:sz w:val="20"/>
          <w:szCs w:val="20"/>
          <w:color w:val="auto"/>
        </w:rPr>
      </w:pPr>
      <w:r>
        <w:rPr>
          <w:rFonts w:ascii="Arial" w:cs="Arial" w:eastAsia="Arial" w:hAnsi="Arial"/>
          <w:sz w:val="18"/>
          <w:szCs w:val="18"/>
          <w:color w:val="auto"/>
        </w:rPr>
        <w:t>In the three and six months ended June 30, 2011 total payments for 303,000 and 400,000 RSUs settled under the GMSSP was $9 million and $13 million. In the three and six months ended June 30, 2010 total payments for 97,000 RSUs settled under the GMSSP was $2 million.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Transactions with Ally Financial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tables summarize the financial statement effects of and maximum obligations under agreements with Ally Financial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June 30, 2011</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2010</w:t>
            </w:r>
          </w:p>
        </w:tc>
      </w:tr>
      <w:tr>
        <w:trPr>
          <w:trHeight w:val="196"/>
        </w:trPr>
        <w:tc>
          <w:tcPr>
            <w:tcW w:w="5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lease residuals</w:t>
            </w:r>
          </w:p>
        </w:tc>
        <w:tc>
          <w:tcPr>
            <w:tcW w:w="30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Residual support (a)</w:t>
            </w: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Liabilities (receivables) recorded</w:t>
            </w:r>
          </w:p>
        </w:tc>
        <w:tc>
          <w:tcPr>
            <w:tcW w:w="3280" w:type="dxa"/>
            <w:vAlign w:val="bottom"/>
            <w:gridSpan w:val="2"/>
            <w:shd w:val="clear" w:color="auto" w:fill="CCEEFF"/>
          </w:tcPr>
          <w:p>
            <w:pPr>
              <w:ind w:left="30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(40)</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r>
      <w:tr>
        <w:trPr>
          <w:trHeight w:val="216"/>
        </w:trPr>
        <w:tc>
          <w:tcPr>
            <w:tcW w:w="5620" w:type="dxa"/>
            <w:vAlign w:val="bottom"/>
          </w:tcPr>
          <w:p>
            <w:pPr>
              <w:ind w:left="220"/>
              <w:spacing w:after="0"/>
              <w:rPr>
                <w:sz w:val="20"/>
                <w:szCs w:val="20"/>
                <w:color w:val="auto"/>
              </w:rPr>
            </w:pPr>
            <w:r>
              <w:rPr>
                <w:rFonts w:ascii="Arial" w:cs="Arial" w:eastAsia="Arial" w:hAnsi="Arial"/>
                <w:sz w:val="18"/>
                <w:szCs w:val="18"/>
                <w:color w:val="auto"/>
              </w:rPr>
              <w:t>Maximum obligation</w:t>
            </w:r>
          </w:p>
        </w:tc>
        <w:tc>
          <w:tcPr>
            <w:tcW w:w="3280" w:type="dxa"/>
            <w:vAlign w:val="bottom"/>
            <w:gridSpan w:val="2"/>
          </w:tcPr>
          <w:p>
            <w:pPr>
              <w:ind w:left="30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rPr>
              <w:t>208</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523</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Risk sharing (a)</w:t>
            </w:r>
          </w:p>
        </w:tc>
        <w:tc>
          <w:tcPr>
            <w:tcW w:w="3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20" w:type="dxa"/>
            <w:vAlign w:val="bottom"/>
          </w:tcPr>
          <w:p>
            <w:pPr>
              <w:ind w:left="220"/>
              <w:spacing w:after="0"/>
              <w:rPr>
                <w:sz w:val="20"/>
                <w:szCs w:val="20"/>
                <w:color w:val="auto"/>
              </w:rPr>
            </w:pPr>
            <w:r>
              <w:rPr>
                <w:rFonts w:ascii="Arial" w:cs="Arial" w:eastAsia="Arial" w:hAnsi="Arial"/>
                <w:sz w:val="18"/>
                <w:szCs w:val="18"/>
                <w:color w:val="auto"/>
              </w:rPr>
              <w:t>Liabilities recorded</w:t>
            </w:r>
          </w:p>
        </w:tc>
        <w:tc>
          <w:tcPr>
            <w:tcW w:w="3280" w:type="dxa"/>
            <w:vAlign w:val="bottom"/>
            <w:gridSpan w:val="2"/>
          </w:tcPr>
          <w:p>
            <w:pPr>
              <w:ind w:left="30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rPr>
              <w:t>127</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269</w:t>
            </w:r>
          </w:p>
        </w:tc>
      </w:tr>
      <w:tr>
        <w:trPr>
          <w:trHeight w:val="216"/>
        </w:trPr>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Maximum obligation</w:t>
            </w:r>
          </w:p>
        </w:tc>
        <w:tc>
          <w:tcPr>
            <w:tcW w:w="3280" w:type="dxa"/>
            <w:vAlign w:val="bottom"/>
            <w:gridSpan w:val="2"/>
            <w:shd w:val="clear" w:color="auto" w:fill="CCEEFF"/>
          </w:tcPr>
          <w:p>
            <w:pPr>
              <w:ind w:left="30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301</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692</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Vehicle repurchase obligations (b)</w:t>
            </w: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Maximum obligations</w:t>
            </w:r>
          </w:p>
        </w:tc>
        <w:tc>
          <w:tcPr>
            <w:tcW w:w="3280" w:type="dxa"/>
            <w:vAlign w:val="bottom"/>
            <w:gridSpan w:val="2"/>
            <w:shd w:val="clear" w:color="auto" w:fill="CCEEFF"/>
          </w:tcPr>
          <w:p>
            <w:pPr>
              <w:ind w:left="30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20,918</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18,807</w:t>
            </w:r>
          </w:p>
        </w:tc>
      </w:tr>
      <w:tr>
        <w:trPr>
          <w:trHeight w:val="222"/>
        </w:trPr>
        <w:tc>
          <w:tcPr>
            <w:tcW w:w="5620" w:type="dxa"/>
            <w:vAlign w:val="bottom"/>
          </w:tcPr>
          <w:p>
            <w:pPr>
              <w:ind w:left="220"/>
              <w:spacing w:after="0"/>
              <w:rPr>
                <w:sz w:val="20"/>
                <w:szCs w:val="20"/>
                <w:color w:val="auto"/>
              </w:rPr>
            </w:pPr>
            <w:r>
              <w:rPr>
                <w:rFonts w:ascii="Arial" w:cs="Arial" w:eastAsia="Arial" w:hAnsi="Arial"/>
                <w:sz w:val="18"/>
                <w:szCs w:val="18"/>
                <w:color w:val="auto"/>
              </w:rPr>
              <w:t>Fair value of guarantee</w:t>
            </w:r>
          </w:p>
        </w:tc>
        <w:tc>
          <w:tcPr>
            <w:tcW w:w="3280" w:type="dxa"/>
            <w:vAlign w:val="bottom"/>
            <w:gridSpan w:val="2"/>
          </w:tcPr>
          <w:p>
            <w:pPr>
              <w:ind w:left="30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120" w:hanging="452"/>
        <w:spacing w:after="0" w:line="26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the six months ended June 30, 2011 and 2010 favorable adjustments to our residual support and risk sharing liabilities of $323 million and $404 million were recorded in the U.S. due to increases in estimated residual values.</w:t>
      </w:r>
    </w:p>
    <w:p>
      <w:pPr>
        <w:spacing w:after="0" w:line="50"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maximum potential amount of future payments required to be made to Ally Financial under this guarantee is based on the repurchase value of total eligible vehicles financed by Ally Financial in dealer stock. If vehicles are required to be repurchased under this arrangement, the total exposure would be reduced to the extent vehicles are able to be resold.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5"/>
          </w:tcPr>
          <w:p>
            <w:pPr>
              <w:ind w:left="18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5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4"/>
                <w:szCs w:val="14"/>
                <w:b w:val="1"/>
                <w:bCs w:val="1"/>
                <w:color w:val="auto"/>
                <w:w w:val="96"/>
              </w:rPr>
              <w:t>June 30,</w:t>
            </w:r>
          </w:p>
        </w:tc>
        <w:tc>
          <w:tcPr>
            <w:tcW w:w="4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4"/>
                <w:szCs w:val="14"/>
                <w:b w:val="1"/>
                <w:bCs w:val="1"/>
                <w:color w:val="auto"/>
                <w:w w:val="96"/>
              </w:rPr>
              <w:t>June 30,</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940" w:type="dxa"/>
            <w:vAlign w:val="bottom"/>
            <w:tcBorders>
              <w:bottom w:val="single" w:sz="8" w:color="CCEEFF"/>
            </w:tcBorders>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w w:val="83"/>
              </w:rPr>
              <w:t>2011</w:t>
            </w:r>
          </w:p>
        </w:tc>
        <w:tc>
          <w:tcPr>
            <w:tcW w:w="5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3"/>
              </w:rPr>
              <w:t>2010</w:t>
            </w:r>
          </w:p>
        </w:tc>
        <w:tc>
          <w:tcPr>
            <w:tcW w:w="30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w w:val="83"/>
              </w:rPr>
              <w:t>2011</w:t>
            </w:r>
          </w:p>
        </w:tc>
        <w:tc>
          <w:tcPr>
            <w:tcW w:w="5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Marketing incentives and operating lease residual payments (a)</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Exclusivity fee income</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25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46</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Royalty income</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00" w:hanging="452"/>
        <w:spacing w:after="0" w:line="268"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Payments to Ally Financial related to U.S. marketing incentive and operating lease residual programs. Excludes payments to Ally Financial related to the contractual exposure limit.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balance sheet effects of transactions with Ally Financial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June 30, 2011</w:t>
            </w:r>
          </w:p>
        </w:tc>
        <w:tc>
          <w:tcPr>
            <w:tcW w:w="4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1"/>
              </w:rPr>
              <w:t>December 31, 2010</w:t>
            </w:r>
          </w:p>
        </w:tc>
      </w:tr>
      <w:tr>
        <w:trPr>
          <w:trHeight w:val="196"/>
        </w:trPr>
        <w:tc>
          <w:tcPr>
            <w:tcW w:w="6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Accounts and notes receivable, net (a)</w:t>
            </w:r>
          </w:p>
        </w:tc>
        <w:tc>
          <w:tcPr>
            <w:tcW w:w="2540" w:type="dxa"/>
            <w:vAlign w:val="bottom"/>
            <w:gridSpan w:val="2"/>
          </w:tcPr>
          <w:p>
            <w:pPr>
              <w:ind w:left="23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377</w:t>
            </w: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Other assets (b)</w:t>
            </w:r>
          </w:p>
        </w:tc>
        <w:tc>
          <w:tcPr>
            <w:tcW w:w="2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(c)</w:t>
            </w:r>
          </w:p>
        </w:tc>
        <w:tc>
          <w:tcPr>
            <w:tcW w:w="2540" w:type="dxa"/>
            <w:vAlign w:val="bottom"/>
            <w:gridSpan w:val="2"/>
            <w:shd w:val="clear" w:color="auto" w:fill="CCEEFF"/>
          </w:tcPr>
          <w:p>
            <w:pPr>
              <w:ind w:left="23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106</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Short-term debt and current portion of long-term debt (d)</w:t>
            </w:r>
          </w:p>
        </w:tc>
        <w:tc>
          <w:tcPr>
            <w:tcW w:w="2540" w:type="dxa"/>
            <w:vAlign w:val="bottom"/>
            <w:gridSpan w:val="2"/>
          </w:tcPr>
          <w:p>
            <w:pPr>
              <w:ind w:left="23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1,118</w:t>
            </w: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1,043</w:t>
            </w:r>
          </w:p>
        </w:tc>
        <w:tc>
          <w:tcPr>
            <w:tcW w:w="10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 and other liabilities (e)</w:t>
            </w:r>
          </w:p>
        </w:tc>
        <w:tc>
          <w:tcPr>
            <w:tcW w:w="2540" w:type="dxa"/>
            <w:vAlign w:val="bottom"/>
            <w:gridSpan w:val="2"/>
            <w:shd w:val="clear" w:color="auto" w:fill="CCEEFF"/>
          </w:tcPr>
          <w:p>
            <w:pPr>
              <w:ind w:left="23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599</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10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Long-term debt (f)</w:t>
            </w:r>
          </w:p>
        </w:tc>
        <w:tc>
          <w:tcPr>
            <w:tcW w:w="2540" w:type="dxa"/>
            <w:vAlign w:val="bottom"/>
            <w:gridSpan w:val="2"/>
          </w:tcPr>
          <w:p>
            <w:pPr>
              <w:ind w:left="23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9</w:t>
            </w: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 (g)</w:t>
            </w:r>
          </w:p>
        </w:tc>
        <w:tc>
          <w:tcPr>
            <w:tcW w:w="2540" w:type="dxa"/>
            <w:vAlign w:val="bottom"/>
            <w:gridSpan w:val="2"/>
            <w:shd w:val="clear" w:color="auto" w:fill="CCEEFF"/>
          </w:tcPr>
          <w:p>
            <w:pPr>
              <w:ind w:left="23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49</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Primarily represents wholesale settlements due from Ally Financial and receivables for exclusivity fees and royalties.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distributions due from Ally Financial on our investments in Ally Financial preferred stock.</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Primarily represents amounts billed to us and payable related to incentive programs.</w:t>
      </w:r>
    </w:p>
    <w:p>
      <w:pPr>
        <w:spacing w:after="0" w:line="90" w:lineRule="exact"/>
        <w:rPr>
          <w:rFonts w:ascii="Arial" w:cs="Arial" w:eastAsia="Arial" w:hAnsi="Arial"/>
          <w:sz w:val="18"/>
          <w:szCs w:val="18"/>
          <w:color w:val="auto"/>
        </w:rPr>
      </w:pPr>
    </w:p>
    <w:p>
      <w:pPr>
        <w:ind w:left="460" w:right="160" w:hanging="452"/>
        <w:spacing w:after="0" w:line="255"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wholesale financing, sales of receivable transactions and the short-term portion of term loans provided to certain dealerships which we own or in which we have an equity interest. It includes borrowing arrangements with various foreign locations and arrangements related to Ally Financial’s funding of company-owned vehicles, rental car vehicles awaiting sale at auction and funding of the sale of vehicles to which title is retained while the vehicles are consigned to Ally Financial or dealers, primarily in the United Kingdom. Financing remains outstanding until the title is transferred to the dealers.</w:t>
      </w:r>
    </w:p>
    <w:p>
      <w:pPr>
        <w:spacing w:after="0" w:line="61" w:lineRule="exact"/>
        <w:rPr>
          <w:rFonts w:ascii="Arial" w:cs="Arial" w:eastAsia="Arial" w:hAnsi="Arial"/>
          <w:sz w:val="18"/>
          <w:szCs w:val="18"/>
          <w:color w:val="auto"/>
        </w:rPr>
      </w:pPr>
    </w:p>
    <w:p>
      <w:pPr>
        <w:ind w:left="460" w:right="80" w:hanging="452"/>
        <w:spacing w:after="0" w:line="255"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Primarily represents accruals for marketing incentives on vehicles which are sold, or anticipated to be sold, to customers or dealers and financed by Ally Financial in North America. This includes the estimated amount of residual support accrued under the residual support and risk sharing programs, rate support under the interest rate support programs, operating lease and finance receivable capitalized cost reduction incentives paid to Ally Financial to reduce the capitalized cost in automotive lease contracts and retail automotive contracts, and amounts owed under lease pull-ahead programs. In addition it includes interest accrued on the transactions in (d) above.</w:t>
      </w:r>
    </w:p>
    <w:p>
      <w:pPr>
        <w:spacing w:after="0" w:line="61"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Primarily represents the long-term portion of term loans from Ally Financial to certain consolidated dealerships.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Primarily represents long-term portion of liabilities for marketing incentives on vehicles financed by Ally Financial.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Operations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income statement effects of transactions with Ally Financial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6"/>
          </w:tcPr>
          <w:p>
            <w:pPr>
              <w:ind w:left="4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61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160" w:type="dxa"/>
            <w:vAlign w:val="bottom"/>
            <w:tcBorders>
              <w:bottom w:val="single" w:sz="8" w:color="CCEEFF"/>
            </w:tcBorders>
          </w:tcPr>
          <w:p>
            <w:pPr>
              <w:spacing w:after="0"/>
              <w:rPr>
                <w:sz w:val="12"/>
                <w:szCs w:val="12"/>
                <w:color w:val="auto"/>
              </w:rPr>
            </w:pPr>
          </w:p>
        </w:tc>
        <w:tc>
          <w:tcPr>
            <w:tcW w:w="19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2010</w:t>
            </w:r>
          </w:p>
        </w:tc>
        <w:tc>
          <w:tcPr>
            <w:tcW w:w="2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20"/>
              <w:spacing w:after="0" w:line="142" w:lineRule="exact"/>
              <w:rPr>
                <w:sz w:val="20"/>
                <w:szCs w:val="20"/>
                <w:color w:val="auto"/>
              </w:rPr>
            </w:pPr>
            <w:r>
              <w:rPr>
                <w:rFonts w:ascii="Arial" w:cs="Arial" w:eastAsia="Arial" w:hAnsi="Arial"/>
                <w:sz w:val="14"/>
                <w:szCs w:val="14"/>
                <w:b w:val="1"/>
                <w:bCs w:val="1"/>
                <w:color w:val="auto"/>
                <w:w w:val="76"/>
              </w:rPr>
              <w:t>2011</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3"/>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net sales and revenue (reduction) (a)</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(617)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(211)</w:t>
            </w:r>
          </w:p>
        </w:tc>
        <w:tc>
          <w:tcPr>
            <w:tcW w:w="10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Automotive cost of sales and other automotive expenses (b)</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other non-operating income, net (c)</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Automotive interest expense (d)</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Servicing expense (e)</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line="294"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Primarily represents the reduction in Total net sales and revenue for marketing incentives on vehicles which were sold, or anticipated to be sold, to customers or dealers and financed by Ally Financial. This includes the estimated amount of residual support accrued under residual support and risk sharing programs, rate support under the interest rate support programs, operating lease and finance receivable capitalized cost reduction incentives paid to Ally Financial to reduce the capitalized cost in automotive lease contracts and retail automotive contracts, and costs under lease pull-ahead programs. This amount is offset by net sales for vehicles sold to Ally Financial for employee and governmental lease programs and third party resale purposes.</w:t>
      </w:r>
    </w:p>
    <w:p>
      <w:pPr>
        <w:spacing w:after="0" w:line="34" w:lineRule="exact"/>
        <w:rPr>
          <w:rFonts w:ascii="Arial" w:cs="Arial" w:eastAsia="Arial" w:hAnsi="Arial"/>
          <w:sz w:val="16"/>
          <w:szCs w:val="16"/>
          <w:color w:val="auto"/>
        </w:rPr>
      </w:pPr>
    </w:p>
    <w:p>
      <w:pPr>
        <w:ind w:left="460" w:right="180" w:hanging="452"/>
        <w:spacing w:after="0" w:line="26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Primarily represents cost of sales on the sale of vehicles to Ally Financial for employee and governmental lease programs and third party resale purposes. Also includes miscellaneous expenses on services performed by Ally Financial.</w:t>
      </w:r>
    </w:p>
    <w:p>
      <w:pPr>
        <w:spacing w:after="0" w:line="50" w:lineRule="exact"/>
        <w:rPr>
          <w:rFonts w:ascii="Arial" w:cs="Arial" w:eastAsia="Arial" w:hAnsi="Arial"/>
          <w:sz w:val="18"/>
          <w:szCs w:val="18"/>
          <w:color w:val="auto"/>
        </w:rPr>
      </w:pPr>
    </w:p>
    <w:p>
      <w:pPr>
        <w:ind w:left="460" w:right="420" w:hanging="452"/>
        <w:spacing w:after="0" w:line="306"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Represents income on investments in Ally Financial preferred stock (through March 31, 2011), exclusivity fees, royalties and reimbursements by Ally Financial for certain services provided to Ally Financial. Included in this amount is rental income related to Ally Financial’s primary executive and administrative offices located in the Renaissance Center in Detroit, Michigan. The lease agreement expires in November 2016.</w:t>
      </w:r>
    </w:p>
    <w:p>
      <w:pPr>
        <w:spacing w:after="0" w:line="25" w:lineRule="exact"/>
        <w:rPr>
          <w:rFonts w:ascii="Arial" w:cs="Arial" w:eastAsia="Arial" w:hAnsi="Arial"/>
          <w:sz w:val="16"/>
          <w:szCs w:val="16"/>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interest incurred on notes payable and wholesale settlements.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servicing fees paid to Ally Financial on certain automotive retail leases.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25. Segment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w:t>
      </w:r>
    </w:p>
    <w:p>
      <w:pPr>
        <w:spacing w:after="0" w:line="177" w:lineRule="exact"/>
        <w:rPr>
          <w:sz w:val="20"/>
          <w:szCs w:val="20"/>
          <w:color w:val="auto"/>
        </w:rPr>
      </w:pPr>
    </w:p>
    <w:p>
      <w:pPr>
        <w:ind w:firstLine="228"/>
        <w:spacing w:after="0" w:line="289" w:lineRule="auto"/>
        <w:rPr>
          <w:sz w:val="20"/>
          <w:szCs w:val="20"/>
          <w:color w:val="auto"/>
        </w:rPr>
      </w:pPr>
      <w:r>
        <w:rPr>
          <w:rFonts w:ascii="Arial" w:cs="Arial" w:eastAsia="Arial" w:hAnsi="Arial"/>
          <w:sz w:val="16"/>
          <w:szCs w:val="16"/>
          <w:color w:val="auto"/>
        </w:rPr>
        <w:t>We design, build and sell cars, trucks and parts worldwide. We also conduct our automotive finance operations through GM Financial. We analyze the results of our business through our five segments: GMNA, GME, GMIO, GMSA and GM Financial. Each segment has a manager responsible for executing our strategies. Our automotive manufacturing operations are integrated within the segments, benefit from broad-based trade agreements and are subject to regulatory requirements, such as Corporate Average Fuel Economy (CAFE) regulations. While not all vehicles within a segment are individually profitable on a fully loaded cost basis, those vehicles are needed in our product mix in order to attract customers to dealer showrooms and to maintain sales volumes for other, more profitable vehicles. Because of these factors, we do not manage our business on an individual brand or vehicle basis. The chief operating decision maker evaluates the operating results and performance of our automotive segments through Income (loss) before interest and income taxes and evaluates GM Financial through Income (loss) before income taxes.</w:t>
      </w:r>
    </w:p>
    <w:p>
      <w:pPr>
        <w:spacing w:after="0" w:line="118" w:lineRule="exact"/>
        <w:rPr>
          <w:sz w:val="20"/>
          <w:szCs w:val="20"/>
          <w:color w:val="auto"/>
        </w:rPr>
      </w:pPr>
    </w:p>
    <w:p>
      <w:pPr>
        <w:ind w:right="240" w:firstLine="228"/>
        <w:spacing w:after="0" w:line="268" w:lineRule="auto"/>
        <w:rPr>
          <w:sz w:val="20"/>
          <w:szCs w:val="20"/>
          <w:color w:val="auto"/>
        </w:rPr>
      </w:pPr>
      <w:r>
        <w:rPr>
          <w:rFonts w:ascii="Arial" w:cs="Arial" w:eastAsia="Arial" w:hAnsi="Arial"/>
          <w:sz w:val="18"/>
          <w:szCs w:val="18"/>
          <w:color w:val="auto"/>
        </w:rPr>
        <w:t>Substantially all of the cars, trucks and parts produced are marketed through retail dealers in North America, and through distributors and dealers outside of North America, the substantial majority of which are independently owned.</w:t>
      </w:r>
    </w:p>
    <w:p>
      <w:pPr>
        <w:spacing w:after="0" w:line="132" w:lineRule="exact"/>
        <w:rPr>
          <w:sz w:val="20"/>
          <w:szCs w:val="20"/>
          <w:color w:val="auto"/>
        </w:rPr>
      </w:pPr>
    </w:p>
    <w:p>
      <w:pPr>
        <w:ind w:right="460" w:firstLine="228"/>
        <w:spacing w:after="0" w:line="268" w:lineRule="auto"/>
        <w:rPr>
          <w:sz w:val="20"/>
          <w:szCs w:val="20"/>
          <w:color w:val="auto"/>
        </w:rPr>
      </w:pPr>
      <w:r>
        <w:rPr>
          <w:rFonts w:ascii="Arial" w:cs="Arial" w:eastAsia="Arial" w:hAnsi="Arial"/>
          <w:sz w:val="18"/>
          <w:szCs w:val="18"/>
          <w:color w:val="auto"/>
        </w:rPr>
        <w:t>In addition to the products sold to dealers for consumer retail sales, cars and trucks are also sold to fleet customers, including daily rental car companies, commercial fleet customers, leasing companies and governments. Sales to fleet customers are completed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through the network of dealers and in some cases sold directly to fleet customers. Retail and fleet customers can obtain a wide range of aftersale vehicle services and products through the dealer network, such as maintenance, light repairs, collision repairs, vehicle accessories and extended service warranties.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GMNA primarily meets the demands of customers in North America with vehicles developed, manufactured and/or marketed under the following four brands:</w:t>
      </w:r>
    </w:p>
    <w:p>
      <w:pPr>
        <w:spacing w:after="0" w:line="235" w:lineRule="exact"/>
        <w:rPr>
          <w:sz w:val="20"/>
          <w:szCs w:val="20"/>
          <w:color w:val="auto"/>
        </w:rPr>
      </w:pPr>
    </w:p>
    <w:p>
      <w:pPr>
        <w:ind w:left="220"/>
        <w:spacing w:after="0"/>
        <w:tabs>
          <w:tab w:leader="none" w:pos="480" w:val="left"/>
          <w:tab w:leader="none" w:pos="3200" w:val="left"/>
          <w:tab w:leader="none" w:pos="3480" w:val="left"/>
          <w:tab w:leader="none" w:pos="5980" w:val="left"/>
          <w:tab w:leader="none" w:pos="6260" w:val="left"/>
          <w:tab w:leader="none" w:pos="8720" w:val="left"/>
          <w:tab w:leader="none" w:pos="9000" w:val="left"/>
        </w:tabs>
        <w:rPr>
          <w:sz w:val="20"/>
          <w:szCs w:val="20"/>
          <w:color w:val="auto"/>
        </w:rPr>
      </w:pPr>
      <w:r>
        <w:rPr>
          <w:rFonts w:ascii="Arial" w:cs="Arial" w:eastAsia="Arial" w:hAnsi="Arial"/>
          <w:sz w:val="18"/>
          <w:szCs w:val="18"/>
          <w:color w:val="auto"/>
        </w:rPr>
        <w:t>•</w:t>
        <w:tab/>
        <w:t>Buick</w:t>
      </w:r>
      <w:r>
        <w:rPr>
          <w:sz w:val="20"/>
          <w:szCs w:val="20"/>
          <w:color w:val="auto"/>
        </w:rPr>
        <w:tab/>
      </w:r>
      <w:r>
        <w:rPr>
          <w:rFonts w:ascii="Arial" w:cs="Arial" w:eastAsia="Arial" w:hAnsi="Arial"/>
          <w:sz w:val="18"/>
          <w:szCs w:val="18"/>
          <w:color w:val="auto"/>
        </w:rPr>
        <w:t>•</w:t>
        <w:tab/>
        <w:t>Cadillac</w:t>
      </w:r>
      <w:r>
        <w:rPr>
          <w:sz w:val="20"/>
          <w:szCs w:val="20"/>
          <w:color w:val="auto"/>
        </w:rPr>
        <w:tab/>
      </w:r>
      <w:r>
        <w:rPr>
          <w:rFonts w:ascii="Arial" w:cs="Arial" w:eastAsia="Arial" w:hAnsi="Arial"/>
          <w:sz w:val="18"/>
          <w:szCs w:val="18"/>
          <w:color w:val="auto"/>
        </w:rPr>
        <w:t>•</w:t>
        <w:tab/>
        <w:t>Chevrolet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GMC</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demands of customers outside of North America are primarily met with vehicles developed, manufactured and/or marketed under the following brands:</w:t>
      </w:r>
    </w:p>
    <w:p>
      <w:pPr>
        <w:sectPr>
          <w:pgSz w:w="11900" w:h="16838" w:orient="portrait"/>
          <w:cols w:equalWidth="0" w:num="1">
            <w:col w:w="11380"/>
          </w:cols>
          <w:pgMar w:left="240" w:top="459" w:right="279" w:bottom="1440" w:gutter="0" w:footer="0" w:header="0"/>
        </w:sectPr>
      </w:pPr>
    </w:p>
    <w:p>
      <w:pPr>
        <w:spacing w:after="0" w:line="235" w:lineRule="exact"/>
        <w:rPr>
          <w:sz w:val="20"/>
          <w:szCs w:val="20"/>
          <w:color w:val="auto"/>
        </w:rPr>
      </w:pPr>
    </w:p>
    <w:p>
      <w:pPr>
        <w:ind w:left="220"/>
        <w:spacing w:after="0"/>
        <w:tabs>
          <w:tab w:leader="none" w:pos="480" w:val="left"/>
        </w:tabs>
        <w:rPr>
          <w:sz w:val="20"/>
          <w:szCs w:val="20"/>
          <w:color w:val="auto"/>
        </w:rPr>
      </w:pPr>
      <w:r>
        <w:rPr>
          <w:rFonts w:ascii="Arial" w:cs="Arial" w:eastAsia="Arial" w:hAnsi="Arial"/>
          <w:sz w:val="18"/>
          <w:szCs w:val="18"/>
          <w:color w:val="auto"/>
        </w:rPr>
        <w:t>•</w:t>
        <w:tab/>
        <w:t>Buick</w:t>
      </w:r>
    </w:p>
    <w:p>
      <w:pPr>
        <w:spacing w:after="0" w:line="15" w:lineRule="exact"/>
        <w:rPr>
          <w:sz w:val="20"/>
          <w:szCs w:val="20"/>
          <w:color w:val="auto"/>
        </w:rPr>
      </w:pPr>
    </w:p>
    <w:p>
      <w:pPr>
        <w:ind w:left="220"/>
        <w:spacing w:after="0"/>
        <w:tabs>
          <w:tab w:leader="none" w:pos="480" w:val="left"/>
        </w:tabs>
        <w:rPr>
          <w:sz w:val="20"/>
          <w:szCs w:val="20"/>
          <w:color w:val="auto"/>
        </w:rPr>
      </w:pPr>
      <w:r>
        <w:rPr>
          <w:rFonts w:ascii="Arial" w:cs="Arial" w:eastAsia="Arial" w:hAnsi="Arial"/>
          <w:sz w:val="16"/>
          <w:szCs w:val="16"/>
          <w:color w:val="auto"/>
        </w:rPr>
        <w:t>•</w:t>
        <w:tab/>
        <w:t>Cadillac</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color w:val="auto"/>
        </w:rPr>
        <w:t>•</w:t>
        <w:tab/>
        <w:t>Daewoo</w:t>
      </w:r>
    </w:p>
    <w:p>
      <w:pPr>
        <w:spacing w:after="0" w:line="38"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tab/>
        <w:t>GMC</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color w:val="auto"/>
        </w:rPr>
        <w:t>•</w:t>
        <w:tab/>
        <w:t>Holden</w:t>
      </w:r>
    </w:p>
    <w:p>
      <w:pPr>
        <w:spacing w:after="0" w:line="38"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tab/>
        <w:t>Isuzu</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tab/>
        <w:t>Opel</w:t>
      </w:r>
    </w:p>
    <w:p>
      <w:pPr>
        <w:spacing w:after="0" w:line="15"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color w:val="auto"/>
        </w:rPr>
        <w:t>•</w:t>
        <w:tab/>
        <w:t>Vauxhall</w:t>
      </w:r>
    </w:p>
    <w:p>
      <w:pPr>
        <w:spacing w:after="0" w:line="31" w:lineRule="exact"/>
        <w:rPr>
          <w:sz w:val="20"/>
          <w:szCs w:val="20"/>
          <w:color w:val="auto"/>
        </w:rPr>
      </w:pPr>
    </w:p>
    <w:p>
      <w:pPr>
        <w:sectPr>
          <w:pgSz w:w="11900" w:h="16838" w:orient="portrait"/>
          <w:cols w:equalWidth="0" w:num="4">
            <w:col w:w="2500" w:space="720"/>
            <w:col w:w="2060" w:space="720"/>
            <w:col w:w="2020" w:space="720"/>
            <w:col w:w="2640"/>
          </w:cols>
          <w:pgMar w:left="240" w:top="459" w:right="279" w:bottom="1440" w:gutter="0" w:footer="0" w:header="0"/>
          <w:type w:val="continuous"/>
        </w:sectPr>
      </w:pPr>
    </w:p>
    <w:p>
      <w:pPr>
        <w:ind w:left="500" w:hanging="273"/>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Chevrolet</w:t>
      </w:r>
    </w:p>
    <w:p>
      <w:pPr>
        <w:spacing w:after="0" w:line="165" w:lineRule="exact"/>
        <w:rPr>
          <w:sz w:val="20"/>
          <w:szCs w:val="20"/>
          <w:color w:val="auto"/>
        </w:rPr>
      </w:pPr>
    </w:p>
    <w:p>
      <w:pPr>
        <w:ind w:right="420" w:firstLine="228"/>
        <w:spacing w:after="0" w:line="268" w:lineRule="auto"/>
        <w:rPr>
          <w:sz w:val="20"/>
          <w:szCs w:val="20"/>
          <w:color w:val="auto"/>
        </w:rPr>
      </w:pPr>
      <w:r>
        <w:rPr>
          <w:rFonts w:ascii="Arial" w:cs="Arial" w:eastAsia="Arial" w:hAnsi="Arial"/>
          <w:sz w:val="18"/>
          <w:szCs w:val="18"/>
          <w:color w:val="auto"/>
        </w:rPr>
        <w:t>At June 30, 2011 we also had equity ownership stakes directly or indirectly in entities through various regional subsidiaries, including GM Korea, SGM, SGMW, FAW-GM and HKJV. These companies design, manufacture and market vehicles under the following brands:</w:t>
      </w:r>
    </w:p>
    <w:p>
      <w:pPr>
        <w:sectPr>
          <w:pgSz w:w="11900" w:h="16838" w:orient="portrait"/>
          <w:cols w:equalWidth="0" w:num="1">
            <w:col w:w="11380"/>
          </w:cols>
          <w:pgMar w:left="240" w:top="459" w:right="279" w:bottom="1440" w:gutter="0" w:footer="0" w:header="0"/>
          <w:type w:val="continuous"/>
        </w:sectPr>
      </w:pPr>
    </w:p>
    <w:p>
      <w:pPr>
        <w:spacing w:after="0" w:line="172" w:lineRule="exact"/>
        <w:rPr>
          <w:sz w:val="20"/>
          <w:szCs w:val="20"/>
          <w:color w:val="auto"/>
        </w:rPr>
      </w:pPr>
    </w:p>
    <w:p>
      <w:pPr>
        <w:ind w:left="220"/>
        <w:spacing w:after="0"/>
        <w:tabs>
          <w:tab w:leader="none" w:pos="480" w:val="left"/>
        </w:tabs>
        <w:rPr>
          <w:sz w:val="20"/>
          <w:szCs w:val="20"/>
          <w:color w:val="auto"/>
        </w:rPr>
      </w:pPr>
      <w:r>
        <w:rPr>
          <w:rFonts w:ascii="Arial" w:cs="Arial" w:eastAsia="Arial" w:hAnsi="Arial"/>
          <w:sz w:val="16"/>
          <w:szCs w:val="16"/>
          <w:color w:val="auto"/>
        </w:rPr>
        <w:t>•</w:t>
        <w:tab/>
        <w:t>Alpheon</w:t>
      </w:r>
    </w:p>
    <w:p>
      <w:pPr>
        <w:spacing w:after="0" w:line="38" w:lineRule="exact"/>
        <w:rPr>
          <w:sz w:val="20"/>
          <w:szCs w:val="20"/>
          <w:color w:val="auto"/>
        </w:rPr>
      </w:pPr>
    </w:p>
    <w:p>
      <w:pPr>
        <w:ind w:left="220"/>
        <w:spacing w:after="0"/>
        <w:tabs>
          <w:tab w:leader="none" w:pos="480" w:val="left"/>
        </w:tabs>
        <w:rPr>
          <w:sz w:val="20"/>
          <w:szCs w:val="20"/>
          <w:color w:val="auto"/>
        </w:rPr>
      </w:pPr>
      <w:r>
        <w:rPr>
          <w:rFonts w:ascii="Arial" w:cs="Arial" w:eastAsia="Arial" w:hAnsi="Arial"/>
          <w:sz w:val="18"/>
          <w:szCs w:val="18"/>
          <w:color w:val="auto"/>
        </w:rPr>
        <w:t>•</w:t>
        <w:tab/>
        <w:t>Buick</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tab/>
        <w:t>Cadillac</w:t>
      </w:r>
    </w:p>
    <w:p>
      <w:pPr>
        <w:spacing w:after="0" w:line="15"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color w:val="auto"/>
        </w:rPr>
        <w:t>•</w:t>
        <w:tab/>
        <w:t>Chevrolet</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tabs>
          <w:tab w:leader="none" w:pos="260" w:val="left"/>
        </w:tabs>
        <w:rPr>
          <w:sz w:val="20"/>
          <w:szCs w:val="20"/>
          <w:color w:val="auto"/>
        </w:rPr>
      </w:pPr>
      <w:r>
        <w:rPr>
          <w:rFonts w:ascii="Arial" w:cs="Arial" w:eastAsia="Arial" w:hAnsi="Arial"/>
          <w:sz w:val="15"/>
          <w:szCs w:val="15"/>
          <w:color w:val="auto"/>
        </w:rPr>
        <w:t>•</w:t>
        <w:tab/>
        <w:t>Daewoo</w:t>
      </w:r>
    </w:p>
    <w:p>
      <w:pPr>
        <w:spacing w:after="0" w:line="50"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color w:val="auto"/>
        </w:rPr>
        <w:t>•</w:t>
        <w:tab/>
        <w:t>Jiefang</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jc w:val="center"/>
        <w:ind w:right="1840"/>
        <w:spacing w:after="0"/>
        <w:tabs>
          <w:tab w:leader="none" w:pos="180" w:val="left"/>
        </w:tabs>
        <w:rPr>
          <w:sz w:val="20"/>
          <w:szCs w:val="20"/>
          <w:color w:val="auto"/>
        </w:rPr>
      </w:pPr>
      <w:r>
        <w:rPr>
          <w:rFonts w:ascii="Arial" w:cs="Arial" w:eastAsia="Arial" w:hAnsi="Arial"/>
          <w:sz w:val="18"/>
          <w:szCs w:val="18"/>
          <w:color w:val="auto"/>
        </w:rPr>
        <w:t>•</w:t>
        <w:tab/>
        <w:t>Wuling</w:t>
      </w:r>
    </w:p>
    <w:p>
      <w:pPr>
        <w:spacing w:after="0" w:line="387" w:lineRule="exact"/>
        <w:rPr>
          <w:sz w:val="20"/>
          <w:szCs w:val="20"/>
          <w:color w:val="auto"/>
        </w:rPr>
      </w:pPr>
    </w:p>
    <w:p>
      <w:pPr>
        <w:sectPr>
          <w:pgSz w:w="11900" w:h="16838" w:orient="portrait"/>
          <w:cols w:equalWidth="0" w:num="4">
            <w:col w:w="2500" w:space="720"/>
            <w:col w:w="2060" w:space="720"/>
            <w:col w:w="2020" w:space="720"/>
            <w:col w:w="2640"/>
          </w:cols>
          <w:pgMar w:left="240" w:top="459" w:right="279" w:bottom="1440" w:gutter="0" w:footer="0" w:header="0"/>
          <w:type w:val="continuous"/>
        </w:sectPr>
      </w:pPr>
    </w:p>
    <w:p>
      <w:pPr>
        <w:ind w:right="300" w:firstLine="228"/>
        <w:spacing w:after="0" w:line="268" w:lineRule="auto"/>
        <w:rPr>
          <w:sz w:val="20"/>
          <w:szCs w:val="20"/>
          <w:color w:val="auto"/>
        </w:rPr>
      </w:pPr>
      <w:r>
        <w:rPr>
          <w:rFonts w:ascii="Arial" w:cs="Arial" w:eastAsia="Arial" w:hAnsi="Arial"/>
          <w:sz w:val="18"/>
          <w:szCs w:val="18"/>
          <w:color w:val="auto"/>
        </w:rPr>
        <w:t>Nonsegment operations are classified as Corporate. Corporate includes investments in Ally Financial, certain centrally recorded income and costs, such as interest, income taxes and corporate expenditures and certain nonsegment specific revenues and expenses.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459" w:right="27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All intersegment balances and transactions have been eliminated in consolidation.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GM</w:t>
            </w: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88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GMNA</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34"/>
              <w:spacing w:after="0"/>
              <w:rPr>
                <w:sz w:val="20"/>
                <w:szCs w:val="20"/>
                <w:color w:val="auto"/>
              </w:rPr>
            </w:pPr>
            <w:r>
              <w:rPr>
                <w:rFonts w:ascii="Arial" w:cs="Arial" w:eastAsia="Arial" w:hAnsi="Arial"/>
                <w:sz w:val="14"/>
                <w:szCs w:val="14"/>
                <w:b w:val="1"/>
                <w:bCs w:val="1"/>
                <w:color w:val="auto"/>
              </w:rPr>
              <w:t>GME</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GMIO</w:t>
            </w:r>
          </w:p>
        </w:tc>
        <w:tc>
          <w:tcPr>
            <w:tcW w:w="10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GMSA</w:t>
            </w:r>
          </w:p>
        </w:tc>
        <w:tc>
          <w:tcPr>
            <w:tcW w:w="12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Corporate</w:t>
            </w: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780" w:type="dxa"/>
            <w:vAlign w:val="bottom"/>
            <w:gridSpan w:val="3"/>
          </w:tcPr>
          <w:p>
            <w:pPr>
              <w:ind w:left="100"/>
              <w:spacing w:after="0"/>
              <w:rPr>
                <w:sz w:val="20"/>
                <w:szCs w:val="20"/>
                <w:color w:val="auto"/>
              </w:rPr>
            </w:pPr>
            <w:r>
              <w:rPr>
                <w:rFonts w:ascii="Arial" w:cs="Arial" w:eastAsia="Arial" w:hAnsi="Arial"/>
                <w:sz w:val="14"/>
                <w:szCs w:val="14"/>
                <w:b w:val="1"/>
                <w:bCs w:val="1"/>
                <w:color w:val="auto"/>
                <w:w w:val="85"/>
              </w:rPr>
              <w:t>Automotive</w:t>
            </w:r>
          </w:p>
        </w:tc>
        <w:tc>
          <w:tcPr>
            <w:tcW w:w="22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Financial</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28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At and For the Three Months</w:t>
            </w:r>
          </w:p>
        </w:tc>
        <w:tc>
          <w:tcPr>
            <w:tcW w:w="8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Ended June 30, 2011</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Sales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External customers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22,097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4,299</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39,043</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39,043</w:t>
            </w:r>
          </w:p>
        </w:tc>
        <w:tc>
          <w:tcPr>
            <w:tcW w:w="0" w:type="dxa"/>
            <w:vAlign w:val="bottom"/>
          </w:tcPr>
          <w:p>
            <w:pPr>
              <w:spacing w:after="0"/>
              <w:rPr>
                <w:sz w:val="1"/>
                <w:szCs w:val="1"/>
                <w:color w:val="auto"/>
              </w:rPr>
            </w:pPr>
          </w:p>
        </w:tc>
      </w:tr>
      <w:tr>
        <w:trPr>
          <w:trHeight w:val="216"/>
        </w:trPr>
        <w:tc>
          <w:tcPr>
            <w:tcW w:w="2880" w:type="dxa"/>
            <w:vAlign w:val="bottom"/>
          </w:tcPr>
          <w:p>
            <w:pPr>
              <w:ind w:left="220"/>
              <w:spacing w:after="0"/>
              <w:rPr>
                <w:sz w:val="20"/>
                <w:szCs w:val="20"/>
                <w:color w:val="auto"/>
              </w:rPr>
            </w:pPr>
            <w:r>
              <w:rPr>
                <w:rFonts w:ascii="Arial" w:cs="Arial" w:eastAsia="Arial" w:hAnsi="Arial"/>
                <w:sz w:val="18"/>
                <w:szCs w:val="18"/>
                <w:color w:val="auto"/>
              </w:rPr>
              <w:t>GM Financial revenue</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330</w:t>
            </w:r>
          </w:p>
        </w:tc>
        <w:tc>
          <w:tcPr>
            <w:tcW w:w="24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Intersegment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rPr>
                <w:sz w:val="20"/>
                <w:szCs w:val="20"/>
                <w:color w:val="auto"/>
              </w:rPr>
            </w:pPr>
            <w:r>
              <w:rPr>
                <w:rFonts w:ascii="Arial" w:cs="Arial" w:eastAsia="Arial" w:hAnsi="Arial"/>
                <w:sz w:val="18"/>
                <w:szCs w:val="18"/>
                <w:color w:val="auto"/>
              </w:rPr>
              <w:t>Total net sales and revenue</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88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23,128</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7,459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6,616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4,363</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(2,537)</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39,043</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330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39,373</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Income (loss) before automotive</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and income taxes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2,818</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2,962</w:t>
            </w: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rPr>
                <w:sz w:val="20"/>
                <w:szCs w:val="20"/>
                <w:color w:val="auto"/>
              </w:rPr>
            </w:pPr>
            <w:r>
              <w:rPr>
                <w:rFonts w:ascii="Arial" w:cs="Arial" w:eastAsia="Arial" w:hAnsi="Arial"/>
                <w:sz w:val="18"/>
                <w:szCs w:val="18"/>
                <w:color w:val="auto"/>
              </w:rPr>
              <w:t>Corporate interest income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124</w:t>
            </w: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line="20" w:lineRule="exact"/>
              <w:rPr>
                <w:sz w:val="1"/>
                <w:szCs w:val="1"/>
                <w:color w:val="auto"/>
              </w:rPr>
            </w:pPr>
          </w:p>
        </w:tc>
      </w:tr>
      <w:tr>
        <w:trPr>
          <w:trHeight w:val="208"/>
        </w:trPr>
        <w:tc>
          <w:tcPr>
            <w:tcW w:w="2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Automotive interest expense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rPr>
                <w:sz w:val="20"/>
                <w:szCs w:val="20"/>
                <w:color w:val="auto"/>
              </w:rPr>
            </w:pPr>
            <w:r>
              <w:rPr>
                <w:rFonts w:ascii="Arial" w:cs="Arial" w:eastAsia="Arial" w:hAnsi="Arial"/>
                <w:sz w:val="18"/>
                <w:szCs w:val="18"/>
                <w:color w:val="auto"/>
              </w:rPr>
              <w:t>Income (loss) before income taxes</w:t>
            </w: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(169)</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144</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2,931</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5"/>
        </w:trPr>
        <w:tc>
          <w:tcPr>
            <w:tcW w:w="2880" w:type="dxa"/>
            <w:vAlign w:val="bottom"/>
          </w:tcPr>
          <w:p>
            <w:pPr>
              <w:spacing w:after="0"/>
              <w:rPr>
                <w:sz w:val="20"/>
                <w:szCs w:val="20"/>
                <w:color w:val="auto"/>
              </w:rPr>
            </w:pPr>
            <w:r>
              <w:rPr>
                <w:rFonts w:ascii="Arial" w:cs="Arial" w:eastAsia="Arial" w:hAnsi="Arial"/>
                <w:sz w:val="18"/>
                <w:szCs w:val="18"/>
                <w:color w:val="auto"/>
              </w:rPr>
              <w:t>Net income attributable to</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80" w:type="dxa"/>
            <w:vAlign w:val="bottom"/>
          </w:tcPr>
          <w:p>
            <w:pPr>
              <w:ind w:left="220"/>
              <w:spacing w:after="0"/>
              <w:rPr>
                <w:sz w:val="20"/>
                <w:szCs w:val="20"/>
                <w:color w:val="auto"/>
              </w:rPr>
            </w:pPr>
            <w:r>
              <w:rPr>
                <w:rFonts w:ascii="Arial" w:cs="Arial" w:eastAsia="Arial" w:hAnsi="Arial"/>
                <w:sz w:val="18"/>
                <w:szCs w:val="18"/>
                <w:color w:val="auto"/>
              </w:rPr>
              <w:t>stockholders</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2,992</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Equity in net assets of</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nonconsolidated affiliates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7,160</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Total assets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79,466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18,671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21,257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83"/>
              </w:rPr>
              <w:t>13,376</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41,935</w:t>
            </w:r>
          </w:p>
        </w:tc>
        <w:tc>
          <w:tcPr>
            <w:tcW w:w="2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(36,213)</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138,492</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w w:val="83"/>
              </w:rPr>
              <w:t>12,150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(227)</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150,415</w:t>
            </w:r>
          </w:p>
        </w:tc>
        <w:tc>
          <w:tcPr>
            <w:tcW w:w="0" w:type="dxa"/>
            <w:vAlign w:val="bottom"/>
          </w:tcPr>
          <w:p>
            <w:pPr>
              <w:spacing w:after="0"/>
              <w:rPr>
                <w:sz w:val="1"/>
                <w:szCs w:val="1"/>
                <w:color w:val="auto"/>
              </w:rPr>
            </w:pPr>
          </w:p>
        </w:tc>
      </w:tr>
      <w:tr>
        <w:trPr>
          <w:trHeight w:val="208"/>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amortization and</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impairment of long- lived assets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and finite-lived intangible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1,634</w:t>
            </w:r>
          </w:p>
        </w:tc>
        <w:tc>
          <w:tcPr>
            <w:tcW w:w="0" w:type="dxa"/>
            <w:vAlign w:val="bottom"/>
          </w:tcPr>
          <w:p>
            <w:pPr>
              <w:spacing w:after="0"/>
              <w:rPr>
                <w:sz w:val="1"/>
                <w:szCs w:val="1"/>
                <w:color w:val="auto"/>
              </w:rPr>
            </w:pPr>
          </w:p>
        </w:tc>
      </w:tr>
      <w:tr>
        <w:trPr>
          <w:trHeight w:val="208"/>
        </w:trPr>
        <w:tc>
          <w:tcPr>
            <w:tcW w:w="2880" w:type="dxa"/>
            <w:vAlign w:val="bottom"/>
          </w:tcPr>
          <w:p>
            <w:pPr>
              <w:spacing w:after="0"/>
              <w:rPr>
                <w:sz w:val="20"/>
                <w:szCs w:val="20"/>
                <w:color w:val="auto"/>
              </w:rPr>
            </w:pPr>
            <w:r>
              <w:rPr>
                <w:rFonts w:ascii="Arial" w:cs="Arial" w:eastAsia="Arial" w:hAnsi="Arial"/>
                <w:sz w:val="18"/>
                <w:szCs w:val="18"/>
                <w:color w:val="auto"/>
                <w:w w:val="96"/>
              </w:rPr>
              <w:t>Equity income, net of tax and gain on</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80" w:type="dxa"/>
            <w:vAlign w:val="bottom"/>
          </w:tcPr>
          <w:p>
            <w:pPr>
              <w:ind w:left="220"/>
              <w:spacing w:after="0"/>
              <w:rPr>
                <w:sz w:val="20"/>
                <w:szCs w:val="20"/>
                <w:color w:val="auto"/>
              </w:rPr>
            </w:pPr>
            <w:r>
              <w:rPr>
                <w:rFonts w:ascii="Arial" w:cs="Arial" w:eastAsia="Arial" w:hAnsi="Arial"/>
                <w:sz w:val="18"/>
                <w:szCs w:val="18"/>
                <w:color w:val="auto"/>
              </w:rPr>
              <w:t>disposal of investments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379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382</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8"/>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Significant non-cash charges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880" w:type="dxa"/>
            <w:vAlign w:val="bottom"/>
          </w:tcPr>
          <w:p>
            <w:pPr>
              <w:ind w:left="220"/>
              <w:spacing w:after="0"/>
              <w:rPr>
                <w:sz w:val="20"/>
                <w:szCs w:val="20"/>
                <w:color w:val="auto"/>
              </w:rPr>
            </w:pPr>
            <w:r>
              <w:rPr>
                <w:rFonts w:ascii="Arial" w:cs="Arial" w:eastAsia="Arial" w:hAnsi="Arial"/>
                <w:sz w:val="18"/>
                <w:szCs w:val="18"/>
                <w:color w:val="auto"/>
              </w:rPr>
              <w:t>Impairment charges related to</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80" w:type="dxa"/>
            <w:vAlign w:val="bottom"/>
          </w:tcPr>
          <w:p>
            <w:pPr>
              <w:ind w:left="440"/>
              <w:spacing w:after="0"/>
              <w:rPr>
                <w:sz w:val="20"/>
                <w:szCs w:val="20"/>
                <w:color w:val="auto"/>
              </w:rPr>
            </w:pPr>
            <w:r>
              <w:rPr>
                <w:rFonts w:ascii="Arial" w:cs="Arial" w:eastAsia="Arial" w:hAnsi="Arial"/>
                <w:sz w:val="18"/>
                <w:szCs w:val="18"/>
                <w:color w:val="auto"/>
              </w:rPr>
              <w:t>product specific tooling assets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9"/>
        </w:trPr>
        <w:tc>
          <w:tcPr>
            <w:tcW w:w="2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Impairment charges related to</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vehicles leased to rental car</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companies</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rPr>
                <w:sz w:val="20"/>
                <w:szCs w:val="20"/>
                <w:color w:val="auto"/>
              </w:rPr>
            </w:pPr>
            <w:r>
              <w:rPr>
                <w:rFonts w:ascii="Arial" w:cs="Arial" w:eastAsia="Arial" w:hAnsi="Arial"/>
                <w:sz w:val="18"/>
                <w:szCs w:val="18"/>
                <w:color w:val="auto"/>
              </w:rPr>
              <w:t>Total significant non-cash charges</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88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92</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ind w:left="40"/>
              <w:spacing w:after="0"/>
              <w:rPr>
                <w:sz w:val="20"/>
                <w:szCs w:val="20"/>
                <w:color w:val="auto"/>
              </w:rPr>
            </w:pPr>
            <w:r>
              <w:rPr>
                <w:rFonts w:ascii="Arial" w:cs="Arial" w:eastAsia="Arial" w:hAnsi="Arial"/>
                <w:sz w:val="14"/>
                <w:szCs w:val="14"/>
                <w:b w:val="1"/>
                <w:bCs w:val="1"/>
                <w:color w:val="auto"/>
              </w:rPr>
              <w:t>GM</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GMNA</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GME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GMIO</w:t>
            </w: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GMSA</w:t>
            </w:r>
          </w:p>
        </w:tc>
        <w:tc>
          <w:tcPr>
            <w:tcW w:w="22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Corporate</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4"/>
          </w:tcPr>
          <w:p>
            <w:pPr>
              <w:ind w:left="80"/>
              <w:spacing w:after="0"/>
              <w:rPr>
                <w:sz w:val="20"/>
                <w:szCs w:val="20"/>
                <w:color w:val="auto"/>
              </w:rPr>
            </w:pPr>
            <w:r>
              <w:rPr>
                <w:rFonts w:ascii="Arial" w:cs="Arial" w:eastAsia="Arial" w:hAnsi="Arial"/>
                <w:sz w:val="14"/>
                <w:szCs w:val="14"/>
                <w:b w:val="1"/>
                <w:bCs w:val="1"/>
                <w:color w:val="auto"/>
              </w:rPr>
              <w:t>Automotive</w:t>
            </w:r>
          </w:p>
        </w:tc>
        <w:tc>
          <w:tcPr>
            <w:tcW w:w="12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rPr>
              <w:t>Financial</w:t>
            </w:r>
          </w:p>
        </w:tc>
        <w:tc>
          <w:tcPr>
            <w:tcW w:w="12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86"/>
              </w:rPr>
              <w:t>Eliminations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02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For the Six Months Ended</w:t>
            </w:r>
          </w:p>
        </w:tc>
        <w:tc>
          <w:tcPr>
            <w:tcW w:w="1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June 30, 2011</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Sales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External customers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43,380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13,390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9,997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8,145</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74,942</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8"/>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74,942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tcPr>
          <w:p>
            <w:pPr>
              <w:ind w:left="200"/>
              <w:spacing w:after="0"/>
              <w:rPr>
                <w:sz w:val="20"/>
                <w:szCs w:val="20"/>
                <w:color w:val="auto"/>
              </w:rPr>
            </w:pPr>
            <w:r>
              <w:rPr>
                <w:rFonts w:ascii="Arial" w:cs="Arial" w:eastAsia="Arial" w:hAnsi="Arial"/>
                <w:sz w:val="18"/>
                <w:szCs w:val="18"/>
                <w:color w:val="auto"/>
              </w:rPr>
              <w:t>GM Financial revenue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ind w:left="24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Intersegment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2,046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040" w:type="dxa"/>
            <w:vAlign w:val="bottom"/>
            <w:gridSpan w:val="3"/>
            <w:vMerge w:val="restart"/>
          </w:tcPr>
          <w:p>
            <w:pPr>
              <w:spacing w:after="0"/>
              <w:rPr>
                <w:sz w:val="20"/>
                <w:szCs w:val="20"/>
                <w:color w:val="auto"/>
              </w:rPr>
            </w:pPr>
            <w:r>
              <w:rPr>
                <w:rFonts w:ascii="Arial" w:cs="Arial" w:eastAsia="Arial" w:hAnsi="Arial"/>
                <w:sz w:val="18"/>
                <w:szCs w:val="18"/>
                <w:color w:val="auto"/>
              </w:rPr>
              <w:t>Total net sales and revenue</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04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45,238</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14,329</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w w:val="83"/>
              </w:rPr>
              <w:t>12,043</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8,259</w:t>
            </w:r>
          </w:p>
        </w:tc>
        <w:tc>
          <w:tcPr>
            <w:tcW w:w="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(4,957)</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74,942</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625</w:t>
            </w:r>
          </w:p>
        </w:tc>
        <w:tc>
          <w:tcPr>
            <w:tcW w:w="4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20" w:type="dxa"/>
            <w:vAlign w:val="bottom"/>
          </w:tcPr>
          <w:p>
            <w:pPr>
              <w:ind w:left="240"/>
              <w:spacing w:after="0"/>
              <w:rPr>
                <w:sz w:val="20"/>
                <w:szCs w:val="20"/>
                <w:color w:val="auto"/>
              </w:rPr>
            </w:pPr>
            <w:r>
              <w:rPr>
                <w:rFonts w:ascii="Arial" w:cs="Arial" w:eastAsia="Arial" w:hAnsi="Arial"/>
                <w:sz w:val="18"/>
                <w:szCs w:val="18"/>
                <w:color w:val="auto"/>
                <w:w w:val="88"/>
              </w:rPr>
              <w:t>—</w:t>
            </w:r>
          </w:p>
        </w:tc>
        <w:tc>
          <w:tcPr>
            <w:tcW w:w="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75,567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w w:val="93"/>
              </w:rPr>
              <w:t>Income (loss) before automotive interest</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and income taxes (a)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6,213</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274</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8"/>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40" w:type="dxa"/>
            <w:vAlign w:val="bottom"/>
            <w:gridSpan w:val="3"/>
            <w:vMerge w:val="restart"/>
          </w:tcPr>
          <w:p>
            <w:pPr>
              <w:spacing w:after="0"/>
              <w:rPr>
                <w:sz w:val="20"/>
                <w:szCs w:val="20"/>
                <w:color w:val="auto"/>
              </w:rPr>
            </w:pPr>
            <w:r>
              <w:rPr>
                <w:rFonts w:ascii="Arial" w:cs="Arial" w:eastAsia="Arial" w:hAnsi="Arial"/>
                <w:sz w:val="18"/>
                <w:szCs w:val="18"/>
                <w:color w:val="auto"/>
              </w:rPr>
              <w:t>Corporate interest income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251</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0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Automotive interest expense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304</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40" w:type="dxa"/>
            <w:vAlign w:val="bottom"/>
            <w:gridSpan w:val="3"/>
            <w:vMerge w:val="restart"/>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04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128</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6,434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40" w:type="dxa"/>
            <w:vAlign w:val="bottom"/>
            <w:gridSpan w:val="3"/>
          </w:tcPr>
          <w:p>
            <w:pPr>
              <w:spacing w:after="0"/>
              <w:rPr>
                <w:sz w:val="20"/>
                <w:szCs w:val="20"/>
                <w:color w:val="auto"/>
              </w:rPr>
            </w:pPr>
            <w:r>
              <w:rPr>
                <w:rFonts w:ascii="Arial" w:cs="Arial" w:eastAsia="Arial" w:hAnsi="Arial"/>
                <w:sz w:val="18"/>
                <w:szCs w:val="18"/>
                <w:color w:val="auto"/>
                <w:w w:val="97"/>
              </w:rPr>
              <w:t>Net income attributable to stockholders</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6,358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Expenditures for property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2,494</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8"/>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Depreciation, amortization and</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tcPr>
          <w:p>
            <w:pPr>
              <w:ind w:left="200"/>
              <w:spacing w:after="0"/>
              <w:rPr>
                <w:sz w:val="20"/>
                <w:szCs w:val="20"/>
                <w:color w:val="auto"/>
              </w:rPr>
            </w:pPr>
            <w:r>
              <w:rPr>
                <w:rFonts w:ascii="Arial" w:cs="Arial" w:eastAsia="Arial" w:hAnsi="Arial"/>
                <w:sz w:val="18"/>
                <w:szCs w:val="18"/>
                <w:color w:val="auto"/>
                <w:w w:val="97"/>
              </w:rPr>
              <w:t>impairment of long- lived assets and</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20" w:type="dxa"/>
            <w:vAlign w:val="bottom"/>
            <w:gridSpan w:val="2"/>
          </w:tcPr>
          <w:p>
            <w:pPr>
              <w:ind w:left="200"/>
              <w:spacing w:after="0"/>
              <w:rPr>
                <w:sz w:val="20"/>
                <w:szCs w:val="20"/>
                <w:color w:val="auto"/>
              </w:rPr>
            </w:pPr>
            <w:r>
              <w:rPr>
                <w:rFonts w:ascii="Arial" w:cs="Arial" w:eastAsia="Arial" w:hAnsi="Arial"/>
                <w:sz w:val="18"/>
                <w:szCs w:val="18"/>
                <w:color w:val="auto"/>
              </w:rPr>
              <w:t>finite-lived intangible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1,967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714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239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231</w:t>
            </w:r>
          </w:p>
        </w:tc>
        <w:tc>
          <w:tcPr>
            <w:tcW w:w="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3,177</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4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20" w:type="dxa"/>
            <w:vAlign w:val="bottom"/>
          </w:tcPr>
          <w:p>
            <w:pPr>
              <w:ind w:left="240"/>
              <w:spacing w:after="0"/>
              <w:rPr>
                <w:sz w:val="20"/>
                <w:szCs w:val="20"/>
                <w:color w:val="auto"/>
              </w:rPr>
            </w:pPr>
            <w:r>
              <w:rPr>
                <w:rFonts w:ascii="Arial" w:cs="Arial" w:eastAsia="Arial" w:hAnsi="Arial"/>
                <w:sz w:val="18"/>
                <w:szCs w:val="18"/>
                <w:color w:val="auto"/>
                <w:w w:val="88"/>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3,210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income, net of tax and gain on</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disposal of investments (a)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2,526</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8"/>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Significant non-cash charges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Impairment charges related to</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product-specific tooling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8"/>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20" w:type="dxa"/>
            <w:vAlign w:val="bottom"/>
            <w:gridSpan w:val="2"/>
          </w:tcPr>
          <w:p>
            <w:pPr>
              <w:ind w:left="200"/>
              <w:spacing w:after="0"/>
              <w:rPr>
                <w:sz w:val="20"/>
                <w:szCs w:val="20"/>
                <w:color w:val="auto"/>
              </w:rPr>
            </w:pPr>
            <w:r>
              <w:rPr>
                <w:rFonts w:ascii="Arial" w:cs="Arial" w:eastAsia="Arial" w:hAnsi="Arial"/>
                <w:sz w:val="18"/>
                <w:szCs w:val="18"/>
                <w:color w:val="auto"/>
              </w:rPr>
              <w:t>Impairment charges related to</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tcPr>
          <w:p>
            <w:pPr>
              <w:ind w:left="420"/>
              <w:spacing w:after="0"/>
              <w:rPr>
                <w:sz w:val="20"/>
                <w:szCs w:val="20"/>
                <w:color w:val="auto"/>
              </w:rPr>
            </w:pPr>
            <w:r>
              <w:rPr>
                <w:rFonts w:ascii="Arial" w:cs="Arial" w:eastAsia="Arial" w:hAnsi="Arial"/>
                <w:sz w:val="18"/>
                <w:szCs w:val="18"/>
                <w:color w:val="auto"/>
              </w:rPr>
              <w:t>vehicles leased to rental car</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gridSpan w:val="2"/>
          </w:tcPr>
          <w:p>
            <w:pPr>
              <w:ind w:left="420"/>
              <w:spacing w:after="0"/>
              <w:rPr>
                <w:sz w:val="20"/>
                <w:szCs w:val="20"/>
                <w:color w:val="auto"/>
              </w:rPr>
            </w:pPr>
            <w:r>
              <w:rPr>
                <w:rFonts w:ascii="Arial" w:cs="Arial" w:eastAsia="Arial" w:hAnsi="Arial"/>
                <w:sz w:val="18"/>
                <w:szCs w:val="18"/>
                <w:color w:val="auto"/>
              </w:rPr>
              <w:t>companies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ind w:left="24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Impairment charges related to</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20" w:type="dxa"/>
            <w:vAlign w:val="bottom"/>
            <w:gridSpan w:val="2"/>
          </w:tcPr>
          <w:p>
            <w:pPr>
              <w:ind w:left="200"/>
              <w:spacing w:after="0"/>
              <w:rPr>
                <w:sz w:val="20"/>
                <w:szCs w:val="20"/>
                <w:color w:val="auto"/>
              </w:rPr>
            </w:pPr>
            <w:r>
              <w:rPr>
                <w:rFonts w:ascii="Arial" w:cs="Arial" w:eastAsia="Arial" w:hAnsi="Arial"/>
                <w:sz w:val="18"/>
                <w:szCs w:val="18"/>
                <w:color w:val="auto"/>
              </w:rPr>
              <w:t>Impairment charges related to</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gridSpan w:val="2"/>
          </w:tcPr>
          <w:p>
            <w:pPr>
              <w:ind w:left="420"/>
              <w:spacing w:after="0"/>
              <w:rPr>
                <w:sz w:val="20"/>
                <w:szCs w:val="20"/>
                <w:color w:val="auto"/>
              </w:rPr>
            </w:pPr>
            <w:r>
              <w:rPr>
                <w:rFonts w:ascii="Arial" w:cs="Arial" w:eastAsia="Arial" w:hAnsi="Arial"/>
                <w:sz w:val="18"/>
                <w:szCs w:val="18"/>
                <w:color w:val="auto"/>
              </w:rPr>
              <w:t>investment in HKJV</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ind w:left="24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significant non-cash charges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591</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8"/>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340" w:right="160" w:hanging="332"/>
        <w:spacing w:after="0" w:line="268"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a gain of $1.6 billion recorded on the sale of our New Delphi Class A Membership Interests. Refer to Note 8 for additional information on the sale of New Delphi.</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GMNA</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GME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GMIO</w:t>
            </w:r>
          </w:p>
        </w:tc>
        <w:tc>
          <w:tcPr>
            <w:tcW w:w="6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GMSA</w:t>
            </w:r>
          </w:p>
        </w:tc>
        <w:tc>
          <w:tcPr>
            <w:tcW w:w="12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Corporate</w:t>
            </w:r>
          </w:p>
        </w:tc>
        <w:tc>
          <w:tcPr>
            <w:tcW w:w="1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w w:val="96"/>
              </w:rPr>
              <w:t>Automotive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For the Three Months Ended June 30, 2010</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Sales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External customers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19,457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5,783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4,382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$3,520</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33,174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Intersegment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809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949</w:t>
            </w:r>
          </w:p>
        </w:tc>
        <w:tc>
          <w:tcPr>
            <w:tcW w:w="1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(2,107)</w:t>
            </w: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 and revenue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20,266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6,044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5,331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3,608</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(2,107)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33,174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interest and income taxes</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040" w:type="dxa"/>
            <w:vAlign w:val="bottom"/>
            <w:gridSpan w:val="2"/>
            <w:vMerge w:val="continue"/>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1,592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(160)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504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195</w:t>
            </w:r>
          </w:p>
        </w:tc>
        <w:tc>
          <w:tcPr>
            <w:tcW w:w="180" w:type="dxa"/>
            <w:vAlign w:val="bottom"/>
          </w:tcPr>
          <w:p>
            <w:pPr>
              <w:spacing w:after="0"/>
              <w:rPr>
                <w:sz w:val="18"/>
                <w:szCs w:val="18"/>
                <w:color w:val="auto"/>
              </w:rPr>
            </w:pP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Corporate interest income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Automotive interest expense</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Income tax expense (benefit)</w:t>
            </w: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stockholders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w w:val="94"/>
              </w:rPr>
              <w:t>Depreciation, amortization and impairment of long-lived assets and</w:t>
            </w: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04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finite-lived intangible assets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1,082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359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94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126</w:t>
            </w:r>
          </w:p>
        </w:tc>
        <w:tc>
          <w:tcPr>
            <w:tcW w:w="180" w:type="dxa"/>
            <w:vAlign w:val="bottom"/>
          </w:tcPr>
          <w:p>
            <w:pPr>
              <w:spacing w:after="0"/>
              <w:rPr>
                <w:sz w:val="19"/>
                <w:szCs w:val="19"/>
                <w:color w:val="auto"/>
              </w:rPr>
            </w:pP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1,676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w w:val="93"/>
              </w:rPr>
              <w:t>Equity income (loss), net of tax and gain on disposal of investments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GMNA</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GME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GMIO</w:t>
            </w:r>
          </w:p>
        </w:tc>
        <w:tc>
          <w:tcPr>
            <w:tcW w:w="6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GMSA</w:t>
            </w:r>
          </w:p>
        </w:tc>
        <w:tc>
          <w:tcPr>
            <w:tcW w:w="12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Corporate</w:t>
            </w:r>
          </w:p>
        </w:tc>
        <w:tc>
          <w:tcPr>
            <w:tcW w:w="1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w w:val="96"/>
              </w:rPr>
              <w:t>Automotive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For the Six Months Ended June 30, 2010</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Sales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External customers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37,965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3"/>
              </w:rPr>
              <w:t>11,157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8,650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$6,801</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64,650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Intersegment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1,587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1,666</w:t>
            </w:r>
          </w:p>
        </w:tc>
        <w:tc>
          <w:tcPr>
            <w:tcW w:w="1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(3,732)</w:t>
            </w: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 and revenue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39,552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3"/>
              </w:rPr>
              <w:t>11,505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3"/>
              </w:rPr>
              <w:t>10,316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6,932</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(3,732)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64,650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interest and income taxes</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040" w:type="dxa"/>
            <w:vAlign w:val="bottom"/>
            <w:gridSpan w:val="2"/>
            <w:vMerge w:val="continue"/>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2,810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(637)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1,412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460</w:t>
            </w:r>
          </w:p>
        </w:tc>
        <w:tc>
          <w:tcPr>
            <w:tcW w:w="180" w:type="dxa"/>
            <w:vAlign w:val="bottom"/>
          </w:tcPr>
          <w:p>
            <w:pPr>
              <w:spacing w:after="0"/>
              <w:rPr>
                <w:sz w:val="18"/>
                <w:szCs w:val="18"/>
                <w:color w:val="auto"/>
              </w:rPr>
            </w:pP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(140)</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3,857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Corporate interest income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Automotive interest expense</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Income tax expense (benefit)</w:t>
            </w: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stockholders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Expenditures for property</w:t>
            </w: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1,095</w:t>
            </w:r>
          </w:p>
        </w:tc>
        <w:tc>
          <w:tcPr>
            <w:tcW w:w="3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318</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294</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w w:val="99"/>
              </w:rPr>
              <w:t>133</w:t>
            </w:r>
          </w:p>
        </w:tc>
        <w:tc>
          <w:tcPr>
            <w:tcW w:w="180" w:type="dxa"/>
            <w:vAlign w:val="bottom"/>
          </w:tcPr>
          <w:p>
            <w:pPr>
              <w:spacing w:after="0" w:line="20" w:lineRule="exact"/>
              <w:rPr>
                <w:sz w:val="1"/>
                <w:szCs w:val="1"/>
                <w:color w:val="auto"/>
              </w:rPr>
            </w:pPr>
          </w:p>
        </w:tc>
        <w:tc>
          <w:tcPr>
            <w:tcW w:w="320" w:type="dxa"/>
            <w:vAlign w:val="bottom"/>
            <w:gridSpan w:val="2"/>
            <w:vMerge w:val="restart"/>
          </w:tcPr>
          <w:p>
            <w:pPr>
              <w:ind w:left="120"/>
              <w:spacing w:after="0"/>
              <w:rPr>
                <w:sz w:val="20"/>
                <w:szCs w:val="20"/>
                <w:color w:val="auto"/>
              </w:rPr>
            </w:pPr>
            <w:r>
              <w:rPr>
                <w:rFonts w:ascii="Arial" w:cs="Arial" w:eastAsia="Arial" w:hAnsi="Arial"/>
                <w:sz w:val="18"/>
                <w:szCs w:val="18"/>
                <w:color w:val="auto"/>
              </w:rPr>
              <w:t>$</w:t>
            </w:r>
          </w:p>
        </w:tc>
        <w:tc>
          <w:tcPr>
            <w:tcW w:w="6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11</w:t>
            </w:r>
          </w:p>
        </w:tc>
        <w:tc>
          <w:tcPr>
            <w:tcW w:w="300" w:type="dxa"/>
            <w:vAlign w:val="bottom"/>
            <w:gridSpan w:val="2"/>
            <w:vMerge w:val="restart"/>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040" w:type="dxa"/>
            <w:vAlign w:val="bottom"/>
            <w:gridSpan w:val="2"/>
            <w:vMerge w:val="continue"/>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1,851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w w:val="93"/>
              </w:rPr>
              <w:t>Depreciation, amortization and impairment of long-lived assets and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finite-lived intangible assets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261</w:t>
            </w:r>
          </w:p>
        </w:tc>
        <w:tc>
          <w:tcPr>
            <w:tcW w:w="1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w w:val="93"/>
              </w:rPr>
              <w:t>Equity income (loss), net of tax and gain on disposal of investments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730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56</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520" w:firstLine="3534"/>
        <w:spacing w:after="0" w:line="488" w:lineRule="auto"/>
        <w:rPr>
          <w:sz w:val="20"/>
          <w:szCs w:val="20"/>
          <w:color w:val="auto"/>
        </w:rPr>
      </w:pPr>
      <w:r>
        <w:rPr>
          <w:rFonts w:ascii="Arial" w:cs="Arial" w:eastAsia="Arial" w:hAnsi="Arial"/>
          <w:sz w:val="16"/>
          <w:szCs w:val="16"/>
          <w:b w:val="1"/>
          <w:bCs w:val="1"/>
          <w:color w:val="auto"/>
        </w:rPr>
        <w:t>GENERAL MOTORS COMPANY AND SUBSIDIARIES Item 2. Management’s Discussion and Analysis of Financial Condition and Results of Operations</w:t>
      </w:r>
    </w:p>
    <w:p>
      <w:pPr>
        <w:spacing w:after="0" w:line="1" w:lineRule="exact"/>
        <w:rPr>
          <w:sz w:val="20"/>
          <w:szCs w:val="20"/>
          <w:color w:val="auto"/>
        </w:rPr>
      </w:pPr>
    </w:p>
    <w:p>
      <w:pPr>
        <w:ind w:firstLine="228"/>
        <w:spacing w:after="0" w:line="259" w:lineRule="auto"/>
        <w:rPr>
          <w:sz w:val="20"/>
          <w:szCs w:val="20"/>
          <w:color w:val="auto"/>
        </w:rPr>
      </w:pPr>
      <w:r>
        <w:rPr>
          <w:rFonts w:ascii="Arial" w:cs="Arial" w:eastAsia="Arial" w:hAnsi="Arial"/>
          <w:sz w:val="18"/>
          <w:szCs w:val="18"/>
          <w:color w:val="auto"/>
        </w:rPr>
        <w:t>General Motors Company is sometimes referred to in this Quarterly Report on Form 10-Q as “we,” “our,” “us,” “ourselves,” the “Company,” “General Motors” or “GM.” General Motors Corporation is sometimes referred to in this Quarterly Report on Form 10-Q, for the periods on or before July 9, 2009, as “Old GM.”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 and Estimates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This Management’s Discussion and Analysis of Financial Condition and Results of Operations (MD&amp;A) should be read in conjunction with the accompanying condensed consolidated financial statements and the consolidated financial statements and notes thereto included in our Annual Report on Form 10-K for the year ended December 31, 2010 (2010 Form 10-K), as filed with the Securities and Exchange Commission (SEC).</w:t>
      </w:r>
    </w:p>
    <w:p>
      <w:pPr>
        <w:spacing w:after="0" w:line="107" w:lineRule="exact"/>
        <w:rPr>
          <w:sz w:val="20"/>
          <w:szCs w:val="20"/>
          <w:color w:val="auto"/>
        </w:rPr>
      </w:pPr>
    </w:p>
    <w:p>
      <w:pPr>
        <w:ind w:right="160" w:firstLine="228"/>
        <w:spacing w:after="0" w:line="256" w:lineRule="auto"/>
        <w:rPr>
          <w:sz w:val="20"/>
          <w:szCs w:val="20"/>
          <w:color w:val="auto"/>
        </w:rPr>
      </w:pPr>
      <w:r>
        <w:rPr>
          <w:rFonts w:ascii="Arial" w:cs="Arial" w:eastAsia="Arial" w:hAnsi="Arial"/>
          <w:sz w:val="18"/>
          <w:szCs w:val="18"/>
          <w:color w:val="auto"/>
        </w:rPr>
        <w:t>We analyze the results of our business through our five segments: GM North America (GMNA), GM Europe (GME), GM International Operations (GMIO), GM South America (GMSA) and General Motors Financial Company, Inc. (GM Financial). Nonsegment operations are classified as Corporate. Corporate includes investments in Ally Financial, Inc. (Ally Financial), certain centrally recorded income and costs, such as interest, income taxes and corporate expenditures and certain nonsegment specific revenues and expenses.</w:t>
      </w:r>
    </w:p>
    <w:p>
      <w:pPr>
        <w:spacing w:after="0" w:line="143" w:lineRule="exact"/>
        <w:rPr>
          <w:sz w:val="20"/>
          <w:szCs w:val="20"/>
          <w:color w:val="auto"/>
        </w:rPr>
      </w:pPr>
    </w:p>
    <w:p>
      <w:pPr>
        <w:ind w:right="480" w:firstLine="228"/>
        <w:spacing w:after="0" w:line="268" w:lineRule="auto"/>
        <w:rPr>
          <w:sz w:val="20"/>
          <w:szCs w:val="20"/>
          <w:color w:val="auto"/>
        </w:rPr>
      </w:pPr>
      <w:r>
        <w:rPr>
          <w:rFonts w:ascii="Arial" w:cs="Arial" w:eastAsia="Arial" w:hAnsi="Arial"/>
          <w:sz w:val="18"/>
          <w:szCs w:val="18"/>
          <w:color w:val="auto"/>
        </w:rPr>
        <w:t>Consistent with industry practice, market share information includes estimates of industry sales in certain countries where public reporting is not legally required or otherwise available on a consistent basis.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Estimates in the Preparation of the Financial Statements</w:t>
      </w:r>
    </w:p>
    <w:p>
      <w:pPr>
        <w:spacing w:after="0" w:line="171" w:lineRule="exact"/>
        <w:rPr>
          <w:sz w:val="20"/>
          <w:szCs w:val="20"/>
          <w:color w:val="auto"/>
        </w:rPr>
      </w:pPr>
    </w:p>
    <w:p>
      <w:pPr>
        <w:ind w:right="20" w:firstLine="228"/>
        <w:spacing w:after="0" w:line="298" w:lineRule="auto"/>
        <w:rPr>
          <w:sz w:val="20"/>
          <w:szCs w:val="20"/>
          <w:color w:val="auto"/>
        </w:rPr>
      </w:pPr>
      <w:r>
        <w:rPr>
          <w:rFonts w:ascii="Arial" w:cs="Arial" w:eastAsia="Arial" w:hAnsi="Arial"/>
          <w:sz w:val="16"/>
          <w:szCs w:val="16"/>
          <w:color w:val="auto"/>
        </w:rPr>
        <w:t>The condensed consolidated financial statements are prepared in conformity with U.S. GAAP, which requires the use of estimates, judgments and assumptions that affect the amounts of assets and liabilities at the reporting date and the amounts of revenue and expenses in the periods presented. We believe that the accounting estimates employed are appropriate and the resulting balances are reasonable; however, due to the inherent uncertainties in making estimates actual results could differ from the original estimates, requiring adjustments to these balances in future periods.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Prior Period Financial Statements Conformed to Current Period Presentation</w:t>
      </w:r>
    </w:p>
    <w:p>
      <w:pPr>
        <w:spacing w:after="0" w:line="171" w:lineRule="exact"/>
        <w:rPr>
          <w:sz w:val="20"/>
          <w:szCs w:val="20"/>
          <w:color w:val="auto"/>
        </w:rPr>
      </w:pPr>
    </w:p>
    <w:p>
      <w:pPr>
        <w:ind w:right="20" w:firstLine="228"/>
        <w:spacing w:after="0" w:line="294" w:lineRule="auto"/>
        <w:rPr>
          <w:sz w:val="20"/>
          <w:szCs w:val="20"/>
          <w:color w:val="auto"/>
        </w:rPr>
      </w:pPr>
      <w:r>
        <w:rPr>
          <w:rFonts w:ascii="Arial" w:cs="Arial" w:eastAsia="Arial" w:hAnsi="Arial"/>
          <w:sz w:val="16"/>
          <w:szCs w:val="16"/>
          <w:color w:val="auto"/>
        </w:rPr>
        <w:t>In the three and six months ended June 30, 2011 we have recorded foreign currency exchange gains and losses on debt as non-operating items. This is a change from prior period presentations in which foreign currency exchange gains and losses on debt were recorded in Automotive cost of sales. We have reclassified the prior periods to conform to our current presentation. The effects of this reclassification decreased Automotive cost of sales and Interest income and other non-operating income (expense), net by $26 million from July 10, 2009 through December 31, 2009, $150 million and $187 million in the three and six months ended June 30, 2010 and $89 million for the year ended December 31, 2010.</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Company</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Automotive</w:t>
      </w:r>
    </w:p>
    <w:p>
      <w:pPr>
        <w:spacing w:after="0" w:line="171" w:lineRule="exact"/>
        <w:rPr>
          <w:sz w:val="20"/>
          <w:szCs w:val="20"/>
          <w:color w:val="auto"/>
        </w:rPr>
      </w:pPr>
    </w:p>
    <w:p>
      <w:pPr>
        <w:ind w:right="20" w:firstLine="228"/>
        <w:spacing w:after="0" w:line="294" w:lineRule="auto"/>
        <w:rPr>
          <w:sz w:val="20"/>
          <w:szCs w:val="20"/>
          <w:color w:val="auto"/>
        </w:rPr>
      </w:pPr>
      <w:r>
        <w:rPr>
          <w:rFonts w:ascii="Arial" w:cs="Arial" w:eastAsia="Arial" w:hAnsi="Arial"/>
          <w:sz w:val="16"/>
          <w:szCs w:val="16"/>
          <w:color w:val="auto"/>
        </w:rPr>
        <w:t>We are a leading global automotive company. Our vision is to design, build and sell the world’s best vehicles. We seek to distinguish our vehicles through superior design, quality, reliability, telematics (wireless voice and data) and infotainment and safety within their respective segments. Our business is diversified across products and geographic markets. With a global network of independent dealers we meet the local sales and service needs of our retail and fleet customers. In the six months ended June 30, 2011 72.2% of our vehicle sales volume was generated outside the United States, including 42.4% from emerging markets, such as Brazil, Russia, India and China (collectively BRIC), which have experienced the industry’s highest volume growth.</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3540" w:firstLine="3306"/>
        <w:spacing w:after="0" w:line="435" w:lineRule="auto"/>
        <w:rPr>
          <w:sz w:val="20"/>
          <w:szCs w:val="20"/>
          <w:color w:val="auto"/>
        </w:rPr>
      </w:pPr>
      <w:r>
        <w:rPr>
          <w:rFonts w:ascii="Arial" w:cs="Arial" w:eastAsia="Arial" w:hAnsi="Arial"/>
          <w:sz w:val="16"/>
          <w:szCs w:val="16"/>
          <w:b w:val="1"/>
          <w:bCs w:val="1"/>
          <w:color w:val="auto"/>
        </w:rPr>
        <w:t xml:space="preserve">GENERAL MOTORS COMPANY AND SUBSIDIARIES </w:t>
      </w:r>
      <w:r>
        <w:rPr>
          <w:rFonts w:ascii="Arial" w:cs="Arial" w:eastAsia="Arial" w:hAnsi="Arial"/>
          <w:sz w:val="16"/>
          <w:szCs w:val="16"/>
          <w:color w:val="auto"/>
        </w:rPr>
        <w:t>Our automotive business is organized into four geographically-based segments:</w:t>
      </w:r>
    </w:p>
    <w:p>
      <w:pPr>
        <w:spacing w:after="0" w:line="1" w:lineRule="exact"/>
        <w:rPr>
          <w:sz w:val="20"/>
          <w:szCs w:val="20"/>
          <w:color w:val="auto"/>
        </w:rPr>
      </w:pPr>
    </w:p>
    <w:p>
      <w:pPr>
        <w:ind w:left="660" w:right="20" w:hanging="436"/>
        <w:spacing w:after="0" w:line="259"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GMNA, with sales, manufacturing and distribution operations in the U.S., Canada and Mexico and distribution operations in Central America and the Caribbean, represented 32.4% of our vehicle sales volume in the six months ended June 30, 2011. In the six months ended June 30, 2011 GMNA had the largest market share of any competitor in this market at 18.7%.</w:t>
      </w:r>
    </w:p>
    <w:p>
      <w:pPr>
        <w:spacing w:after="0" w:line="59" w:lineRule="exact"/>
        <w:rPr>
          <w:rFonts w:ascii="Arial" w:cs="Arial" w:eastAsia="Arial" w:hAnsi="Arial"/>
          <w:sz w:val="18"/>
          <w:szCs w:val="18"/>
          <w:color w:val="auto"/>
        </w:rPr>
      </w:pPr>
    </w:p>
    <w:p>
      <w:pPr>
        <w:ind w:left="660" w:right="80" w:hanging="436"/>
        <w:spacing w:after="0" w:line="255"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GME has sales, manufacturing and distribution operations across Western and Central Europe. GME’s vehicle sales volume, which in addition to Western and Central Europe, includes Eastern Europe, which includes, among others, Russia and the other members of the Commonwealth of Independent States represented 20.1% of our vehicle sales volume in the six months ended June 30, 2011. In the six months ended June 30, 2011 GME had the number four market share in this market at 8.8%. GMIO distributes Chevrolet brand vehicles which, when sold in Europe, are included in GME vehicle sales volume and market share data.</w:t>
      </w:r>
    </w:p>
    <w:p>
      <w:pPr>
        <w:spacing w:after="0" w:line="61" w:lineRule="exact"/>
        <w:rPr>
          <w:rFonts w:ascii="Arial" w:cs="Arial" w:eastAsia="Arial" w:hAnsi="Arial"/>
          <w:sz w:val="18"/>
          <w:szCs w:val="18"/>
          <w:color w:val="auto"/>
        </w:rPr>
      </w:pPr>
    </w:p>
    <w:p>
      <w:pPr>
        <w:ind w:left="660" w:right="80" w:hanging="436"/>
        <w:spacing w:after="0" w:line="291"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GMIO has sales, manufacturing and distribution operations in Asia-Pacific, Eastern Europe, which includes, among others, Russia, and the other members of the Commonwealth of Independent States, Africa and the Middle East. GMIO’s vehicle sales volume, which includes Asia-Pacific, Africa and the Middle East is our largest segment by vehicle sales volume and represented 36.0% of our vehicle sales volume including sales through our joint ventures in the six months ended June 30, 2011. In the six months ended June 30, 2011 GMIO had the largest market share for this market at 9.4% and the number one market share in China. In the six months ended June 30, 2011 GMIO derived 77.9% of its vehicle sales volume from China. GMIO records the financial results of Chevrolet brand vehicles that it distributes and sells in Europe.</w:t>
      </w:r>
    </w:p>
    <w:p>
      <w:pPr>
        <w:spacing w:after="0" w:line="39" w:lineRule="exact"/>
        <w:rPr>
          <w:rFonts w:ascii="Arial" w:cs="Arial" w:eastAsia="Arial" w:hAnsi="Arial"/>
          <w:sz w:val="16"/>
          <w:szCs w:val="16"/>
          <w:color w:val="auto"/>
        </w:rPr>
      </w:pPr>
    </w:p>
    <w:p>
      <w:pPr>
        <w:ind w:left="660" w:right="120" w:hanging="436"/>
        <w:spacing w:after="0" w:line="256"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GMSA, with sales, manufacturing and distribution operations in Brazil, Argentina, Colombia, Ecuador and Venezuela as well as sales activities in Bolivia, Chile, Paraguay, Peru and Uruguay represented 11.5% of our vehicle sales volume in the six months ended June 30, 2011. In the six months ended June 30, 2011 GMSA had the largest market share for this market at 19.0% and the number three market share in Brazil. In the six months ended June 30, 2011 GMSA derived 58.2% of its vehicle sales volume from Brazil.</w:t>
      </w:r>
    </w:p>
    <w:p>
      <w:pPr>
        <w:spacing w:after="0" w:line="143" w:lineRule="exact"/>
        <w:rPr>
          <w:sz w:val="20"/>
          <w:szCs w:val="20"/>
          <w:color w:val="auto"/>
        </w:rPr>
      </w:pPr>
    </w:p>
    <w:p>
      <w:pPr>
        <w:ind w:right="200" w:firstLine="228"/>
        <w:spacing w:after="0" w:line="259" w:lineRule="auto"/>
        <w:rPr>
          <w:sz w:val="20"/>
          <w:szCs w:val="20"/>
          <w:color w:val="auto"/>
        </w:rPr>
      </w:pPr>
      <w:r>
        <w:rPr>
          <w:rFonts w:ascii="Arial" w:cs="Arial" w:eastAsia="Arial" w:hAnsi="Arial"/>
          <w:sz w:val="18"/>
          <w:szCs w:val="18"/>
          <w:color w:val="auto"/>
        </w:rPr>
        <w:t>We offer a global vehicle portfolio of cars, crossovers and trucks. We are committed to leadership in vehicle design, quality, reliability, telematics and infotainment and safety, as well as to developing key energy efficiency, energy diversity and advanced propulsion technologies, including electric vehicles with range extending capabilities such as the Chevrolet Volt.</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Automotive Financing - GM Financial</w:t>
      </w:r>
    </w:p>
    <w:p>
      <w:pPr>
        <w:spacing w:after="0" w:line="171" w:lineRule="exact"/>
        <w:rPr>
          <w:sz w:val="20"/>
          <w:szCs w:val="20"/>
          <w:color w:val="auto"/>
        </w:rPr>
      </w:pPr>
    </w:p>
    <w:p>
      <w:pPr>
        <w:ind w:right="40" w:firstLine="228"/>
        <w:spacing w:after="0" w:line="290" w:lineRule="auto"/>
        <w:rPr>
          <w:sz w:val="20"/>
          <w:szCs w:val="20"/>
          <w:color w:val="auto"/>
        </w:rPr>
      </w:pPr>
      <w:r>
        <w:rPr>
          <w:rFonts w:ascii="Arial" w:cs="Arial" w:eastAsia="Arial" w:hAnsi="Arial"/>
          <w:sz w:val="16"/>
          <w:szCs w:val="16"/>
          <w:color w:val="auto"/>
        </w:rPr>
        <w:t>GM Financial specializes in purchasing retail automobile installment sales contracts originated by franchised and select independent dealers in connection with the sale of used and new automobiles. GM Financial also offers lease products through GM franchised dealerships that target customers with prime and sub-prime credit bureau scores. GM Financial generates revenue and cash flows primarily through the purchase, retention, subsequent securitization and servicing of finance receivables. To fund the acquisition of receivables prior to securitization, GM Financial uses available cash and borrowings under its credit facilities. GM Financial earns finance charge income on the finance receivables and pays interest expense on borrowings under its credit facilities. GM Financial periodically transfers receivables to securitization trusts that issue asset-backed securities to investors. The securitization trusts are special purpose entities (SPEs) that are also variable interest entities that meet the requirements to be consolidated in the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Management Initiatives</w:t>
      </w:r>
    </w:p>
    <w:p>
      <w:pPr>
        <w:spacing w:after="0" w:line="177"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The execution of certain management initiatives is critical to continue the improvement in our results of operations and financial condition. These management initiatives are subsequently discussed.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Focus on Chinese Market</w:t>
      </w:r>
    </w:p>
    <w:p>
      <w:pPr>
        <w:spacing w:after="0" w:line="171" w:lineRule="exact"/>
        <w:rPr>
          <w:sz w:val="20"/>
          <w:szCs w:val="20"/>
          <w:color w:val="auto"/>
        </w:rPr>
      </w:pPr>
    </w:p>
    <w:p>
      <w:pPr>
        <w:ind w:right="40" w:firstLine="228"/>
        <w:spacing w:after="0" w:line="256" w:lineRule="auto"/>
        <w:rPr>
          <w:sz w:val="20"/>
          <w:szCs w:val="20"/>
          <w:color w:val="auto"/>
        </w:rPr>
      </w:pPr>
      <w:r>
        <w:rPr>
          <w:rFonts w:ascii="Arial" w:cs="Arial" w:eastAsia="Arial" w:hAnsi="Arial"/>
          <w:sz w:val="18"/>
          <w:szCs w:val="18"/>
          <w:color w:val="auto"/>
        </w:rPr>
        <w:t>We view the Chinese market, the fastest growing global market by volume of vehicles sold, as important to our global growth strategy and are employing a multi-brand strategy, led by our Buick and Chevrolet divisions. In the coming years, we plan to increasingly leverage our global architectures to increase the number of nameplates under the Buick, Chevrolet and Cadillac brands in China and continue to grow our business under the Jiefang, Wuling and, commencing in July 2011, Baojun brands.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our direct ownership interests in our Chinese joint ventures, collectively referred to as China JVs: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40" w:type="dxa"/>
            <w:vAlign w:val="bottom"/>
          </w:tcPr>
          <w:p>
            <w:pPr>
              <w:spacing w:after="0"/>
              <w:rPr>
                <w:sz w:val="14"/>
                <w:szCs w:val="14"/>
                <w:color w:val="auto"/>
              </w:rPr>
            </w:pPr>
          </w:p>
        </w:tc>
        <w:tc>
          <w:tcPr>
            <w:tcW w:w="2380" w:type="dxa"/>
            <w:vAlign w:val="bottom"/>
            <w:gridSpan w:val="4"/>
          </w:tcPr>
          <w:p>
            <w:pPr>
              <w:ind w:left="580"/>
              <w:spacing w:after="0"/>
              <w:rPr>
                <w:sz w:val="20"/>
                <w:szCs w:val="20"/>
                <w:color w:val="auto"/>
              </w:rPr>
            </w:pPr>
            <w:r>
              <w:rPr>
                <w:rFonts w:ascii="Arial" w:cs="Arial" w:eastAsia="Arial" w:hAnsi="Arial"/>
                <w:sz w:val="14"/>
                <w:szCs w:val="14"/>
                <w:b w:val="1"/>
                <w:bCs w:val="1"/>
                <w:color w:val="auto"/>
              </w:rPr>
              <w:t>Ownership Interest</w:t>
            </w:r>
          </w:p>
        </w:tc>
      </w:tr>
      <w:tr>
        <w:trPr>
          <w:trHeight w:val="142"/>
        </w:trPr>
        <w:tc>
          <w:tcPr>
            <w:tcW w:w="9040" w:type="dxa"/>
            <w:vAlign w:val="bottom"/>
          </w:tcPr>
          <w:p>
            <w:pPr>
              <w:spacing w:after="0"/>
              <w:rPr>
                <w:sz w:val="12"/>
                <w:szCs w:val="12"/>
                <w:color w:val="auto"/>
              </w:rPr>
            </w:pPr>
          </w:p>
        </w:tc>
        <w:tc>
          <w:tcPr>
            <w:tcW w:w="1480" w:type="dxa"/>
            <w:vAlign w:val="bottom"/>
            <w:tcBorders>
              <w:top w:val="single" w:sz="8" w:color="auto"/>
            </w:tcBorders>
            <w:gridSpan w:val="2"/>
          </w:tcPr>
          <w:p>
            <w:pPr>
              <w:jc w:val="right"/>
              <w:ind w:right="700"/>
              <w:spacing w:after="0" w:line="142" w:lineRule="exact"/>
              <w:rPr>
                <w:sz w:val="20"/>
                <w:szCs w:val="20"/>
                <w:color w:val="auto"/>
              </w:rPr>
            </w:pPr>
            <w:r>
              <w:rPr>
                <w:rFonts w:ascii="Arial" w:cs="Arial" w:eastAsia="Arial" w:hAnsi="Arial"/>
                <w:sz w:val="14"/>
                <w:szCs w:val="14"/>
                <w:b w:val="1"/>
                <w:bCs w:val="1"/>
                <w:color w:val="auto"/>
                <w:w w:val="83"/>
              </w:rPr>
              <w:t>June 30, 2011</w:t>
            </w: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June 30, 2010</w:t>
            </w:r>
          </w:p>
        </w:tc>
        <w:tc>
          <w:tcPr>
            <w:tcW w:w="100" w:type="dxa"/>
            <w:vAlign w:val="bottom"/>
          </w:tcPr>
          <w:p>
            <w:pPr>
              <w:spacing w:after="0"/>
              <w:rPr>
                <w:sz w:val="12"/>
                <w:szCs w:val="12"/>
                <w:color w:val="auto"/>
              </w:rPr>
            </w:pPr>
          </w:p>
        </w:tc>
      </w:tr>
      <w:tr>
        <w:trPr>
          <w:trHeight w:val="210"/>
        </w:trPr>
        <w:tc>
          <w:tcPr>
            <w:tcW w:w="9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Shanghai General Motors Co. Ltd. (SGM) (a)</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7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Shanghai GM (Shenyang) Norsom Motor Co., Ltd. (SGM Norsom)</w:t>
            </w: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25%</w:t>
            </w: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Shanghai GM Dong Yue Motors Co., Ltd. (SGM DY)</w:t>
            </w: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Shanghai GM Dong Yue Powertrain (SGM DYPT)</w:t>
            </w: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25%</w:t>
            </w: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SAIC-GM-Wuling Automobile Co., Ltd. (SGMW)</w:t>
            </w: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FAW-GM Light Duty Commercial Vehicle, Ltd. (FAW-GM)</w:t>
            </w: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50%</w:t>
            </w:r>
          </w:p>
        </w:tc>
        <w:tc>
          <w:tcPr>
            <w:tcW w:w="8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Pan Asia Technical Automotive Center Co., Ltd. (PATAC)</w:t>
            </w: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Shanghai OnStar Telematics Co., Ltd. (Shanghai OnStar)</w:t>
            </w: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40%</w:t>
            </w:r>
          </w:p>
        </w:tc>
        <w:tc>
          <w:tcPr>
            <w:tcW w:w="8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Shanghai Chengxin Used Car Operation and Management Co., Ltd. (Shanghai Chengxin Used Car)</w:t>
            </w: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240" w:right="1740" w:hanging="232"/>
        <w:spacing w:after="0" w:line="516" w:lineRule="auto"/>
        <w:tabs>
          <w:tab w:leader="none" w:pos="458" w:val="left"/>
        </w:tabs>
        <w:numPr>
          <w:ilvl w:val="0"/>
          <w:numId w:val="40"/>
        </w:numPr>
        <w:rPr>
          <w:rFonts w:ascii="Arial" w:cs="Arial" w:eastAsia="Arial" w:hAnsi="Arial"/>
          <w:sz w:val="16"/>
          <w:szCs w:val="16"/>
          <w:color w:val="auto"/>
        </w:rPr>
      </w:pPr>
      <w:r>
        <w:rPr>
          <w:rFonts w:ascii="Arial" w:cs="Arial" w:eastAsia="Arial" w:hAnsi="Arial"/>
          <w:sz w:val="16"/>
          <w:szCs w:val="16"/>
          <w:color w:val="auto"/>
        </w:rPr>
        <w:t>Ownership interest in SGM was 49% in the period February 1, 2010 through June 30, 2010 and 50% in the month of January 2010. The following table summarizes certain key operational and financial data for the China JVs (dollars in millions):</w:t>
      </w:r>
    </w:p>
    <w:tbl>
      <w:tblPr>
        <w:tblLayout w:type="fixed"/>
        <w:tblInd w:w="0" w:type="dxa"/>
        <w:tblCellMar>
          <w:top w:w="0" w:type="dxa"/>
          <w:left w:w="0" w:type="dxa"/>
          <w:bottom w:w="0" w:type="dxa"/>
          <w:right w:w="0" w:type="dxa"/>
        </w:tblCellMar>
      </w:tblPr>
      <w:tr>
        <w:trPr>
          <w:trHeight w:val="150"/>
        </w:trPr>
        <w:tc>
          <w:tcPr>
            <w:tcW w:w="6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40" w:type="dxa"/>
            <w:vAlign w:val="bottom"/>
            <w:gridSpan w:val="5"/>
          </w:tcPr>
          <w:p>
            <w:pPr>
              <w:jc w:val="right"/>
              <w:ind w:right="960"/>
              <w:spacing w:after="0" w:line="150" w:lineRule="exact"/>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3"/>
                <w:szCs w:val="13"/>
                <w:color w:val="auto"/>
              </w:rPr>
            </w:pPr>
          </w:p>
        </w:tc>
        <w:tc>
          <w:tcPr>
            <w:tcW w:w="2200" w:type="dxa"/>
            <w:vAlign w:val="bottom"/>
            <w:gridSpan w:val="6"/>
          </w:tcPr>
          <w:p>
            <w:pPr>
              <w:ind w:left="480"/>
              <w:spacing w:after="0" w:line="150" w:lineRule="exact"/>
              <w:rPr>
                <w:sz w:val="20"/>
                <w:szCs w:val="20"/>
                <w:color w:val="auto"/>
              </w:rPr>
            </w:pPr>
            <w:r>
              <w:rPr>
                <w:rFonts w:ascii="Arial" w:cs="Arial" w:eastAsia="Arial" w:hAnsi="Arial"/>
                <w:sz w:val="14"/>
                <w:szCs w:val="14"/>
                <w:b w:val="1"/>
                <w:bCs w:val="1"/>
                <w:color w:val="auto"/>
              </w:rPr>
              <w:t>Six Months Ended</w:t>
            </w:r>
          </w:p>
        </w:tc>
      </w:tr>
      <w:tr>
        <w:trPr>
          <w:trHeight w:val="161"/>
        </w:trPr>
        <w:tc>
          <w:tcPr>
            <w:tcW w:w="6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92"/>
              </w:rPr>
              <w:t>June 30,</w:t>
            </w:r>
          </w:p>
        </w:tc>
        <w:tc>
          <w:tcPr>
            <w:tcW w:w="58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89"/>
              </w:rPr>
              <w:t>June 30,</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6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2011</w:t>
            </w:r>
          </w:p>
        </w:tc>
        <w:tc>
          <w:tcPr>
            <w:tcW w:w="5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2010</w:t>
            </w:r>
          </w:p>
        </w:tc>
        <w:tc>
          <w:tcPr>
            <w:tcW w:w="6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wholesale vehicles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586,306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584,577</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1,271,889</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1,207,483</w:t>
            </w:r>
          </w:p>
        </w:tc>
        <w:tc>
          <w:tcPr>
            <w:tcW w:w="10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Market share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13.2%</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13.1%</w:t>
            </w: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13.4%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 and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6,300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15,146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12,553</w:t>
            </w:r>
          </w:p>
        </w:tc>
        <w:tc>
          <w:tcPr>
            <w:tcW w:w="100" w:type="dxa"/>
            <w:vAlign w:val="bottom"/>
            <w:shd w:val="clear" w:color="auto" w:fill="CCEEFF"/>
          </w:tcPr>
          <w:p>
            <w:pPr>
              <w:spacing w:after="0"/>
              <w:rPr>
                <w:sz w:val="18"/>
                <w:szCs w:val="18"/>
                <w:color w:val="auto"/>
              </w:rPr>
            </w:pPr>
          </w:p>
        </w:tc>
      </w:tr>
      <w:tr>
        <w:trPr>
          <w:trHeight w:val="222"/>
        </w:trPr>
        <w:tc>
          <w:tcPr>
            <w:tcW w:w="660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810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796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1,754</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1,556</w:t>
            </w:r>
          </w:p>
        </w:tc>
        <w:tc>
          <w:tcPr>
            <w:tcW w:w="100" w:type="dxa"/>
            <w:vAlign w:val="bottom"/>
          </w:tcPr>
          <w:p>
            <w:pPr>
              <w:spacing w:after="0"/>
              <w:rPr>
                <w:sz w:val="19"/>
                <w:szCs w:val="19"/>
                <w:color w:val="auto"/>
              </w:rPr>
            </w:pPr>
          </w:p>
        </w:tc>
      </w:tr>
    </w:tbl>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June 30, 2011</w:t>
            </w:r>
          </w:p>
        </w:tc>
        <w:tc>
          <w:tcPr>
            <w:tcW w:w="4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1"/>
              </w:rPr>
              <w:t>December 31, 2010</w:t>
            </w:r>
          </w:p>
        </w:tc>
      </w:tr>
      <w:tr>
        <w:trPr>
          <w:trHeight w:val="210"/>
        </w:trPr>
        <w:tc>
          <w:tcPr>
            <w:tcW w:w="52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34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4,173</w:t>
            </w:r>
          </w:p>
        </w:tc>
        <w:tc>
          <w:tcPr>
            <w:tcW w:w="4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8"/>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5240" w:type="dxa"/>
            <w:vAlign w:val="bottom"/>
          </w:tcPr>
          <w:p>
            <w:pPr>
              <w:spacing w:after="0"/>
              <w:rPr>
                <w:sz w:val="20"/>
                <w:szCs w:val="20"/>
                <w:color w:val="auto"/>
              </w:rPr>
            </w:pPr>
            <w:r>
              <w:rPr>
                <w:rFonts w:ascii="Arial" w:cs="Arial" w:eastAsia="Arial" w:hAnsi="Arial"/>
                <w:sz w:val="18"/>
                <w:szCs w:val="18"/>
                <w:color w:val="auto"/>
              </w:rPr>
              <w:t>Debt</w:t>
            </w:r>
          </w:p>
        </w:tc>
        <w:tc>
          <w:tcPr>
            <w:tcW w:w="3640" w:type="dxa"/>
            <w:vAlign w:val="bottom"/>
            <w:gridSpan w:val="2"/>
          </w:tcPr>
          <w:p>
            <w:pPr>
              <w:ind w:left="3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61</w:t>
            </w:r>
          </w:p>
        </w:tc>
        <w:tc>
          <w:tcPr>
            <w:tcW w:w="80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440" w:firstLine="228"/>
        <w:spacing w:after="0" w:line="306" w:lineRule="auto"/>
        <w:rPr>
          <w:sz w:val="20"/>
          <w:szCs w:val="20"/>
          <w:color w:val="auto"/>
        </w:rPr>
      </w:pPr>
      <w:r>
        <w:rPr>
          <w:rFonts w:ascii="Arial" w:cs="Arial" w:eastAsia="Arial" w:hAnsi="Arial"/>
          <w:sz w:val="16"/>
          <w:szCs w:val="16"/>
          <w:color w:val="auto"/>
        </w:rPr>
        <w:t>In November 2010 we and Shanghai Automotive Industry Corporation (SAIC) entered into a non-binding Memorandum of Understanding (MOU) that outlined several strategic cooperation initiatives between us and SAIC. The MOU expired on July 31, 2011. We and SAIC have executed certain framework agreements under the MOU and both parties continue to work together to develop these strategic cooperation initiatives.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Automotive Financing Strategy</w:t>
      </w:r>
    </w:p>
    <w:p>
      <w:pPr>
        <w:spacing w:after="0" w:line="171" w:lineRule="exact"/>
        <w:rPr>
          <w:sz w:val="20"/>
          <w:szCs w:val="20"/>
          <w:color w:val="auto"/>
        </w:rPr>
      </w:pPr>
    </w:p>
    <w:p>
      <w:pPr>
        <w:ind w:right="340" w:firstLine="228"/>
        <w:spacing w:after="0" w:line="268" w:lineRule="auto"/>
        <w:rPr>
          <w:sz w:val="20"/>
          <w:szCs w:val="20"/>
          <w:color w:val="auto"/>
        </w:rPr>
      </w:pPr>
      <w:r>
        <w:rPr>
          <w:rFonts w:ascii="Arial" w:cs="Arial" w:eastAsia="Arial" w:hAnsi="Arial"/>
          <w:sz w:val="18"/>
          <w:szCs w:val="18"/>
          <w:color w:val="auto"/>
        </w:rPr>
        <w:t>Our automotive finance strategy centers around ensuring that our dealers and customers have consistently available, transparent and competitive financing options throughout the business and credit cycles.</w:t>
      </w:r>
    </w:p>
    <w:p>
      <w:pPr>
        <w:spacing w:after="0" w:line="132" w:lineRule="exact"/>
        <w:rPr>
          <w:sz w:val="20"/>
          <w:szCs w:val="20"/>
          <w:color w:val="auto"/>
        </w:rPr>
      </w:pPr>
    </w:p>
    <w:p>
      <w:pPr>
        <w:ind w:right="340" w:firstLine="228"/>
        <w:spacing w:after="0" w:line="306" w:lineRule="auto"/>
        <w:rPr>
          <w:sz w:val="20"/>
          <w:szCs w:val="20"/>
          <w:color w:val="auto"/>
        </w:rPr>
      </w:pPr>
      <w:r>
        <w:rPr>
          <w:rFonts w:ascii="Arial" w:cs="Arial" w:eastAsia="Arial" w:hAnsi="Arial"/>
          <w:sz w:val="16"/>
          <w:szCs w:val="16"/>
          <w:color w:val="auto"/>
        </w:rPr>
        <w:t>Historically Ally Financial has provided a majority of the financing for our dealers and a significant portion of the financing for our customers in the U.S., Canada, and other major international markets where we operate. Ally Financial historically has been our exclusive financing partner for incentivized retail financing programs in our major markets. Ally Financial continues to provide the majority of the financing needs of our dealers and customers.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120" w:firstLine="228"/>
        <w:spacing w:after="0" w:line="298" w:lineRule="auto"/>
        <w:rPr>
          <w:sz w:val="20"/>
          <w:szCs w:val="20"/>
          <w:color w:val="auto"/>
        </w:rPr>
      </w:pPr>
      <w:r>
        <w:rPr>
          <w:rFonts w:ascii="Arial" w:cs="Arial" w:eastAsia="Arial" w:hAnsi="Arial"/>
          <w:sz w:val="16"/>
          <w:szCs w:val="16"/>
          <w:color w:val="auto"/>
        </w:rPr>
        <w:t>The market disruption of 2008 and 2009 highlighted the need to ensure certainty of availability of credit throughout economic cycles in specific segments of the automotive financing market. In the U.S. and Canada we identified leasing and sub-prime lending as underserved areas that could benefit from increased financing sources and competition. In 2009 we partnered with U.S. Bank to offer incentivized leasing programs and with GM Financial (formerly AmeriCredit Corp.) to offer incentivized sub-prime retail financing in the U.S. We also partnered with TD Bank to offer incentivized retail financing programs in Canada.</w:t>
      </w:r>
    </w:p>
    <w:p>
      <w:pPr>
        <w:spacing w:after="0" w:line="113" w:lineRule="exact"/>
        <w:rPr>
          <w:sz w:val="20"/>
          <w:szCs w:val="20"/>
          <w:color w:val="auto"/>
        </w:rPr>
      </w:pPr>
    </w:p>
    <w:p>
      <w:pPr>
        <w:ind w:right="80" w:firstLine="228"/>
        <w:spacing w:after="0" w:line="259" w:lineRule="auto"/>
        <w:rPr>
          <w:sz w:val="20"/>
          <w:szCs w:val="20"/>
          <w:color w:val="auto"/>
        </w:rPr>
      </w:pPr>
      <w:r>
        <w:rPr>
          <w:rFonts w:ascii="Arial" w:cs="Arial" w:eastAsia="Arial" w:hAnsi="Arial"/>
          <w:sz w:val="18"/>
          <w:szCs w:val="18"/>
          <w:color w:val="auto"/>
        </w:rPr>
        <w:t>In October 2010 we acquired GM Financial to further bolster our offerings in the leasing and sub-prime financing segments in the U.S. and Canada. We believe that by having our own capabilities in key segments of the market we will be able to achieve more competition and better service from the market, while ensuring certainty of availability through the business cycles.</w:t>
      </w:r>
    </w:p>
    <w:p>
      <w:pPr>
        <w:spacing w:after="0" w:line="140" w:lineRule="exact"/>
        <w:rPr>
          <w:sz w:val="20"/>
          <w:szCs w:val="20"/>
          <w:color w:val="auto"/>
        </w:rPr>
      </w:pPr>
    </w:p>
    <w:p>
      <w:pPr>
        <w:ind w:right="60" w:firstLine="228"/>
        <w:spacing w:after="0" w:line="298" w:lineRule="auto"/>
        <w:rPr>
          <w:sz w:val="20"/>
          <w:szCs w:val="20"/>
          <w:color w:val="auto"/>
        </w:rPr>
      </w:pPr>
      <w:r>
        <w:rPr>
          <w:rFonts w:ascii="Arial" w:cs="Arial" w:eastAsia="Arial" w:hAnsi="Arial"/>
          <w:sz w:val="16"/>
          <w:szCs w:val="16"/>
          <w:color w:val="auto"/>
        </w:rPr>
        <w:t>On April 1, 2011 GM Financial acquired FinanciaLinx Corporation, an independent leasing company in Canada, to provide leasing to our customers throughout Canada. Given the importance of leasing and the current lack of availability of leasing offerings to our customers in the Canadian market (due to regulatory restrictions preventing banks and bank holding companies from offering leasing in Canada), we believe having a captive financing offering in Canada is strategically important to our business. GM Financial began originating leases for GM customers in Canada via FinanciaLinx Corporation in April 2011.</w:t>
      </w:r>
    </w:p>
    <w:p>
      <w:pPr>
        <w:spacing w:after="0" w:line="113" w:lineRule="exact"/>
        <w:rPr>
          <w:sz w:val="20"/>
          <w:szCs w:val="20"/>
          <w:color w:val="auto"/>
        </w:rPr>
      </w:pPr>
    </w:p>
    <w:p>
      <w:pPr>
        <w:ind w:right="80" w:firstLine="228"/>
        <w:spacing w:after="0" w:line="259" w:lineRule="auto"/>
        <w:rPr>
          <w:sz w:val="20"/>
          <w:szCs w:val="20"/>
          <w:color w:val="auto"/>
        </w:rPr>
      </w:pPr>
      <w:r>
        <w:rPr>
          <w:rFonts w:ascii="Arial" w:cs="Arial" w:eastAsia="Arial" w:hAnsi="Arial"/>
          <w:sz w:val="18"/>
          <w:szCs w:val="18"/>
          <w:color w:val="auto"/>
        </w:rPr>
        <w:t>We will continue to expand the business of GM Financial in targeted areas that we view as strategic and to otherwise evaluate opportunities in specific segments of the automotive financing market, both in the United States and internationally. We expect any expansion of GM Financial or any arrangements with other financing providers will complement our important relationship with Ally Financial.</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Opel/Vauxhall Restructuring Activities</w:t>
      </w:r>
    </w:p>
    <w:p>
      <w:pPr>
        <w:spacing w:after="0" w:line="171" w:lineRule="exact"/>
        <w:rPr>
          <w:sz w:val="20"/>
          <w:szCs w:val="20"/>
          <w:color w:val="auto"/>
        </w:rPr>
      </w:pPr>
    </w:p>
    <w:p>
      <w:pPr>
        <w:ind w:right="100" w:firstLine="228"/>
        <w:spacing w:after="0" w:line="256" w:lineRule="auto"/>
        <w:rPr>
          <w:sz w:val="20"/>
          <w:szCs w:val="20"/>
          <w:color w:val="auto"/>
        </w:rPr>
      </w:pPr>
      <w:r>
        <w:rPr>
          <w:rFonts w:ascii="Arial" w:cs="Arial" w:eastAsia="Arial" w:hAnsi="Arial"/>
          <w:sz w:val="18"/>
          <w:szCs w:val="18"/>
          <w:color w:val="auto"/>
        </w:rPr>
        <w:t>Restructuring and early retirement programs in Spain, the U.K. and Belgium were essentially completed in 2010 and we also initiated a program in Germany in 2010. Through June 30, 2011 these programs had a total cost of $0.8 billion and affected a total of 5,000 employees and included the closure of the Antwerp, Belgium facility. We expect to incur an additional $0.4 billion, primarily in 2011 and 2012, to complete these programs, which will affect an additional 2,000 employees.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Increased GMNA Production Volume</w:t>
      </w:r>
    </w:p>
    <w:p>
      <w:pPr>
        <w:spacing w:after="0" w:line="171" w:lineRule="exact"/>
        <w:rPr>
          <w:sz w:val="20"/>
          <w:szCs w:val="20"/>
          <w:color w:val="auto"/>
        </w:rPr>
      </w:pPr>
    </w:p>
    <w:p>
      <w:pPr>
        <w:jc w:val="both"/>
        <w:ind w:right="300" w:firstLine="228"/>
        <w:spacing w:after="0" w:line="306" w:lineRule="auto"/>
        <w:rPr>
          <w:sz w:val="20"/>
          <w:szCs w:val="20"/>
          <w:color w:val="auto"/>
        </w:rPr>
      </w:pPr>
      <w:r>
        <w:rPr>
          <w:rFonts w:ascii="Arial" w:cs="Arial" w:eastAsia="Arial" w:hAnsi="Arial"/>
          <w:sz w:val="16"/>
          <w:szCs w:val="16"/>
          <w:color w:val="auto"/>
        </w:rPr>
        <w:t>The moderate improvement in the U.S. economy, resulting increase in U.S. industry vehicle sales and increase in demand for our products has resulted in increased production volumes for GMNA. In the three and six months ended June 30, 2011 GMNA produced 824,000 vehicles and 1.6 million vehicles. This represents an increase of 12.7% and 15.1% compared to 731,000 vehicles and 1.4 million vehicles in the three and six months ended June 30, 2010.</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Increased U.S. Vehicle Sales</w:t>
      </w:r>
    </w:p>
    <w:p>
      <w:pPr>
        <w:spacing w:after="0" w:line="171" w:lineRule="exact"/>
        <w:rPr>
          <w:sz w:val="20"/>
          <w:szCs w:val="20"/>
          <w:color w:val="auto"/>
        </w:rPr>
      </w:pPr>
    </w:p>
    <w:p>
      <w:pPr>
        <w:ind w:firstLine="228"/>
        <w:spacing w:after="0" w:line="294" w:lineRule="auto"/>
        <w:rPr>
          <w:sz w:val="20"/>
          <w:szCs w:val="20"/>
          <w:color w:val="auto"/>
        </w:rPr>
      </w:pPr>
      <w:r>
        <w:rPr>
          <w:rFonts w:ascii="Arial" w:cs="Arial" w:eastAsia="Arial" w:hAnsi="Arial"/>
          <w:sz w:val="16"/>
          <w:szCs w:val="16"/>
          <w:color w:val="auto"/>
        </w:rPr>
        <w:t>GMNA dealers in the U.S. sold 669,000 vehicles and 1.3 million vehicles in the three and six months ended June 30, 2011. This represents an increase of 66,000 vehicles (or 10.9%) and 181,000 vehicles (or 16.8%) from our U.S. vehicle sales in the three and six months ended June 30, 2010. This increase reflects our brand rationalization strategy to focus our product engineering and design and marketing on our four brands. This strategy has resulted in increased consumer demand for certain products such as the Chevrolet Cruze, Chevrolet Equinox, GMC Terrain, Buick LaCrosse and Cadillac SRX. The moderate improvement in the U.S. economy has contributed to a slow but steady improvement in U.S. industry vehicle sales and increased consumer confidence.</w:t>
      </w:r>
    </w:p>
    <w:p>
      <w:pPr>
        <w:spacing w:after="0" w:line="116" w:lineRule="exact"/>
        <w:rPr>
          <w:sz w:val="20"/>
          <w:szCs w:val="20"/>
          <w:color w:val="auto"/>
        </w:rPr>
      </w:pPr>
    </w:p>
    <w:p>
      <w:pPr>
        <w:ind w:right="620" w:firstLine="228"/>
        <w:spacing w:after="0" w:line="438" w:lineRule="auto"/>
        <w:rPr>
          <w:sz w:val="20"/>
          <w:szCs w:val="20"/>
          <w:color w:val="auto"/>
        </w:rPr>
      </w:pPr>
      <w:r>
        <w:rPr>
          <w:rFonts w:ascii="Arial" w:cs="Arial" w:eastAsia="Arial" w:hAnsi="Arial"/>
          <w:sz w:val="18"/>
          <w:szCs w:val="18"/>
          <w:color w:val="auto"/>
        </w:rPr>
        <w:t xml:space="preserve">The continued increase in U.S. industry vehicle sales and the vehicle sales of our four brands is critical for us to maintain our worldwide profitability. </w:t>
      </w:r>
      <w:r>
        <w:rPr>
          <w:rFonts w:ascii="Arial" w:cs="Arial" w:eastAsia="Arial" w:hAnsi="Arial"/>
          <w:sz w:val="18"/>
          <w:szCs w:val="18"/>
          <w:b w:val="1"/>
          <w:bCs w:val="1"/>
          <w:color w:val="auto"/>
        </w:rPr>
        <w:t>Effect of Earthquake, Tsunami and Other Resulting Events in Japan</w:t>
      </w:r>
    </w:p>
    <w:p>
      <w:pPr>
        <w:spacing w:after="0" w:line="1" w:lineRule="exact"/>
        <w:rPr>
          <w:sz w:val="20"/>
          <w:szCs w:val="20"/>
          <w:color w:val="auto"/>
        </w:rPr>
      </w:pPr>
    </w:p>
    <w:p>
      <w:pPr>
        <w:jc w:val="both"/>
        <w:ind w:right="380" w:firstLine="228"/>
        <w:spacing w:after="0" w:line="259" w:lineRule="auto"/>
        <w:rPr>
          <w:sz w:val="20"/>
          <w:szCs w:val="20"/>
          <w:color w:val="auto"/>
        </w:rPr>
      </w:pPr>
      <w:r>
        <w:rPr>
          <w:rFonts w:ascii="Arial" w:cs="Arial" w:eastAsia="Arial" w:hAnsi="Arial"/>
          <w:sz w:val="18"/>
          <w:szCs w:val="18"/>
          <w:color w:val="auto"/>
        </w:rPr>
        <w:t>Although we have no production facilities in Japan, and do not generate material revenues from Japan, we do consume materials and components for our global operations from suppliers located in Japan. Due to the earthquake and tsunami in Japan there have been shortages of materials and components from certain Japanese based suppliers. These shortages have minimally affected our</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60"/>
          </w:cols>
          <w:pgMar w:left="240" w:top="459" w:right="2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vehicle production and resulted in us temporarily suspending production at one facility in the three months ended March 31, 2011. We have managed these shortages by optimizing the usage of parts that are, or will be, in short supply, pursuing alternate suppliers and modifying production schedules.</w:t>
      </w:r>
    </w:p>
    <w:p>
      <w:pPr>
        <w:spacing w:after="0" w:line="85" w:lineRule="exact"/>
        <w:rPr>
          <w:sz w:val="20"/>
          <w:szCs w:val="20"/>
          <w:color w:val="auto"/>
        </w:rPr>
      </w:pPr>
    </w:p>
    <w:p>
      <w:pPr>
        <w:ind w:right="460" w:firstLine="228"/>
        <w:spacing w:after="0" w:line="370" w:lineRule="auto"/>
        <w:rPr>
          <w:sz w:val="20"/>
          <w:szCs w:val="20"/>
          <w:color w:val="auto"/>
        </w:rPr>
      </w:pPr>
      <w:r>
        <w:rPr>
          <w:rFonts w:ascii="Arial" w:cs="Arial" w:eastAsia="Arial" w:hAnsi="Arial"/>
          <w:sz w:val="15"/>
          <w:szCs w:val="15"/>
          <w:color w:val="auto"/>
        </w:rPr>
        <w:t>We are closely monitoring the events and progress in Japan and are prepared to adjust global production as needed. We believe that the effect of any lost production in the six months ended June 30, 2011, three months ending September 30, 2011 and in the year ending December 31, 2011 will be immaterial.</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Venezuelan Exchange Regulations</w:t>
      </w:r>
    </w:p>
    <w:p>
      <w:pPr>
        <w:spacing w:after="0" w:line="177" w:lineRule="exact"/>
        <w:rPr>
          <w:sz w:val="20"/>
          <w:szCs w:val="20"/>
          <w:color w:val="auto"/>
        </w:rPr>
      </w:pPr>
    </w:p>
    <w:p>
      <w:pPr>
        <w:ind w:right="20" w:firstLine="228"/>
        <w:spacing w:after="0" w:line="294" w:lineRule="auto"/>
        <w:rPr>
          <w:sz w:val="20"/>
          <w:szCs w:val="20"/>
          <w:color w:val="auto"/>
        </w:rPr>
      </w:pPr>
      <w:r>
        <w:rPr>
          <w:rFonts w:ascii="Arial" w:cs="Arial" w:eastAsia="Arial" w:hAnsi="Arial"/>
          <w:sz w:val="16"/>
          <w:szCs w:val="16"/>
          <w:color w:val="auto"/>
        </w:rPr>
        <w:t>Our Venezuelan subsidiaries changed their functional currency from Bolivar Fuerte (BsF), the local currency, to the U.S. Dollar, our reporting currency, on January 1, 2010 because of the hyperinflationary status of the Venezuelan economy. Pursuant to the official devaluation of the Venezuelan currency and establishment of the dual fixed exchange rates (essential rate of BsF 2.60 to $1.00 and nonessential rate of BsF 4.30 to $1.00) in January 2010, we remeasured the BsF denominated monetary assets and liabilities held by our Venezuelan subsidiaries at the nonessential rate of 4.30 BsF to $1.00. The remeasurement resulted in a charge of $25 million recorded in Automotive cost of sales in the three months ended March 31, 2010.</w:t>
      </w:r>
    </w:p>
    <w:p>
      <w:pPr>
        <w:spacing w:after="0" w:line="116" w:lineRule="exact"/>
        <w:rPr>
          <w:sz w:val="20"/>
          <w:szCs w:val="20"/>
          <w:color w:val="auto"/>
        </w:rPr>
      </w:pPr>
    </w:p>
    <w:p>
      <w:pPr>
        <w:ind w:right="240" w:firstLine="228"/>
        <w:spacing w:after="0" w:line="294" w:lineRule="auto"/>
        <w:rPr>
          <w:sz w:val="20"/>
          <w:szCs w:val="20"/>
          <w:color w:val="auto"/>
        </w:rPr>
      </w:pPr>
      <w:r>
        <w:rPr>
          <w:rFonts w:ascii="Arial" w:cs="Arial" w:eastAsia="Arial" w:hAnsi="Arial"/>
          <w:sz w:val="16"/>
          <w:szCs w:val="16"/>
          <w:color w:val="auto"/>
        </w:rPr>
        <w:t>In June 2010 the Venezuelan government introduced additional foreign currency exchange control regulations, which imposed restrictions on the use of the parallel foreign currency exchange market, thereby making it more difficult to convert BsF to U.S. Dollars. We periodically accessed the parallel exchange market, which historically enabled entities to obtain foreign currency for transactions that could not be processed by the Commission for the Administration of Currency Exchange (CADIVI). The restrictions on the foreign currency exchange market could affect our Venezuelan subsidiaries’ ability to pay non-BsF denominated obligations that do not qualify to be processed by CADIVI at the official exchange rates as well as our ability to benefit from those operations.</w:t>
      </w:r>
    </w:p>
    <w:p>
      <w:pPr>
        <w:spacing w:after="0" w:line="116" w:lineRule="exact"/>
        <w:rPr>
          <w:sz w:val="20"/>
          <w:szCs w:val="20"/>
          <w:color w:val="auto"/>
        </w:rPr>
      </w:pPr>
    </w:p>
    <w:p>
      <w:pPr>
        <w:jc w:val="both"/>
        <w:ind w:right="240" w:firstLine="228"/>
        <w:spacing w:after="0" w:line="256" w:lineRule="auto"/>
        <w:rPr>
          <w:sz w:val="20"/>
          <w:szCs w:val="20"/>
          <w:color w:val="auto"/>
        </w:rPr>
      </w:pPr>
      <w:r>
        <w:rPr>
          <w:rFonts w:ascii="Arial" w:cs="Arial" w:eastAsia="Arial" w:hAnsi="Arial"/>
          <w:sz w:val="18"/>
          <w:szCs w:val="18"/>
          <w:color w:val="auto"/>
        </w:rPr>
        <w:t>In December 2010 another official devaluation of the Venezuelan currency was announced that eliminated the essential rate effective January 1, 2011. The devaluation did not have an effect on the 2010 consolidated financial statements; however, it has affected results of operations in 2011 because our Venezuelan subsidiaries no longer realize gains that result from favorable foreign currency exchanges processed by CADIVI at the essential rate for the requests submitted subsequent to the devaluation date.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Canadian Health Care Trust</w:t>
      </w:r>
    </w:p>
    <w:p>
      <w:pPr>
        <w:spacing w:after="0" w:line="177" w:lineRule="exact"/>
        <w:rPr>
          <w:sz w:val="20"/>
          <w:szCs w:val="20"/>
          <w:color w:val="auto"/>
        </w:rPr>
      </w:pPr>
    </w:p>
    <w:p>
      <w:pPr>
        <w:ind w:firstLine="228"/>
        <w:spacing w:after="0" w:line="285" w:lineRule="auto"/>
        <w:rPr>
          <w:sz w:val="20"/>
          <w:szCs w:val="20"/>
          <w:color w:val="auto"/>
        </w:rPr>
      </w:pPr>
      <w:r>
        <w:rPr>
          <w:rFonts w:ascii="Arial" w:cs="Arial" w:eastAsia="Arial" w:hAnsi="Arial"/>
          <w:sz w:val="16"/>
          <w:szCs w:val="16"/>
          <w:color w:val="auto"/>
        </w:rPr>
        <w:t>In December 2009 and May 2010 in furtherance of implementing its restructuring plan and pursuant to a June 2009 agreement between General Motors of Canada Limited (GMCL) and the Canadian Auto Workers Union (CAW) to establish an independent Canadian Health Care Trust (HCT) to provide retiree healthcare benefits to certain active and retired employees, litigation commenced regarding GMCL’s right to unilaterally amend and terminate postretirement healthcare benefits. The parties have reached a tentative agreement to consensually resolve the litigation, which is subject to court approval and was not yet implemented at June 30, 2011. Subject to preconditions being met, GMCL will be obligated to make a payment of CAD $1.0 billion on the HCT implementation date which it will fund out of its CAD $1.0 billion escrow funds, adjusted for the net difference between the amount of retiree monthly contributions received during the period January 1, 2010 through the HCT implementation date less the cost of benefits paid for claims incurred by covered employees during this period. On the HCT implementation date, GMCL will provide a CAD $800 million note payable with interest accruing at an annual rate of 7.0% starting January 1, 2010 with five equal annual installments of CAD $256 million due December 31 of 2014 through 2018. In June 2011 GMCL and the retiree representatives and their counsel agreed to a settlement agreement which added two additional payments of CAD $130 million each on December 31, 2014 and 2015. Concurrent with the implementation of the HCT, GMCL will be legally released from all obligations associated with the cost of providing retiree healthcare benefits to CAW active and retired employees bound by the class action process. We expect to account for the related termination of CAW hourly retiree healthcare benefits as a settlement, based upon the difference between the fair value of the notes and cash contributed and the healthcare plan obligation at the implementation date, which we anticipate in the three months ending December 31, 2011. As a result of conditions precedent to this agreement not having yet been achieved, there was no accounting recognition for the HCT at June 30, 2011.</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Income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0"/>
              </w:rPr>
              <w:t>Three Months Ended</w:t>
            </w:r>
          </w:p>
        </w:tc>
        <w:tc>
          <w:tcPr>
            <w:tcW w:w="100" w:type="dxa"/>
            <w:vAlign w:val="bottom"/>
          </w:tcPr>
          <w:p>
            <w:pPr>
              <w:spacing w:after="0"/>
              <w:rPr>
                <w:sz w:val="14"/>
                <w:szCs w:val="14"/>
                <w:color w:val="auto"/>
              </w:rPr>
            </w:pPr>
          </w:p>
        </w:tc>
        <w:tc>
          <w:tcPr>
            <w:tcW w:w="150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5"/>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2010</w:t>
            </w: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2011</w:t>
            </w:r>
          </w:p>
        </w:tc>
        <w:tc>
          <w:tcPr>
            <w:tcW w:w="3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sales and revenue</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200"/>
              <w:spacing w:after="0"/>
              <w:rPr>
                <w:sz w:val="20"/>
                <w:szCs w:val="20"/>
                <w:color w:val="auto"/>
              </w:rPr>
            </w:pPr>
            <w:r>
              <w:rPr>
                <w:rFonts w:ascii="Arial" w:cs="Arial" w:eastAsia="Arial" w:hAnsi="Arial"/>
                <w:sz w:val="18"/>
                <w:szCs w:val="18"/>
                <w:color w:val="auto"/>
              </w:rPr>
              <w:t>Automotive sales and revenue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39,043</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33,174</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74,942</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64,650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GM Financial revenue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0" w:type="dxa"/>
            <w:vAlign w:val="bottom"/>
          </w:tcPr>
          <w:p>
            <w:pPr>
              <w:ind w:left="200"/>
              <w:spacing w:after="0"/>
              <w:rPr>
                <w:sz w:val="20"/>
                <w:szCs w:val="20"/>
                <w:color w:val="auto"/>
              </w:rPr>
            </w:pPr>
            <w:r>
              <w:rPr>
                <w:rFonts w:ascii="Arial" w:cs="Arial" w:eastAsia="Arial" w:hAnsi="Arial"/>
                <w:sz w:val="18"/>
                <w:szCs w:val="18"/>
                <w:color w:val="auto"/>
              </w:rPr>
              <w:t>Total net sales and revenue</w:t>
            </w: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39,373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33,174</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75,567</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64,650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200"/>
              <w:spacing w:after="0"/>
              <w:rPr>
                <w:sz w:val="20"/>
                <w:szCs w:val="20"/>
                <w:color w:val="auto"/>
              </w:rPr>
            </w:pPr>
            <w:r>
              <w:rPr>
                <w:rFonts w:ascii="Arial" w:cs="Arial" w:eastAsia="Arial" w:hAnsi="Arial"/>
                <w:sz w:val="18"/>
                <w:szCs w:val="18"/>
                <w:color w:val="auto"/>
              </w:rPr>
              <w:t>Automotive cost of sales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33,793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28,609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65,478</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56,163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GM Financial operating and other expenses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200"/>
              <w:spacing w:after="0"/>
              <w:rPr>
                <w:sz w:val="20"/>
                <w:szCs w:val="20"/>
                <w:color w:val="auto"/>
              </w:rPr>
            </w:pPr>
            <w:r>
              <w:rPr>
                <w:rFonts w:ascii="Arial" w:cs="Arial" w:eastAsia="Arial" w:hAnsi="Arial"/>
                <w:sz w:val="18"/>
                <w:szCs w:val="18"/>
                <w:color w:val="auto"/>
              </w:rPr>
              <w:t>Automotive selling, general and administrative expense</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2,924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2,623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5,918</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automotive expenses, net</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00" w:type="dxa"/>
            <w:vAlign w:val="bottom"/>
          </w:tcPr>
          <w:p>
            <w:pPr>
              <w:ind w:left="200"/>
              <w:spacing w:after="0"/>
              <w:rPr>
                <w:sz w:val="20"/>
                <w:szCs w:val="20"/>
                <w:color w:val="auto"/>
              </w:rPr>
            </w:pPr>
            <w:r>
              <w:rPr>
                <w:rFonts w:ascii="Arial" w:cs="Arial" w:eastAsia="Arial" w:hAnsi="Arial"/>
                <w:sz w:val="18"/>
                <w:szCs w:val="18"/>
                <w:color w:val="auto"/>
              </w:rPr>
              <w:t>Total costs and expenses</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36,922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31,271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71,772</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61,555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Goodwill impairment charges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00" w:type="dxa"/>
            <w:vAlign w:val="bottom"/>
          </w:tcPr>
          <w:p>
            <w:pPr>
              <w:ind w:left="420"/>
              <w:spacing w:after="0"/>
              <w:rPr>
                <w:sz w:val="20"/>
                <w:szCs w:val="20"/>
                <w:color w:val="auto"/>
              </w:rPr>
            </w:pPr>
            <w:r>
              <w:rPr>
                <w:rFonts w:ascii="Arial" w:cs="Arial" w:eastAsia="Arial" w:hAnsi="Arial"/>
                <w:sz w:val="18"/>
                <w:szCs w:val="18"/>
                <w:color w:val="auto"/>
              </w:rPr>
              <w:t>Operating income</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1,903</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3,400</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Automotive interest expense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Interest income and other non-operating income (expense), net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912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1"/>
        </w:trPr>
        <w:tc>
          <w:tcPr>
            <w:tcW w:w="8020" w:type="dxa"/>
            <w:vAlign w:val="bottom"/>
            <w:gridSpan w:val="2"/>
          </w:tcPr>
          <w:p>
            <w:pPr>
              <w:spacing w:after="0"/>
              <w:rPr>
                <w:sz w:val="20"/>
                <w:szCs w:val="20"/>
                <w:color w:val="auto"/>
              </w:rPr>
            </w:pPr>
            <w:r>
              <w:rPr>
                <w:rFonts w:ascii="Arial" w:cs="Arial" w:eastAsia="Arial" w:hAnsi="Arial"/>
                <w:sz w:val="18"/>
                <w:szCs w:val="18"/>
                <w:color w:val="auto"/>
              </w:rPr>
              <w:t>Income before income taxes and equity income</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1,562</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3,998</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Equity income, net of tax and gain on disposal of investments</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2,526</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8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stockholders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6,358</w:t>
            </w: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attributable to common stockholders</w:t>
            </w: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20" w:type="dxa"/>
            <w:vAlign w:val="bottom"/>
            <w:gridSpan w:val="2"/>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2,524</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1,334</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5,387</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2,199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Production and Vehicle Sales Volume</w:t>
      </w:r>
    </w:p>
    <w:p>
      <w:pPr>
        <w:spacing w:after="0" w:line="171" w:lineRule="exact"/>
        <w:rPr>
          <w:sz w:val="20"/>
          <w:szCs w:val="20"/>
          <w:color w:val="auto"/>
        </w:rPr>
      </w:pPr>
    </w:p>
    <w:p>
      <w:pPr>
        <w:ind w:right="20" w:firstLine="228"/>
        <w:spacing w:after="0" w:line="255" w:lineRule="auto"/>
        <w:rPr>
          <w:sz w:val="20"/>
          <w:szCs w:val="20"/>
          <w:color w:val="auto"/>
        </w:rPr>
      </w:pPr>
      <w:r>
        <w:rPr>
          <w:rFonts w:ascii="Arial" w:cs="Arial" w:eastAsia="Arial" w:hAnsi="Arial"/>
          <w:sz w:val="18"/>
          <w:szCs w:val="18"/>
          <w:color w:val="auto"/>
        </w:rPr>
        <w:t>Management believes that production volume and vehicle sales data provide meaningful information regarding our automotive operating results. Production volumes manufactured by our assembly facilities are generally aligned with current period net sales and revenue, as we generally recognize revenue upon the release of the vehicle to the carrier responsible for transporting it to a dealer, which is shortly after the completion of production. Vehicle sales data, which includes retail and fleet sales, does not correlate directly to the revenue we recognize during the period. However, vehicle sales data is indicative of the underlying demand for our vehicles, and is the basis for our market share.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summarize total production volume and new vehicle sales volume and competitive position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32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88"/>
              </w:rPr>
              <w:t>Three Months Ended</w:t>
            </w:r>
          </w:p>
        </w:tc>
        <w:tc>
          <w:tcPr>
            <w:tcW w:w="19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1280" w:type="dxa"/>
            <w:vAlign w:val="bottom"/>
            <w:tcBorders>
              <w:bottom w:val="single" w:sz="8" w:color="auto"/>
            </w:tcBorders>
            <w:gridSpan w:val="3"/>
          </w:tcPr>
          <w:p>
            <w:pPr>
              <w:jc w:val="center"/>
              <w:ind w:left="480"/>
              <w:spacing w:after="0"/>
              <w:rPr>
                <w:sz w:val="20"/>
                <w:szCs w:val="20"/>
                <w:color w:val="auto"/>
              </w:rPr>
            </w:pPr>
            <w:r>
              <w:rPr>
                <w:rFonts w:ascii="Arial" w:cs="Arial" w:eastAsia="Arial" w:hAnsi="Arial"/>
                <w:sz w:val="14"/>
                <w:szCs w:val="14"/>
                <w:b w:val="1"/>
                <w:bCs w:val="1"/>
                <w:color w:val="auto"/>
                <w:w w:val="92"/>
              </w:rPr>
              <w:t>June 30,</w:t>
            </w:r>
          </w:p>
        </w:tc>
        <w:tc>
          <w:tcPr>
            <w:tcW w:w="56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Borders>
              <w:bottom w:val="single" w:sz="8" w:color="auto"/>
            </w:tcBorders>
            <w:gridSpan w:val="3"/>
          </w:tcPr>
          <w:p>
            <w:pPr>
              <w:jc w:val="center"/>
              <w:ind w:left="500"/>
              <w:spacing w:after="0"/>
              <w:rPr>
                <w:sz w:val="20"/>
                <w:szCs w:val="20"/>
                <w:color w:val="auto"/>
              </w:rPr>
            </w:pPr>
            <w:r>
              <w:rPr>
                <w:rFonts w:ascii="Arial" w:cs="Arial" w:eastAsia="Arial" w:hAnsi="Arial"/>
                <w:sz w:val="14"/>
                <w:szCs w:val="14"/>
                <w:b w:val="1"/>
                <w:bCs w:val="1"/>
                <w:color w:val="auto"/>
                <w:w w:val="89"/>
              </w:rPr>
              <w:t>June 30,</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Borders>
              <w:bottom w:val="single" w:sz="8" w:color="CCEEFF"/>
            </w:tcBorders>
          </w:tcPr>
          <w:p>
            <w:pPr>
              <w:spacing w:after="0"/>
              <w:rPr>
                <w:sz w:val="12"/>
                <w:szCs w:val="12"/>
                <w:color w:val="auto"/>
              </w:rPr>
            </w:pPr>
          </w:p>
        </w:tc>
        <w:tc>
          <w:tcPr>
            <w:tcW w:w="600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2011</w:t>
            </w:r>
          </w:p>
        </w:tc>
        <w:tc>
          <w:tcPr>
            <w:tcW w:w="4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2010</w:t>
            </w:r>
          </w:p>
        </w:tc>
        <w:tc>
          <w:tcPr>
            <w:tcW w:w="48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2011</w:t>
            </w: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1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Production volume (a)</w:t>
            </w:r>
          </w:p>
        </w:tc>
        <w:tc>
          <w:tcPr>
            <w:tcW w:w="6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GMNA</w:t>
            </w:r>
          </w:p>
        </w:tc>
        <w:tc>
          <w:tcPr>
            <w:tcW w:w="680" w:type="dxa"/>
            <w:vAlign w:val="bottom"/>
          </w:tcPr>
          <w:p>
            <w:pPr>
              <w:jc w:val="right"/>
              <w:spacing w:after="0"/>
              <w:rPr>
                <w:sz w:val="20"/>
                <w:szCs w:val="20"/>
                <w:color w:val="auto"/>
              </w:rPr>
            </w:pPr>
            <w:r>
              <w:rPr>
                <w:rFonts w:ascii="Arial" w:cs="Arial" w:eastAsia="Arial" w:hAnsi="Arial"/>
                <w:sz w:val="18"/>
                <w:szCs w:val="18"/>
                <w:color w:val="auto"/>
              </w:rPr>
              <w:t>824</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731</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1,610</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GME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331</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670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GMIO (b)</w:t>
            </w:r>
          </w:p>
        </w:tc>
        <w:tc>
          <w:tcPr>
            <w:tcW w:w="680" w:type="dxa"/>
            <w:vAlign w:val="bottom"/>
          </w:tcPr>
          <w:p>
            <w:pPr>
              <w:jc w:val="right"/>
              <w:spacing w:after="0"/>
              <w:rPr>
                <w:sz w:val="20"/>
                <w:szCs w:val="20"/>
                <w:color w:val="auto"/>
              </w:rPr>
            </w:pPr>
            <w:r>
              <w:rPr>
                <w:rFonts w:ascii="Arial" w:cs="Arial" w:eastAsia="Arial" w:hAnsi="Arial"/>
                <w:sz w:val="18"/>
                <w:szCs w:val="18"/>
                <w:color w:val="auto"/>
              </w:rPr>
              <w:t>1,003</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965</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1,969</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GMSA</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230</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color w:val="auto"/>
              </w:rPr>
              <w:t>Worldwide</w:t>
            </w: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60" w:type="dxa"/>
            <w:vAlign w:val="bottom"/>
            <w:gridSpan w:val="2"/>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2,400</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2,257</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4,727</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0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Production volume includes vehicles produced by certain joint ventures.</w:t>
      </w:r>
    </w:p>
    <w:p>
      <w:pPr>
        <w:spacing w:after="0" w:line="90" w:lineRule="exact"/>
        <w:rPr>
          <w:rFonts w:ascii="Arial" w:cs="Arial" w:eastAsia="Arial" w:hAnsi="Arial"/>
          <w:sz w:val="18"/>
          <w:szCs w:val="18"/>
          <w:color w:val="auto"/>
        </w:rPr>
      </w:pPr>
    </w:p>
    <w:p>
      <w:pPr>
        <w:ind w:left="460" w:right="380" w:hanging="452"/>
        <w:spacing w:after="0" w:line="268"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joint venture agreements with SGMW and FAW-GM allow for significant rights as a member as well as the contractual right to report SGMW and FAW-GM joint venture production in China.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3"/>
          </w:tcPr>
          <w:p>
            <w:pPr>
              <w:ind w:left="80"/>
              <w:spacing w:after="0"/>
              <w:rPr>
                <w:sz w:val="20"/>
                <w:szCs w:val="20"/>
                <w:color w:val="auto"/>
              </w:rPr>
            </w:pPr>
            <w:r>
              <w:rPr>
                <w:rFonts w:ascii="Arial" w:cs="Arial" w:eastAsia="Arial" w:hAnsi="Arial"/>
                <w:sz w:val="14"/>
                <w:szCs w:val="14"/>
                <w:b w:val="1"/>
                <w:bCs w:val="1"/>
                <w:color w:val="auto"/>
                <w:w w:val="89"/>
              </w:rPr>
              <w:t>Three Months Ended</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3"/>
          </w:tcPr>
          <w:p>
            <w:pPr>
              <w:jc w:val="right"/>
              <w:ind w:right="38"/>
              <w:spacing w:after="0"/>
              <w:rPr>
                <w:sz w:val="20"/>
                <w:szCs w:val="20"/>
                <w:color w:val="auto"/>
              </w:rPr>
            </w:pPr>
            <w:r>
              <w:rPr>
                <w:rFonts w:ascii="Arial" w:cs="Arial" w:eastAsia="Arial" w:hAnsi="Arial"/>
                <w:sz w:val="14"/>
                <w:szCs w:val="14"/>
                <w:b w:val="1"/>
                <w:bCs w:val="1"/>
                <w:color w:val="auto"/>
                <w:w w:val="98"/>
              </w:rPr>
              <w:t>Six Months Ended</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432"/>
              <w:spacing w:after="0" w:line="142" w:lineRule="exact"/>
              <w:rPr>
                <w:sz w:val="20"/>
                <w:szCs w:val="20"/>
                <w:color w:val="auto"/>
              </w:rPr>
            </w:pPr>
            <w:r>
              <w:rPr>
                <w:rFonts w:ascii="Arial" w:cs="Arial" w:eastAsia="Arial" w:hAnsi="Arial"/>
                <w:sz w:val="14"/>
                <w:szCs w:val="14"/>
                <w:b w:val="1"/>
                <w:bCs w:val="1"/>
                <w:color w:val="auto"/>
                <w:w w:val="83"/>
              </w:rPr>
              <w:t>2011</w:t>
            </w:r>
          </w:p>
        </w:tc>
        <w:tc>
          <w:tcPr>
            <w:tcW w:w="360" w:type="dxa"/>
            <w:vAlign w:val="bottom"/>
          </w:tcPr>
          <w:p>
            <w:pPr>
              <w:spacing w:after="0"/>
              <w:rPr>
                <w:sz w:val="12"/>
                <w:szCs w:val="12"/>
                <w:color w:val="auto"/>
              </w:rPr>
            </w:pPr>
          </w:p>
        </w:tc>
        <w:tc>
          <w:tcPr>
            <w:tcW w:w="1240" w:type="dxa"/>
            <w:vAlign w:val="bottom"/>
            <w:tcBorders>
              <w:bottom w:val="single" w:sz="8" w:color="auto"/>
            </w:tcBorders>
            <w:gridSpan w:val="3"/>
          </w:tcPr>
          <w:p>
            <w:pPr>
              <w:ind w:left="400"/>
              <w:spacing w:after="0" w:line="142" w:lineRule="exact"/>
              <w:rPr>
                <w:sz w:val="20"/>
                <w:szCs w:val="20"/>
                <w:color w:val="auto"/>
              </w:rPr>
            </w:pPr>
            <w:r>
              <w:rPr>
                <w:rFonts w:ascii="Arial" w:cs="Arial" w:eastAsia="Arial" w:hAnsi="Arial"/>
                <w:sz w:val="14"/>
                <w:szCs w:val="14"/>
                <w:b w:val="1"/>
                <w:bCs w:val="1"/>
                <w:color w:val="auto"/>
              </w:rPr>
              <w:t>2010 (a)</w:t>
            </w:r>
          </w:p>
        </w:tc>
        <w:tc>
          <w:tcPr>
            <w:tcW w:w="36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432"/>
              <w:spacing w:after="0" w:line="142" w:lineRule="exact"/>
              <w:rPr>
                <w:sz w:val="20"/>
                <w:szCs w:val="20"/>
                <w:color w:val="auto"/>
              </w:rPr>
            </w:pPr>
            <w:r>
              <w:rPr>
                <w:rFonts w:ascii="Arial" w:cs="Arial" w:eastAsia="Arial" w:hAnsi="Arial"/>
                <w:sz w:val="14"/>
                <w:szCs w:val="14"/>
                <w:b w:val="1"/>
                <w:bCs w:val="1"/>
                <w:color w:val="auto"/>
                <w:w w:val="83"/>
              </w:rPr>
              <w:t>2011</w:t>
            </w:r>
          </w:p>
        </w:tc>
        <w:tc>
          <w:tcPr>
            <w:tcW w:w="360" w:type="dxa"/>
            <w:vAlign w:val="bottom"/>
          </w:tcPr>
          <w:p>
            <w:pPr>
              <w:spacing w:after="0"/>
              <w:rPr>
                <w:sz w:val="12"/>
                <w:szCs w:val="12"/>
                <w:color w:val="auto"/>
              </w:rPr>
            </w:pPr>
          </w:p>
        </w:tc>
        <w:tc>
          <w:tcPr>
            <w:tcW w:w="1240" w:type="dxa"/>
            <w:vAlign w:val="bottom"/>
            <w:tcBorders>
              <w:bottom w:val="single" w:sz="8" w:color="auto"/>
            </w:tcBorders>
            <w:gridSpan w:val="3"/>
          </w:tcPr>
          <w:p>
            <w:pPr>
              <w:ind w:left="300"/>
              <w:spacing w:after="0" w:line="142" w:lineRule="exact"/>
              <w:rPr>
                <w:sz w:val="20"/>
                <w:szCs w:val="20"/>
                <w:color w:val="auto"/>
              </w:rPr>
            </w:pPr>
            <w:r>
              <w:rPr>
                <w:rFonts w:ascii="Arial" w:cs="Arial" w:eastAsia="Arial" w:hAnsi="Arial"/>
                <w:sz w:val="14"/>
                <w:szCs w:val="14"/>
                <w:b w:val="1"/>
                <w:bCs w:val="1"/>
                <w:color w:val="auto"/>
              </w:rPr>
              <w:t>2010 (a)(b)</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ind w:left="60"/>
              <w:spacing w:after="0" w:line="129" w:lineRule="exact"/>
              <w:rPr>
                <w:sz w:val="20"/>
                <w:szCs w:val="20"/>
                <w:color w:val="auto"/>
              </w:rPr>
            </w:pPr>
            <w:r>
              <w:rPr>
                <w:rFonts w:ascii="Arial" w:cs="Arial" w:eastAsia="Arial" w:hAnsi="Arial"/>
                <w:sz w:val="14"/>
                <w:szCs w:val="14"/>
                <w:b w:val="1"/>
                <w:bCs w:val="1"/>
                <w:color w:val="auto"/>
              </w:rPr>
              <w:t>GM as</w:t>
            </w: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GM as</w:t>
            </w: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GM as</w:t>
            </w: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5"/>
              </w:rPr>
              <w:t>GM as</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a % of</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a % of</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a % of</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a % of</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460" w:type="dxa"/>
            <w:vAlign w:val="bottom"/>
          </w:tcPr>
          <w:p>
            <w:pPr>
              <w:jc w:val="right"/>
              <w:ind w:right="36"/>
              <w:spacing w:after="0"/>
              <w:rPr>
                <w:sz w:val="20"/>
                <w:szCs w:val="20"/>
                <w:color w:val="auto"/>
              </w:rPr>
            </w:pPr>
            <w:r>
              <w:rPr>
                <w:rFonts w:ascii="Arial" w:cs="Arial" w:eastAsia="Arial" w:hAnsi="Arial"/>
                <w:sz w:val="14"/>
                <w:szCs w:val="14"/>
                <w:b w:val="1"/>
                <w:bCs w:val="1"/>
                <w:color w:val="auto"/>
              </w:rPr>
              <w:t>GM</w:t>
            </w:r>
          </w:p>
        </w:tc>
        <w:tc>
          <w:tcPr>
            <w:tcW w:w="260" w:type="dxa"/>
            <w:vAlign w:val="bottom"/>
          </w:tcPr>
          <w:p>
            <w:pPr>
              <w:spacing w:after="0"/>
              <w:rPr>
                <w:sz w:val="14"/>
                <w:szCs w:val="1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Industry</w:t>
            </w:r>
          </w:p>
        </w:tc>
        <w:tc>
          <w:tcPr>
            <w:tcW w:w="460" w:type="dxa"/>
            <w:vAlign w:val="bottom"/>
          </w:tcPr>
          <w:p>
            <w:pPr>
              <w:jc w:val="right"/>
              <w:ind w:right="38"/>
              <w:spacing w:after="0"/>
              <w:rPr>
                <w:sz w:val="20"/>
                <w:szCs w:val="20"/>
                <w:color w:val="auto"/>
              </w:rPr>
            </w:pPr>
            <w:r>
              <w:rPr>
                <w:rFonts w:ascii="Arial" w:cs="Arial" w:eastAsia="Arial" w:hAnsi="Arial"/>
                <w:sz w:val="14"/>
                <w:szCs w:val="14"/>
                <w:b w:val="1"/>
                <w:bCs w:val="1"/>
                <w:color w:val="auto"/>
              </w:rPr>
              <w:t>GM</w:t>
            </w:r>
          </w:p>
        </w:tc>
        <w:tc>
          <w:tcPr>
            <w:tcW w:w="260" w:type="dxa"/>
            <w:vAlign w:val="bottom"/>
          </w:tcPr>
          <w:p>
            <w:pPr>
              <w:spacing w:after="0"/>
              <w:rPr>
                <w:sz w:val="14"/>
                <w:szCs w:val="14"/>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Industry</w:t>
            </w:r>
          </w:p>
        </w:tc>
        <w:tc>
          <w:tcPr>
            <w:tcW w:w="4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GM</w:t>
            </w:r>
          </w:p>
        </w:tc>
        <w:tc>
          <w:tcPr>
            <w:tcW w:w="260" w:type="dxa"/>
            <w:vAlign w:val="bottom"/>
          </w:tcPr>
          <w:p>
            <w:pPr>
              <w:spacing w:after="0"/>
              <w:rPr>
                <w:sz w:val="14"/>
                <w:szCs w:val="14"/>
                <w:color w:val="auto"/>
              </w:rPr>
            </w:pPr>
          </w:p>
        </w:tc>
        <w:tc>
          <w:tcPr>
            <w:tcW w:w="8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Industry</w:t>
            </w:r>
          </w:p>
        </w:tc>
        <w:tc>
          <w:tcPr>
            <w:tcW w:w="460" w:type="dxa"/>
            <w:vAlign w:val="bottom"/>
          </w:tcPr>
          <w:p>
            <w:pPr>
              <w:jc w:val="right"/>
              <w:ind w:right="38"/>
              <w:spacing w:after="0"/>
              <w:rPr>
                <w:sz w:val="20"/>
                <w:szCs w:val="20"/>
                <w:color w:val="auto"/>
              </w:rPr>
            </w:pPr>
            <w:r>
              <w:rPr>
                <w:rFonts w:ascii="Arial" w:cs="Arial" w:eastAsia="Arial" w:hAnsi="Arial"/>
                <w:sz w:val="14"/>
                <w:szCs w:val="14"/>
                <w:b w:val="1"/>
                <w:bCs w:val="1"/>
                <w:color w:val="auto"/>
              </w:rPr>
              <w:t>GM</w:t>
            </w:r>
          </w:p>
        </w:tc>
        <w:tc>
          <w:tcPr>
            <w:tcW w:w="26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Industry</w:t>
            </w:r>
          </w:p>
        </w:tc>
        <w:tc>
          <w:tcPr>
            <w:tcW w:w="0" w:type="dxa"/>
            <w:vAlign w:val="bottom"/>
          </w:tcPr>
          <w:p>
            <w:pPr>
              <w:spacing w:after="0"/>
              <w:rPr>
                <w:sz w:val="1"/>
                <w:szCs w:val="1"/>
                <w:color w:val="auto"/>
              </w:rPr>
            </w:pPr>
          </w:p>
        </w:tc>
      </w:tr>
      <w:tr>
        <w:trPr>
          <w:trHeight w:val="196"/>
        </w:trPr>
        <w:tc>
          <w:tcPr>
            <w:tcW w:w="51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Vehicle sales (c)(d)(e)</w:t>
            </w:r>
          </w:p>
        </w:tc>
        <w:tc>
          <w:tcPr>
            <w:tcW w:w="4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left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left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ind w:left="440"/>
              <w:spacing w:after="0"/>
              <w:rPr>
                <w:sz w:val="20"/>
                <w:szCs w:val="20"/>
                <w:color w:val="auto"/>
              </w:rPr>
            </w:pPr>
            <w:r>
              <w:rPr>
                <w:rFonts w:ascii="Arial" w:cs="Arial" w:eastAsia="Arial" w:hAnsi="Arial"/>
                <w:sz w:val="18"/>
                <w:szCs w:val="18"/>
                <w:color w:val="auto"/>
              </w:rPr>
              <w:t>GMNA</w:t>
            </w:r>
          </w:p>
        </w:tc>
        <w:tc>
          <w:tcPr>
            <w:tcW w:w="460" w:type="dxa"/>
            <w:vAlign w:val="bottom"/>
          </w:tcPr>
          <w:p>
            <w:pPr>
              <w:jc w:val="right"/>
              <w:spacing w:after="0"/>
              <w:rPr>
                <w:sz w:val="20"/>
                <w:szCs w:val="20"/>
                <w:color w:val="auto"/>
              </w:rPr>
            </w:pPr>
            <w:r>
              <w:rPr>
                <w:rFonts w:ascii="Arial" w:cs="Arial" w:eastAsia="Arial" w:hAnsi="Arial"/>
                <w:sz w:val="18"/>
                <w:szCs w:val="18"/>
                <w:color w:val="auto"/>
              </w:rPr>
              <w:t>784</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19.1%</w:t>
            </w:r>
          </w:p>
        </w:tc>
        <w:tc>
          <w:tcPr>
            <w:tcW w:w="460" w:type="dxa"/>
            <w:vAlign w:val="bottom"/>
          </w:tcPr>
          <w:p>
            <w:pPr>
              <w:jc w:val="right"/>
              <w:spacing w:after="0"/>
              <w:rPr>
                <w:sz w:val="20"/>
                <w:szCs w:val="20"/>
                <w:color w:val="auto"/>
              </w:rPr>
            </w:pPr>
            <w:r>
              <w:rPr>
                <w:rFonts w:ascii="Arial" w:cs="Arial" w:eastAsia="Arial" w:hAnsi="Arial"/>
                <w:sz w:val="18"/>
                <w:szCs w:val="18"/>
                <w:color w:val="auto"/>
              </w:rPr>
              <w:t>716</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18.7%</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1,468</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18.7%</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1,280</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GME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9.1%</w:t>
            </w:r>
          </w:p>
        </w:tc>
        <w:tc>
          <w:tcPr>
            <w:tcW w:w="4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8.8%</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912</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8.8%</w:t>
            </w:r>
          </w:p>
        </w:tc>
        <w:tc>
          <w:tcPr>
            <w:tcW w:w="4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5160" w:type="dxa"/>
            <w:vAlign w:val="bottom"/>
            <w:gridSpan w:val="2"/>
          </w:tcPr>
          <w:p>
            <w:pPr>
              <w:ind w:left="440"/>
              <w:spacing w:after="0"/>
              <w:rPr>
                <w:sz w:val="20"/>
                <w:szCs w:val="20"/>
                <w:color w:val="auto"/>
              </w:rPr>
            </w:pPr>
            <w:r>
              <w:rPr>
                <w:rFonts w:ascii="Arial" w:cs="Arial" w:eastAsia="Arial" w:hAnsi="Arial"/>
                <w:sz w:val="18"/>
                <w:szCs w:val="18"/>
                <w:color w:val="auto"/>
              </w:rPr>
              <w:t>GMIO (f)(g)</w:t>
            </w:r>
          </w:p>
        </w:tc>
        <w:tc>
          <w:tcPr>
            <w:tcW w:w="460" w:type="dxa"/>
            <w:vAlign w:val="bottom"/>
          </w:tcPr>
          <w:p>
            <w:pPr>
              <w:jc w:val="right"/>
              <w:spacing w:after="0"/>
              <w:rPr>
                <w:sz w:val="20"/>
                <w:szCs w:val="20"/>
                <w:color w:val="auto"/>
              </w:rPr>
            </w:pPr>
            <w:r>
              <w:rPr>
                <w:rFonts w:ascii="Arial" w:cs="Arial" w:eastAsia="Arial" w:hAnsi="Arial"/>
                <w:sz w:val="18"/>
                <w:szCs w:val="18"/>
                <w:color w:val="auto"/>
              </w:rPr>
              <w:t>780</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9.6%</w:t>
            </w:r>
          </w:p>
        </w:tc>
        <w:tc>
          <w:tcPr>
            <w:tcW w:w="460" w:type="dxa"/>
            <w:vAlign w:val="bottom"/>
          </w:tcPr>
          <w:p>
            <w:pPr>
              <w:jc w:val="right"/>
              <w:spacing w:after="0"/>
              <w:rPr>
                <w:sz w:val="20"/>
                <w:szCs w:val="20"/>
                <w:color w:val="auto"/>
              </w:rPr>
            </w:pPr>
            <w:r>
              <w:rPr>
                <w:rFonts w:ascii="Arial" w:cs="Arial" w:eastAsia="Arial" w:hAnsi="Arial"/>
                <w:sz w:val="18"/>
                <w:szCs w:val="18"/>
                <w:color w:val="auto"/>
              </w:rPr>
              <w:t>771</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8.9%</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1,635</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9.4%</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1,567</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GMSA</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19.2%</w:t>
            </w:r>
          </w:p>
        </w:tc>
        <w:tc>
          <w:tcPr>
            <w:tcW w:w="4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19.5%</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521</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19.0%</w:t>
            </w:r>
          </w:p>
        </w:tc>
        <w:tc>
          <w:tcPr>
            <w:tcW w:w="4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ind w:left="440"/>
              <w:spacing w:after="0"/>
              <w:rPr>
                <w:sz w:val="20"/>
                <w:szCs w:val="20"/>
                <w:color w:val="auto"/>
              </w:rPr>
            </w:pPr>
            <w:r>
              <w:rPr>
                <w:rFonts w:ascii="Arial" w:cs="Arial" w:eastAsia="Arial" w:hAnsi="Arial"/>
                <w:sz w:val="18"/>
                <w:szCs w:val="18"/>
                <w:color w:val="auto"/>
              </w:rPr>
              <w:t>Worldwide</w:t>
            </w:r>
          </w:p>
        </w:tc>
        <w:tc>
          <w:tcPr>
            <w:tcW w:w="460" w:type="dxa"/>
            <w:vAlign w:val="bottom"/>
            <w:shd w:val="clear" w:color="auto" w:fill="000000"/>
          </w:tcPr>
          <w:p>
            <w:pPr>
              <w:spacing w:after="0" w:line="20" w:lineRule="exact"/>
              <w:rPr>
                <w:sz w:val="1"/>
                <w:szCs w:val="1"/>
                <w:color w:val="auto"/>
              </w:rPr>
            </w:pPr>
          </w:p>
        </w:tc>
        <w:tc>
          <w:tcPr>
            <w:tcW w:w="1140" w:type="dxa"/>
            <w:vAlign w:val="bottom"/>
            <w:gridSpan w:val="3"/>
            <w:vMerge w:val="restart"/>
          </w:tcPr>
          <w:p>
            <w:pPr>
              <w:jc w:val="right"/>
              <w:ind w:right="220"/>
              <w:spacing w:after="0"/>
              <w:rPr>
                <w:sz w:val="20"/>
                <w:szCs w:val="20"/>
                <w:color w:val="auto"/>
              </w:rPr>
            </w:pPr>
            <w:r>
              <w:rPr>
                <w:rFonts w:ascii="Arial" w:cs="Arial" w:eastAsia="Arial" w:hAnsi="Arial"/>
                <w:sz w:val="18"/>
                <w:szCs w:val="18"/>
                <w:color w:val="auto"/>
              </w:rPr>
              <w:t>12.2%</w:t>
            </w: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1140" w:type="dxa"/>
            <w:vAlign w:val="bottom"/>
            <w:gridSpan w:val="3"/>
            <w:vMerge w:val="restart"/>
          </w:tcPr>
          <w:p>
            <w:pPr>
              <w:jc w:val="right"/>
              <w:ind w:right="220"/>
              <w:spacing w:after="0"/>
              <w:rPr>
                <w:sz w:val="20"/>
                <w:szCs w:val="20"/>
                <w:color w:val="auto"/>
              </w:rPr>
            </w:pPr>
            <w:r>
              <w:rPr>
                <w:rFonts w:ascii="Arial" w:cs="Arial" w:eastAsia="Arial" w:hAnsi="Arial"/>
                <w:sz w:val="18"/>
                <w:szCs w:val="18"/>
                <w:color w:val="auto"/>
              </w:rPr>
              <w:t>11.6%</w:t>
            </w: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3"/>
            <w:vMerge w:val="restart"/>
          </w:tcPr>
          <w:p>
            <w:pPr>
              <w:jc w:val="right"/>
              <w:ind w:right="220"/>
              <w:spacing w:after="0"/>
              <w:rPr>
                <w:sz w:val="20"/>
                <w:szCs w:val="20"/>
                <w:color w:val="auto"/>
              </w:rPr>
            </w:pPr>
            <w:r>
              <w:rPr>
                <w:rFonts w:ascii="Arial" w:cs="Arial" w:eastAsia="Arial" w:hAnsi="Arial"/>
                <w:sz w:val="18"/>
                <w:szCs w:val="18"/>
                <w:color w:val="auto"/>
              </w:rPr>
              <w:t>11.8%</w:t>
            </w: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98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line="20" w:lineRule="exact"/>
              <w:rPr>
                <w:sz w:val="1"/>
                <w:szCs w:val="1"/>
                <w:color w:val="auto"/>
              </w:rPr>
            </w:pPr>
          </w:p>
        </w:tc>
      </w:tr>
      <w:tr>
        <w:trPr>
          <w:trHeight w:val="222"/>
        </w:trPr>
        <w:tc>
          <w:tcPr>
            <w:tcW w:w="5160" w:type="dxa"/>
            <w:vAlign w:val="bottom"/>
            <w:gridSpan w:val="2"/>
            <w:vMerge w:val="continue"/>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2,320</w:t>
            </w:r>
          </w:p>
        </w:tc>
        <w:tc>
          <w:tcPr>
            <w:tcW w:w="1140" w:type="dxa"/>
            <w:vAlign w:val="bottom"/>
            <w:gridSpan w:val="3"/>
            <w:vMerge w:val="continue"/>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2,162</w:t>
            </w:r>
          </w:p>
        </w:tc>
        <w:tc>
          <w:tcPr>
            <w:tcW w:w="1140" w:type="dxa"/>
            <w:vAlign w:val="bottom"/>
            <w:gridSpan w:val="3"/>
            <w:vMerge w:val="continue"/>
          </w:tcPr>
          <w:p>
            <w:pPr>
              <w:spacing w:after="0"/>
              <w:rPr>
                <w:sz w:val="19"/>
                <w:szCs w:val="19"/>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4,536</w:t>
            </w:r>
          </w:p>
        </w:tc>
        <w:tc>
          <w:tcPr>
            <w:tcW w:w="1140" w:type="dxa"/>
            <w:vAlign w:val="bottom"/>
            <w:gridSpan w:val="3"/>
            <w:vMerge w:val="continue"/>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4,166</w:t>
            </w:r>
          </w:p>
        </w:tc>
        <w:tc>
          <w:tcPr>
            <w:tcW w:w="98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4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HUMMER, Saturn and Pontiac vehicle sales data.</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vehicle sales include Saab Automobile AB (Saab) data through February 2010.</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Vehicle sales data may include rounding differences.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Certain fleet sales that are accounted for as operating leases are included in vehicle sales at the time of delivery to the daily rental car companies.</w:t>
      </w:r>
    </w:p>
    <w:p>
      <w:pPr>
        <w:spacing w:after="0" w:line="113" w:lineRule="exact"/>
        <w:rPr>
          <w:rFonts w:ascii="Arial" w:cs="Arial" w:eastAsia="Arial" w:hAnsi="Arial"/>
          <w:sz w:val="16"/>
          <w:szCs w:val="16"/>
          <w:color w:val="auto"/>
        </w:rPr>
      </w:pPr>
    </w:p>
    <w:p>
      <w:pPr>
        <w:jc w:val="both"/>
        <w:ind w:left="460" w:right="220" w:hanging="452"/>
        <w:spacing w:after="0" w:line="357" w:lineRule="auto"/>
        <w:tabs>
          <w:tab w:leader="none" w:pos="4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GMNA vehicle sales primarily represent sales to the end customer. GME, GMIO and GMSA vehicle sales primarily represent estimated sales to the end customer. In countries where end customer data is not readily available other data sources, such as wholesale volumes, are used to estimate vehicle sales.</w:t>
      </w: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the following joint venture vehicle sales: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62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w w:val="88"/>
              </w:rPr>
              <w:t>Three Months Ended</w:t>
            </w:r>
          </w:p>
        </w:tc>
        <w:tc>
          <w:tcPr>
            <w:tcW w:w="20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Six Months Ended</w:t>
            </w:r>
          </w:p>
        </w:tc>
      </w:tr>
      <w:tr>
        <w:trPr>
          <w:trHeight w:val="161"/>
        </w:trPr>
        <w:tc>
          <w:tcPr>
            <w:tcW w:w="42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94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w w:val="89"/>
              </w:rPr>
              <w:t>June 30,</w:t>
            </w:r>
          </w:p>
        </w:tc>
        <w:tc>
          <w:tcPr>
            <w:tcW w:w="680" w:type="dxa"/>
            <w:vAlign w:val="bottom"/>
          </w:tcPr>
          <w:p>
            <w:pPr>
              <w:spacing w:after="0"/>
              <w:rPr>
                <w:sz w:val="14"/>
                <w:szCs w:val="14"/>
                <w:color w:val="auto"/>
              </w:rPr>
            </w:pPr>
          </w:p>
        </w:tc>
        <w:tc>
          <w:tcPr>
            <w:tcW w:w="140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89"/>
              </w:rPr>
              <w:t>June 30,</w:t>
            </w:r>
          </w:p>
        </w:tc>
      </w:tr>
      <w:tr>
        <w:trPr>
          <w:trHeight w:val="142"/>
        </w:trPr>
        <w:tc>
          <w:tcPr>
            <w:tcW w:w="42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68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2011</w:t>
            </w:r>
          </w:p>
        </w:tc>
        <w:tc>
          <w:tcPr>
            <w:tcW w:w="130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2010</w:t>
            </w:r>
          </w:p>
        </w:tc>
        <w:tc>
          <w:tcPr>
            <w:tcW w:w="640" w:type="dxa"/>
            <w:vAlign w:val="bottom"/>
          </w:tcPr>
          <w:p>
            <w:pPr>
              <w:spacing w:after="0"/>
              <w:rPr>
                <w:sz w:val="12"/>
                <w:szCs w:val="12"/>
                <w:color w:val="auto"/>
              </w:rPr>
            </w:pPr>
          </w:p>
        </w:tc>
        <w:tc>
          <w:tcPr>
            <w:tcW w:w="680" w:type="dxa"/>
            <w:vAlign w:val="bottom"/>
            <w:tcBorders>
              <w:top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2011</w:t>
            </w:r>
          </w:p>
        </w:tc>
        <w:tc>
          <w:tcPr>
            <w:tcW w:w="130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96"/>
        </w:trPr>
        <w:tc>
          <w:tcPr>
            <w:tcW w:w="4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Joint venture sales in China</w:t>
            </w:r>
          </w:p>
        </w:tc>
        <w:tc>
          <w:tcPr>
            <w:tcW w:w="25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SGM</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290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245</w:t>
            </w:r>
          </w:p>
        </w:tc>
        <w:tc>
          <w:tcPr>
            <w:tcW w:w="6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SGMW and FAW-GM</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0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b w:val="1"/>
                <w:bCs w:val="1"/>
                <w:color w:val="auto"/>
              </w:rPr>
              <w:t>Joint venture sales in India</w:t>
            </w:r>
          </w:p>
        </w:tc>
        <w:tc>
          <w:tcPr>
            <w:tcW w:w="2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SAIC GM Investment Limited (HKJV)</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r>
      <w:tr>
        <w:trPr>
          <w:trHeight w:val="363"/>
        </w:trPr>
        <w:tc>
          <w:tcPr>
            <w:tcW w:w="4200" w:type="dxa"/>
            <w:vAlign w:val="bottom"/>
          </w:tcPr>
          <w:p>
            <w:pPr>
              <w:spacing w:after="0"/>
              <w:rPr>
                <w:sz w:val="24"/>
                <w:szCs w:val="24"/>
                <w:color w:val="auto"/>
              </w:rPr>
            </w:pPr>
          </w:p>
        </w:tc>
        <w:tc>
          <w:tcPr>
            <w:tcW w:w="2520" w:type="dxa"/>
            <w:vAlign w:val="bottom"/>
          </w:tcPr>
          <w:p>
            <w:pPr>
              <w:jc w:val="right"/>
              <w:ind w:right="832"/>
              <w:spacing w:after="0"/>
              <w:rPr>
                <w:sz w:val="20"/>
                <w:szCs w:val="20"/>
                <w:color w:val="auto"/>
              </w:rPr>
            </w:pPr>
            <w:r>
              <w:rPr>
                <w:rFonts w:ascii="Arial" w:cs="Arial" w:eastAsia="Arial" w:hAnsi="Arial"/>
                <w:sz w:val="18"/>
                <w:szCs w:val="18"/>
                <w:color w:val="auto"/>
              </w:rPr>
              <w:t>63</w:t>
            </w: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460" w:right="380" w:hanging="452"/>
        <w:spacing w:after="0" w:line="268"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joint venture agreements with SGMW and FAW-GM allow for significant rights as a member as well as the contractual right to report SGMW and FAW-GM joint venture vehicle sales in China as part of our global market share.</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Reconciliation of Consolidated, Automotive and GM Financial Segment Results</w:t>
      </w:r>
    </w:p>
    <w:p>
      <w:pPr>
        <w:spacing w:after="0" w:line="171" w:lineRule="exact"/>
        <w:rPr>
          <w:sz w:val="20"/>
          <w:szCs w:val="20"/>
          <w:color w:val="auto"/>
        </w:rPr>
      </w:pPr>
    </w:p>
    <w:p>
      <w:pPr>
        <w:ind w:right="60" w:firstLine="228"/>
        <w:spacing w:after="0" w:line="294" w:lineRule="auto"/>
        <w:rPr>
          <w:sz w:val="20"/>
          <w:szCs w:val="20"/>
          <w:color w:val="auto"/>
        </w:rPr>
      </w:pPr>
      <w:r>
        <w:rPr>
          <w:rFonts w:ascii="Arial" w:cs="Arial" w:eastAsia="Arial" w:hAnsi="Arial"/>
          <w:sz w:val="16"/>
          <w:szCs w:val="16"/>
          <w:color w:val="auto"/>
        </w:rPr>
        <w:t>Management believes earnings before interest and taxes (EBIT) provides meaningful supplemental information regarding our automotive segments’ operating results because it excludes amounts that management does not consider part of operating results when assessing and measuring the operational and financial performance of the organization. Management believes these measures allow it to readily view operating trends, perform analytical comparisons and benchmark performance between periods and among geographic regions. We believe EBIT is useful in allowing for greater transparency of our core operations and it is therefore used by management in its financial and operational decision-making.</w:t>
      </w:r>
    </w:p>
    <w:p>
      <w:pPr>
        <w:spacing w:after="0" w:line="116" w:lineRule="exact"/>
        <w:rPr>
          <w:sz w:val="20"/>
          <w:szCs w:val="20"/>
          <w:color w:val="auto"/>
        </w:rPr>
      </w:pPr>
    </w:p>
    <w:p>
      <w:pPr>
        <w:ind w:right="80" w:firstLine="228"/>
        <w:spacing w:after="0" w:line="255" w:lineRule="auto"/>
        <w:rPr>
          <w:sz w:val="20"/>
          <w:szCs w:val="20"/>
          <w:color w:val="auto"/>
        </w:rPr>
      </w:pPr>
      <w:r>
        <w:rPr>
          <w:rFonts w:ascii="Arial" w:cs="Arial" w:eastAsia="Arial" w:hAnsi="Arial"/>
          <w:sz w:val="18"/>
          <w:szCs w:val="18"/>
          <w:color w:val="auto"/>
        </w:rPr>
        <w:t>While management believes that EBIT provides useful information, it is not an operating measure under U.S. GAAP, and there are limitations associated with its use. Our calculation of EBIT may not be completely comparable to similarly titled measures of other companies due to potential differences between companies in the method of calculation. As a result, the use of EBIT has limitations and should not be considered in isolation from, or as a substitute for, other measures such as Net income (loss) or Net income (loss) attributable to common stockholders. Due to these limitations, EBIT is used as a supplement to U.S. GAAP measures.</w:t>
      </w:r>
    </w:p>
    <w:p>
      <w:pPr>
        <w:spacing w:after="0" w:line="143" w:lineRule="exact"/>
        <w:rPr>
          <w:sz w:val="20"/>
          <w:szCs w:val="20"/>
          <w:color w:val="auto"/>
        </w:rPr>
      </w:pPr>
    </w:p>
    <w:p>
      <w:pPr>
        <w:ind w:right="40" w:firstLine="228"/>
        <w:spacing w:after="0" w:line="259" w:lineRule="auto"/>
        <w:rPr>
          <w:sz w:val="20"/>
          <w:szCs w:val="20"/>
          <w:color w:val="auto"/>
        </w:rPr>
      </w:pPr>
      <w:r>
        <w:rPr>
          <w:rFonts w:ascii="Arial" w:cs="Arial" w:eastAsia="Arial" w:hAnsi="Arial"/>
          <w:sz w:val="18"/>
          <w:szCs w:val="18"/>
          <w:color w:val="auto"/>
        </w:rPr>
        <w:t>Management believes income (loss) before income taxes provides meaningful supplemental information regarding GM Financial’s operating results. GM Financial uses a separate measure from our automotive operations because management believes interest income and interest expense are part of operating results when assessing and measuring the operational and financial performance of the segment.</w:t>
      </w:r>
    </w:p>
    <w:p>
      <w:pPr>
        <w:spacing w:after="0" w:line="140" w:lineRule="exact"/>
        <w:rPr>
          <w:sz w:val="20"/>
          <w:szCs w:val="20"/>
          <w:color w:val="auto"/>
        </w:rPr>
      </w:pPr>
    </w:p>
    <w:p>
      <w:pPr>
        <w:ind w:right="720" w:firstLine="228"/>
        <w:spacing w:after="0" w:line="268" w:lineRule="auto"/>
        <w:rPr>
          <w:sz w:val="20"/>
          <w:szCs w:val="20"/>
          <w:color w:val="auto"/>
        </w:rPr>
      </w:pPr>
      <w:r>
        <w:rPr>
          <w:rFonts w:ascii="Arial" w:cs="Arial" w:eastAsia="Arial" w:hAnsi="Arial"/>
          <w:sz w:val="18"/>
          <w:szCs w:val="18"/>
          <w:color w:val="auto"/>
        </w:rPr>
        <w:t>The following table summarizes the reconciliation of our automotive segments EBIT and GM Financial’s income before income taxes to Net income attributable to stockholders (dollars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89"/>
              </w:rPr>
              <w:t>Three Months Ended</w:t>
            </w: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97"/>
              </w:rPr>
              <w:t>Six Months Ended</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740"/>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Borders>
              <w:bottom w:val="single" w:sz="8" w:color="CCEEFF"/>
            </w:tcBorders>
          </w:tcPr>
          <w:p>
            <w:pPr>
              <w:spacing w:after="0"/>
              <w:rPr>
                <w:sz w:val="12"/>
                <w:szCs w:val="12"/>
                <w:color w:val="auto"/>
              </w:rPr>
            </w:pPr>
          </w:p>
        </w:tc>
        <w:tc>
          <w:tcPr>
            <w:tcW w:w="38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Borders>
              <w:bottom w:val="single" w:sz="8" w:color="auto"/>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Borders>
              <w:bottom w:val="single" w:sz="8" w:color="auto"/>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Borders>
              <w:bottom w:val="single" w:sz="8" w:color="auto"/>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0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Automotive</w:t>
            </w: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EBIT</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GMNA (a)</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$2,249</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$1,592</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$5,147</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$2,810</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16"/>
        </w:trPr>
        <w:tc>
          <w:tcPr>
            <w:tcW w:w="5040" w:type="dxa"/>
            <w:vAlign w:val="bottom"/>
            <w:gridSpan w:val="2"/>
          </w:tcPr>
          <w:p>
            <w:pPr>
              <w:ind w:left="220"/>
              <w:spacing w:after="0"/>
              <w:rPr>
                <w:sz w:val="20"/>
                <w:szCs w:val="20"/>
                <w:color w:val="auto"/>
              </w:rPr>
            </w:pPr>
            <w:r>
              <w:rPr>
                <w:rFonts w:ascii="Arial" w:cs="Arial" w:eastAsia="Arial" w:hAnsi="Arial"/>
                <w:sz w:val="18"/>
                <w:szCs w:val="18"/>
                <w:color w:val="auto"/>
              </w:rPr>
              <w:t>GME (a)</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3.4%</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(160)</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(7.5)%</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(288)</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(4.7)%</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(637)</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GMIO (a)</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5040" w:type="dxa"/>
            <w:vAlign w:val="bottom"/>
            <w:gridSpan w:val="2"/>
          </w:tcPr>
          <w:p>
            <w:pPr>
              <w:ind w:left="220"/>
              <w:spacing w:after="0"/>
              <w:rPr>
                <w:sz w:val="20"/>
                <w:szCs w:val="20"/>
                <w:color w:val="auto"/>
              </w:rPr>
            </w:pPr>
            <w:r>
              <w:rPr>
                <w:rFonts w:ascii="Arial" w:cs="Arial" w:eastAsia="Arial" w:hAnsi="Arial"/>
                <w:sz w:val="18"/>
                <w:szCs w:val="18"/>
                <w:color w:val="auto"/>
              </w:rPr>
              <w:t>GMSA (a)</w:t>
            </w:r>
          </w:p>
        </w:tc>
        <w:tc>
          <w:tcPr>
            <w:tcW w:w="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57</w:t>
            </w:r>
          </w:p>
        </w:tc>
        <w:tc>
          <w:tcPr>
            <w:tcW w:w="2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500" w:type="dxa"/>
            <w:vAlign w:val="bottom"/>
          </w:tcPr>
          <w:p>
            <w:pPr>
              <w:jc w:val="right"/>
              <w:spacing w:after="0"/>
              <w:rPr>
                <w:sz w:val="20"/>
                <w:szCs w:val="20"/>
                <w:color w:val="auto"/>
              </w:rPr>
            </w:pPr>
            <w:r>
              <w:rPr>
                <w:rFonts w:ascii="Arial" w:cs="Arial" w:eastAsia="Arial" w:hAnsi="Arial"/>
                <w:sz w:val="18"/>
                <w:szCs w:val="18"/>
                <w:color w:val="auto"/>
              </w:rPr>
              <w:t>195</w:t>
            </w:r>
          </w:p>
        </w:tc>
        <w:tc>
          <w:tcPr>
            <w:tcW w:w="26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9.1%</w:t>
            </w:r>
          </w:p>
        </w:tc>
        <w:tc>
          <w:tcPr>
            <w:tcW w:w="500" w:type="dxa"/>
            <w:vAlign w:val="bottom"/>
          </w:tcPr>
          <w:p>
            <w:pPr>
              <w:jc w:val="right"/>
              <w:spacing w:after="0"/>
              <w:rPr>
                <w:sz w:val="20"/>
                <w:szCs w:val="20"/>
                <w:color w:val="auto"/>
              </w:rPr>
            </w:pPr>
            <w:r>
              <w:rPr>
                <w:rFonts w:ascii="Arial" w:cs="Arial" w:eastAsia="Arial" w:hAnsi="Arial"/>
                <w:sz w:val="18"/>
                <w:szCs w:val="18"/>
                <w:color w:val="auto"/>
              </w:rPr>
              <w:t>147</w:t>
            </w:r>
          </w:p>
        </w:tc>
        <w:tc>
          <w:tcPr>
            <w:tcW w:w="2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2.4%</w:t>
            </w:r>
          </w:p>
        </w:tc>
        <w:tc>
          <w:tcPr>
            <w:tcW w:w="500" w:type="dxa"/>
            <w:vAlign w:val="bottom"/>
          </w:tcPr>
          <w:p>
            <w:pPr>
              <w:jc w:val="right"/>
              <w:spacing w:after="0"/>
              <w:rPr>
                <w:sz w:val="20"/>
                <w:szCs w:val="20"/>
                <w:color w:val="auto"/>
              </w:rPr>
            </w:pPr>
            <w:r>
              <w:rPr>
                <w:rFonts w:ascii="Arial" w:cs="Arial" w:eastAsia="Arial" w:hAnsi="Arial"/>
                <w:sz w:val="18"/>
                <w:szCs w:val="18"/>
                <w:color w:val="auto"/>
              </w:rPr>
              <w:t>460</w:t>
            </w:r>
          </w:p>
        </w:tc>
        <w:tc>
          <w:tcPr>
            <w:tcW w:w="2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automotive EBIT</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2,981</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100.0%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100.0%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6,059</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100.0%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ind w:left="220"/>
              <w:spacing w:after="0"/>
              <w:rPr>
                <w:sz w:val="20"/>
                <w:szCs w:val="20"/>
                <w:color w:val="auto"/>
              </w:rPr>
            </w:pPr>
            <w:r>
              <w:rPr>
                <w:rFonts w:ascii="Arial" w:cs="Arial" w:eastAsia="Arial" w:hAnsi="Arial"/>
                <w:sz w:val="18"/>
                <w:szCs w:val="18"/>
                <w:color w:val="auto"/>
              </w:rPr>
              <w:t>Corporate and eliminations</w:t>
            </w:r>
          </w:p>
        </w:tc>
        <w:tc>
          <w:tcPr>
            <w:tcW w:w="780" w:type="dxa"/>
            <w:vAlign w:val="bottom"/>
            <w:gridSpan w:val="3"/>
            <w:vMerge w:val="restart"/>
          </w:tcPr>
          <w:p>
            <w:pPr>
              <w:jc w:val="right"/>
              <w:ind w:right="220"/>
              <w:spacing w:after="0"/>
              <w:rPr>
                <w:sz w:val="20"/>
                <w:szCs w:val="20"/>
                <w:color w:val="auto"/>
              </w:rPr>
            </w:pPr>
            <w:r>
              <w:rPr>
                <w:rFonts w:ascii="Arial" w:cs="Arial" w:eastAsia="Arial" w:hAnsi="Arial"/>
                <w:sz w:val="18"/>
                <w:szCs w:val="18"/>
                <w:color w:val="auto"/>
              </w:rPr>
              <w:t>(163)</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(98)</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154</w:t>
            </w: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(188)</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40" w:type="dxa"/>
            <w:vAlign w:val="bottom"/>
            <w:gridSpan w:val="2"/>
            <w:vMerge w:val="continue"/>
          </w:tcPr>
          <w:p>
            <w:pPr>
              <w:spacing w:after="0"/>
              <w:rPr>
                <w:sz w:val="18"/>
                <w:szCs w:val="18"/>
                <w:color w:val="auto"/>
              </w:rPr>
            </w:pPr>
          </w:p>
        </w:tc>
        <w:tc>
          <w:tcPr>
            <w:tcW w:w="780" w:type="dxa"/>
            <w:vAlign w:val="bottom"/>
            <w:gridSpan w:val="3"/>
            <w:vMerge w:val="continue"/>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ind w:left="220"/>
              <w:spacing w:after="0"/>
              <w:rPr>
                <w:sz w:val="20"/>
                <w:szCs w:val="20"/>
                <w:color w:val="auto"/>
              </w:rPr>
            </w:pPr>
            <w:r>
              <w:rPr>
                <w:rFonts w:ascii="Arial" w:cs="Arial" w:eastAsia="Arial" w:hAnsi="Arial"/>
                <w:sz w:val="18"/>
                <w:szCs w:val="18"/>
                <w:color w:val="auto"/>
              </w:rPr>
              <w:t>Automotive interest expense</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155</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250</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304</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587</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Income tax expense (benefit)</w:t>
            </w: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(61)</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ind w:left="220"/>
              <w:spacing w:after="0"/>
              <w:rPr>
                <w:sz w:val="20"/>
                <w:szCs w:val="20"/>
                <w:color w:val="auto"/>
              </w:rPr>
            </w:pPr>
            <w:r>
              <w:rPr>
                <w:rFonts w:ascii="Arial" w:cs="Arial" w:eastAsia="Arial" w:hAnsi="Arial"/>
                <w:sz w:val="18"/>
                <w:szCs w:val="18"/>
                <w:b w:val="1"/>
                <w:bCs w:val="1"/>
                <w:color w:val="auto"/>
              </w:rPr>
              <w:t>Automotive Financing</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GM Financial income before income taxes</w:t>
            </w:r>
          </w:p>
        </w:tc>
        <w:tc>
          <w:tcPr>
            <w:tcW w:w="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40" w:type="dxa"/>
            <w:vAlign w:val="bottom"/>
            <w:gridSpan w:val="2"/>
          </w:tcPr>
          <w:p>
            <w:pPr>
              <w:ind w:left="220"/>
              <w:spacing w:after="0"/>
              <w:rPr>
                <w:sz w:val="20"/>
                <w:szCs w:val="20"/>
                <w:color w:val="auto"/>
              </w:rPr>
            </w:pPr>
            <w:r>
              <w:rPr>
                <w:rFonts w:ascii="Arial" w:cs="Arial" w:eastAsia="Arial" w:hAnsi="Arial"/>
                <w:sz w:val="18"/>
                <w:szCs w:val="18"/>
                <w:b w:val="1"/>
                <w:bCs w:val="1"/>
                <w:color w:val="auto"/>
              </w:rPr>
              <w:t>Net income attributable to stockholders</w:t>
            </w: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2,992</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1,536</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6,358</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2,604</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38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500" w:hanging="452"/>
        <w:spacing w:after="0" w:line="268"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automotive operations interest and income taxes are recorded centrally in Corporate; therefore, there are no reconciling items for our automotive operating segments between EBIT and Net income attributable to stockholders.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Total Net Sales and Revenue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2"/>
              </w:rPr>
              <w:t>Three Months Ended</w:t>
            </w:r>
          </w:p>
        </w:tc>
        <w:tc>
          <w:tcPr>
            <w:tcW w:w="170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4"/>
                <w:szCs w:val="14"/>
                <w:color w:val="auto"/>
              </w:rPr>
            </w:pPr>
          </w:p>
        </w:tc>
        <w:tc>
          <w:tcPr>
            <w:tcW w:w="168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89"/>
              </w:rPr>
              <w:t>Three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June 30,</w:t>
            </w:r>
          </w:p>
        </w:tc>
        <w:tc>
          <w:tcPr>
            <w:tcW w:w="170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168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85"/>
              </w:rPr>
              <w:t>2011 vs. 2010 Change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84"/>
              </w:rPr>
              <w:t>2011 vs. 2010 Change</w:t>
            </w:r>
          </w:p>
        </w:tc>
        <w:tc>
          <w:tcPr>
            <w:tcW w:w="0" w:type="dxa"/>
            <w:vAlign w:val="bottom"/>
          </w:tcPr>
          <w:p>
            <w:pPr>
              <w:spacing w:after="0"/>
              <w:rPr>
                <w:sz w:val="1"/>
                <w:szCs w:val="1"/>
                <w:color w:val="auto"/>
              </w:rPr>
            </w:pPr>
          </w:p>
        </w:tc>
      </w:tr>
      <w:tr>
        <w:trPr>
          <w:trHeight w:val="142"/>
        </w:trPr>
        <w:tc>
          <w:tcPr>
            <w:tcW w:w="1160" w:type="dxa"/>
            <w:vAlign w:val="bottom"/>
            <w:tcBorders>
              <w:bottom w:val="single" w:sz="8" w:color="CCEEFF"/>
            </w:tcBorders>
          </w:tcPr>
          <w:p>
            <w:pPr>
              <w:spacing w:after="0"/>
              <w:rPr>
                <w:sz w:val="12"/>
                <w:szCs w:val="12"/>
                <w:color w:val="auto"/>
              </w:rPr>
            </w:pPr>
          </w:p>
        </w:tc>
        <w:tc>
          <w:tcPr>
            <w:tcW w:w="33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w w:val="94"/>
              </w:rPr>
              <w:t>Amount</w:t>
            </w:r>
          </w:p>
        </w:tc>
        <w:tc>
          <w:tcPr>
            <w:tcW w:w="26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w w:val="90"/>
              </w:rPr>
              <w:t>Amount</w:t>
            </w:r>
          </w:p>
        </w:tc>
        <w:tc>
          <w:tcPr>
            <w:tcW w:w="28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GMNA</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$23,128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$20,266</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$45,238</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$39,552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5,686</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GME</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7,459</w:t>
            </w: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6,044</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14,329</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11,505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1,415</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2,824</w:t>
            </w:r>
          </w:p>
        </w:tc>
        <w:tc>
          <w:tcPr>
            <w:tcW w:w="2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GMIO</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6,616</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5,331</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12,043</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1,285</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GMSA</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4,363</w:t>
            </w: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3,608</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8,259</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6,932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755</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1,327</w:t>
            </w:r>
          </w:p>
        </w:tc>
        <w:tc>
          <w:tcPr>
            <w:tcW w:w="2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GM Financial</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330</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1"/>
        </w:trPr>
        <w:tc>
          <w:tcPr>
            <w:tcW w:w="4460" w:type="dxa"/>
            <w:vAlign w:val="bottom"/>
            <w:gridSpan w:val="2"/>
          </w:tcPr>
          <w:p>
            <w:pPr>
              <w:spacing w:after="0"/>
              <w:rPr>
                <w:sz w:val="20"/>
                <w:szCs w:val="20"/>
                <w:color w:val="auto"/>
              </w:rPr>
            </w:pPr>
            <w:r>
              <w:rPr>
                <w:rFonts w:ascii="Arial" w:cs="Arial" w:eastAsia="Arial" w:hAnsi="Arial"/>
                <w:sz w:val="18"/>
                <w:szCs w:val="18"/>
                <w:color w:val="auto"/>
              </w:rPr>
              <w:t>Total operating segments</w:t>
            </w:r>
          </w:p>
        </w:tc>
        <w:tc>
          <w:tcPr>
            <w:tcW w:w="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41,896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35,249</w:t>
            </w:r>
          </w:p>
        </w:tc>
        <w:tc>
          <w:tcPr>
            <w:tcW w:w="2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80,494</w:t>
            </w:r>
          </w:p>
        </w:tc>
        <w:tc>
          <w:tcPr>
            <w:tcW w:w="2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68,305</w:t>
            </w: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6,647</w:t>
            </w:r>
          </w:p>
        </w:tc>
        <w:tc>
          <w:tcPr>
            <w:tcW w:w="26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12,189</w:t>
            </w:r>
          </w:p>
        </w:tc>
        <w:tc>
          <w:tcPr>
            <w:tcW w:w="28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8"/>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eliminations</w:t>
            </w:r>
          </w:p>
        </w:tc>
        <w:tc>
          <w:tcPr>
            <w:tcW w:w="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(2,523)</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(2,075)</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(4,927)</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(3,655)</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(448)</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(1,272)</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(34.8)%</w:t>
            </w: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Arial" w:cs="Arial" w:eastAsia="Arial" w:hAnsi="Arial"/>
                <w:sz w:val="18"/>
                <w:szCs w:val="18"/>
                <w:color w:val="auto"/>
              </w:rPr>
              <w:t>Total net sales and revenue</w:t>
            </w: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line="20" w:lineRule="exact"/>
              <w:rPr>
                <w:sz w:val="1"/>
                <w:szCs w:val="1"/>
                <w:color w:val="auto"/>
              </w:rPr>
            </w:pPr>
          </w:p>
        </w:tc>
      </w:tr>
      <w:tr>
        <w:trPr>
          <w:trHeight w:val="222"/>
        </w:trPr>
        <w:tc>
          <w:tcPr>
            <w:tcW w:w="4460" w:type="dxa"/>
            <w:vAlign w:val="bottom"/>
            <w:gridSpan w:val="2"/>
            <w:vMerge w:val="continue"/>
          </w:tcPr>
          <w:p>
            <w:pPr>
              <w:spacing w:after="0"/>
              <w:rPr>
                <w:sz w:val="19"/>
                <w:szCs w:val="19"/>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39,373</w:t>
            </w:r>
          </w:p>
        </w:tc>
        <w:tc>
          <w:tcPr>
            <w:tcW w:w="1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33,174</w:t>
            </w: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75,567</w:t>
            </w: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64,650</w:t>
            </w:r>
          </w:p>
        </w:tc>
        <w:tc>
          <w:tcPr>
            <w:tcW w:w="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6,199</w:t>
            </w:r>
          </w:p>
        </w:tc>
        <w:tc>
          <w:tcPr>
            <w:tcW w:w="760" w:type="dxa"/>
            <w:vAlign w:val="bottom"/>
            <w:gridSpan w:val="2"/>
            <w:vMerge w:val="continue"/>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10,917</w:t>
            </w:r>
          </w:p>
        </w:tc>
        <w:tc>
          <w:tcPr>
            <w:tcW w:w="280" w:type="dxa"/>
            <w:vAlign w:val="bottom"/>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3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n.a. = not applicable</w:t>
      </w:r>
    </w:p>
    <w:p>
      <w:pPr>
        <w:spacing w:after="0" w:line="171" w:lineRule="exact"/>
        <w:rPr>
          <w:sz w:val="20"/>
          <w:szCs w:val="20"/>
          <w:color w:val="auto"/>
        </w:rPr>
      </w:pPr>
    </w:p>
    <w:p>
      <w:pPr>
        <w:ind w:right="20" w:firstLine="228"/>
        <w:spacing w:after="0" w:line="288" w:lineRule="auto"/>
        <w:rPr>
          <w:sz w:val="20"/>
          <w:szCs w:val="20"/>
          <w:color w:val="auto"/>
        </w:rPr>
      </w:pPr>
      <w:r>
        <w:rPr>
          <w:rFonts w:ascii="Arial" w:cs="Arial" w:eastAsia="Arial" w:hAnsi="Arial"/>
          <w:sz w:val="16"/>
          <w:szCs w:val="16"/>
          <w:color w:val="auto"/>
        </w:rPr>
        <w:t>In the three months ended June 30, 2011 Total net sales and revenue increased by $6.2 billion (or 18.7%), primarily due to: (1) increased wholesale volumes of $2.8 billion representing 183,000 vehicles, primarily in GMNA of $2.0 billion due to an improved economy and recent vehicle launches and in GMIO of $0.6 billion driven by industry growth throughout the region; (2) favorable foreign currency translation effect of $1.3 billion, primarily in GME of $0.8 billion, in GMIO of $0.4 billion and in GMSA of $0.3 billion due to the strengthening of major currencies against the U.S. Dollar; (3) favorable vehicle pricing effect of $0.8 billion, primarily in GMNA of $0.6 billion due to reduced sales allowances; (4) favorable vehicle mix of $0.7 billion, primarily in GME of $0.4 billion, in GMNA of $0.2 billion and in GMIO of $0.2 billion; (5) increased finance charge income of $0.3 billion due to the acquisition of GM Financial; (6) increased revenues from OnStar and Customer Care and Aftersales of $0.2 billion in GMNA due to increased volumes; (7) favorable foreign currency remeasurement of $0.2 billion in GMNA; (8) increased revenue of $0.1 billion due to the acquisition of GM Strasbourg in GME; and (9) increased powertrain engine and transmission sales of $0.1 billion in GME; partially offset by (10) decreased revenue of $0.3 billion due to the sale of Nexteer Automotive (Nexteer) in GMNA.</w:t>
      </w:r>
    </w:p>
    <w:p>
      <w:pPr>
        <w:spacing w:after="0" w:line="120" w:lineRule="exact"/>
        <w:rPr>
          <w:sz w:val="20"/>
          <w:szCs w:val="20"/>
          <w:color w:val="auto"/>
        </w:rPr>
      </w:pPr>
    </w:p>
    <w:p>
      <w:pPr>
        <w:ind w:right="40" w:firstLine="228"/>
        <w:spacing w:after="0" w:line="287" w:lineRule="auto"/>
        <w:rPr>
          <w:sz w:val="20"/>
          <w:szCs w:val="20"/>
          <w:color w:val="auto"/>
        </w:rPr>
      </w:pPr>
      <w:r>
        <w:rPr>
          <w:rFonts w:ascii="Arial" w:cs="Arial" w:eastAsia="Arial" w:hAnsi="Arial"/>
          <w:sz w:val="16"/>
          <w:szCs w:val="16"/>
          <w:color w:val="auto"/>
        </w:rPr>
        <w:t>In the six months ended June 30, 2011 Total net sales and revenue increased by $10.9 billion (or 16.9%), primarily due to: (1) increased wholesale volumes of $6.1 billion representing 365,000 vehicles, primarily in GMNA of $4.7 billion due to an improved economy and recent vehicle launches and in GMIO of $1.0 billion driven by industry growth throughout the region; (2) favorable foreign currency translation effect of $1.7 billion, primarily in GME of $0.8 billion, in GMIO of $0.5 billion and in GMSA of $0.5 billion due to the strengthening of major currencies against the U.S. Dollar; (3) favorable vehicle mix of $1.3 billion, primarily in GME of $0.7 billion and in GMNA of $0.5 billion; (4) favorable vehicle pricing effect of $0.6 billion, primarily in GMNA of $0.3 billion due to reduced sales allowances and in GMSA of $0.3 billion driven by the hyperinflationary economy in Venezuela; (5) increased finance charge income of $0.6 billion due to the acquisition of GM Financial; (6) increased revenues from OnStar and Customer Care and Aftersales of $0.4 billion in GMNA due to increased volumes; (7) increased revenue of $0.3 billion due to the acquisition of GM Strasbourg in GME; (8) increased powertrain engine and transmission sales of $0.3 billion in GME; and (9) favorable foreign currency remeasurement of $0.3 billion in GMNA; partially offset by (10) decreased revenue of $0.6 billion due to the sale of Nexteer in GMNA.</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Automotive Cost of Sales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6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w w:val="90"/>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88"/>
              </w:rPr>
              <w:t>Six Months Ended</w:t>
            </w:r>
          </w:p>
        </w:tc>
        <w:tc>
          <w:tcPr>
            <w:tcW w:w="180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152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3"/>
              </w:rPr>
              <w:t>Six Months Ended</w:t>
            </w:r>
          </w:p>
        </w:tc>
      </w:tr>
      <w:tr>
        <w:trPr>
          <w:trHeight w:val="161"/>
        </w:trPr>
        <w:tc>
          <w:tcPr>
            <w:tcW w:w="3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5"/>
              </w:rPr>
              <w:t>June 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14"/>
                <w:szCs w:val="14"/>
                <w:color w:val="auto"/>
              </w:rPr>
            </w:pPr>
          </w:p>
        </w:tc>
        <w:tc>
          <w:tcPr>
            <w:tcW w:w="170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w w:val="82"/>
              </w:rPr>
              <w:t>2011 vs. 2010 Change</w:t>
            </w:r>
          </w:p>
        </w:tc>
        <w:tc>
          <w:tcPr>
            <w:tcW w:w="100" w:type="dxa"/>
            <w:vAlign w:val="bottom"/>
          </w:tcPr>
          <w:p>
            <w:pPr>
              <w:spacing w:after="0"/>
              <w:rPr>
                <w:sz w:val="14"/>
                <w:szCs w:val="14"/>
                <w:color w:val="auto"/>
              </w:rPr>
            </w:pPr>
          </w:p>
        </w:tc>
        <w:tc>
          <w:tcPr>
            <w:tcW w:w="152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82"/>
              </w:rPr>
              <w:t>2011 vs. 2010 Change</w:t>
            </w:r>
          </w:p>
        </w:tc>
      </w:tr>
      <w:tr>
        <w:trPr>
          <w:trHeight w:val="142"/>
        </w:trPr>
        <w:tc>
          <w:tcPr>
            <w:tcW w:w="3200" w:type="dxa"/>
            <w:vAlign w:val="bottom"/>
            <w:tcBorders>
              <w:bottom w:val="single" w:sz="8" w:color="CCEEFF"/>
            </w:tcBorders>
          </w:tcPr>
          <w:p>
            <w:pPr>
              <w:spacing w:after="0"/>
              <w:rPr>
                <w:sz w:val="12"/>
                <w:szCs w:val="12"/>
                <w:color w:val="auto"/>
              </w:rPr>
            </w:pPr>
          </w:p>
        </w:tc>
        <w:tc>
          <w:tcPr>
            <w:tcW w:w="14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w w:val="96"/>
              </w:rPr>
              <w:t>2011</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w w:val="96"/>
              </w:rPr>
              <w:t>2011</w:t>
            </w:r>
          </w:p>
        </w:tc>
        <w:tc>
          <w:tcPr>
            <w:tcW w:w="2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w w:val="90"/>
              </w:rPr>
              <w:t>Amount</w:t>
            </w:r>
          </w:p>
        </w:tc>
        <w:tc>
          <w:tcPr>
            <w:tcW w:w="28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w w:val="90"/>
              </w:rPr>
              <w:t>Amount</w:t>
            </w:r>
          </w:p>
        </w:tc>
        <w:tc>
          <w:tcPr>
            <w:tcW w:w="28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r>
      <w:tr>
        <w:trPr>
          <w:trHeight w:val="210"/>
        </w:trPr>
        <w:tc>
          <w:tcPr>
            <w:tcW w:w="3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Automotive cost of sales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33,793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28,609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65,478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56,163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5,184</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9,315</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w:t>
            </w:r>
          </w:p>
        </w:tc>
      </w:tr>
      <w:tr>
        <w:trPr>
          <w:trHeight w:val="222"/>
        </w:trPr>
        <w:tc>
          <w:tcPr>
            <w:tcW w:w="3200" w:type="dxa"/>
            <w:vAlign w:val="bottom"/>
          </w:tcPr>
          <w:p>
            <w:pPr>
              <w:spacing w:after="0"/>
              <w:rPr>
                <w:sz w:val="20"/>
                <w:szCs w:val="20"/>
                <w:color w:val="auto"/>
              </w:rPr>
            </w:pPr>
            <w:r>
              <w:rPr>
                <w:rFonts w:ascii="Arial" w:cs="Arial" w:eastAsia="Arial" w:hAnsi="Arial"/>
                <w:sz w:val="18"/>
                <w:szCs w:val="18"/>
                <w:color w:val="auto"/>
              </w:rPr>
              <w:t>Automotive gross margin</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5,250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4,565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9,464</w:t>
            </w:r>
          </w:p>
        </w:tc>
        <w:tc>
          <w:tcPr>
            <w:tcW w:w="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8,487</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685</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15.0%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977</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11.5%</w:t>
            </w:r>
          </w:p>
        </w:tc>
      </w:tr>
      <w:tr>
        <w:trPr>
          <w:trHeight w:val="356"/>
        </w:trPr>
        <w:tc>
          <w:tcPr>
            <w:tcW w:w="3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ind w:right="157"/>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40" w:firstLine="228"/>
        <w:spacing w:after="0" w:line="289" w:lineRule="auto"/>
        <w:rPr>
          <w:sz w:val="20"/>
          <w:szCs w:val="20"/>
          <w:color w:val="auto"/>
        </w:rPr>
      </w:pPr>
      <w:r>
        <w:rPr>
          <w:rFonts w:ascii="Arial" w:cs="Arial" w:eastAsia="Arial" w:hAnsi="Arial"/>
          <w:sz w:val="16"/>
          <w:szCs w:val="16"/>
          <w:color w:val="auto"/>
        </w:rPr>
        <w:t>In the three months ended June 30, 2011 Automotive cost of sales increased by $5.2 billion (or 18.1%), in line with increases in Total net sales and revenue, primarily due to: (1) increased production costs related to wholesale volume increases of $1.9 billion, primarily in GMNA of $1.4 billion and in GMIO of $0.6 billion; (2) unfavorable foreign currency translation effect of $1.4 billion, primarily in GME of $0.7 billion, in GMIO of $0.4 billion and in GMSA of $0.3 billion due to the strengthening of major currencies against the U.S. Dollar; (3) unfavorable vehicle mix of $1.0 billion, primarily in GMNA of $0.6 billion and in GME of $0.3 billion; (4) increased material costs of $0.3 billion, primarily due to higher commodity prices across all regions; (5) increased engineering costs of $0.3 billion to support new product development, primarily in GMNA of $0.2 billion and in GME of $0.1 billion; and (6) unfavorable foreign currency remeasurement of $0.3 billion in GMNA; partially offset by (7) higher restructuring charges in GME of $0.2 billion incurred in the three months ended June 30, 2010 to restructure our European operations.</w:t>
      </w:r>
    </w:p>
    <w:p>
      <w:pPr>
        <w:spacing w:after="0" w:line="118" w:lineRule="exact"/>
        <w:rPr>
          <w:sz w:val="20"/>
          <w:szCs w:val="20"/>
          <w:color w:val="auto"/>
        </w:rPr>
      </w:pPr>
    </w:p>
    <w:p>
      <w:pPr>
        <w:ind w:right="40" w:firstLine="228"/>
        <w:spacing w:after="0" w:line="289" w:lineRule="auto"/>
        <w:rPr>
          <w:sz w:val="20"/>
          <w:szCs w:val="20"/>
          <w:color w:val="auto"/>
        </w:rPr>
      </w:pPr>
      <w:r>
        <w:rPr>
          <w:rFonts w:ascii="Arial" w:cs="Arial" w:eastAsia="Arial" w:hAnsi="Arial"/>
          <w:sz w:val="16"/>
          <w:szCs w:val="16"/>
          <w:color w:val="auto"/>
        </w:rPr>
        <w:t>In the six months ended June 30, 2011 Automotive cost of sales increased by $9.3 billion (or 16.6%), in line with increases in Total net sales and revenue, primarily due to: (1) increased production costs related to wholesale volume increases of $4.2 billion, primarily in GMNA of $3.3 billion and in GMIO of $0.9 billion; (2) unfavorable foreign currency translation effect of $1.8 billion, primarily in GME of $0.8 billion, in GMIO of $0.5 billion and in GMSA of $0.4 billion due to the strengthening of major currencies against the U.S. Dollar; (3) unfavorable vehicle mix of $1.9 billion, primarily in GMNA of $0.9 billion, in GME of $0.6 billion and in GMIO of $0.2 billion; (4) increased engineering costs of $0.7 billion to support new product development, primarily in GMNA of $0.5 billion and in GMIO of $0.2 billion; (5) increased material costs of $0.7 billion, primarily due to higher commodity prices across all regions; and (6) unfavorable foreign currency remeasurement of $0.3 billion in GMNA; partially offset by (7) higher restructuring charges in GME of $0.4 billion incurred in the six months ended June 30, 2010 to restructure our European operations.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Automotive Selling, General and Administrative Expense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6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0"/>
              </w:rPr>
              <w:t>Three Months Ended</w:t>
            </w: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Six Months Ended</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Three Months Ended</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0"/>
              </w:rPr>
              <w:t>Six Months Ended</w:t>
            </w:r>
          </w:p>
        </w:tc>
      </w:tr>
      <w:tr>
        <w:trPr>
          <w:trHeight w:val="161"/>
        </w:trPr>
        <w:tc>
          <w:tcPr>
            <w:tcW w:w="4640" w:type="dxa"/>
            <w:vAlign w:val="bottom"/>
          </w:tcPr>
          <w:p>
            <w:pPr>
              <w:spacing w:after="0"/>
              <w:rPr>
                <w:sz w:val="14"/>
                <w:szCs w:val="14"/>
                <w:color w:val="auto"/>
              </w:rPr>
            </w:pPr>
          </w:p>
        </w:tc>
        <w:tc>
          <w:tcPr>
            <w:tcW w:w="16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5"/>
              </w:rPr>
              <w:t>June 30,</w:t>
            </w: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w w:val="93"/>
              </w:rPr>
              <w:t>2011 vs. 2010 Change</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5"/>
              </w:rPr>
              <w:t>2011 vs. 2010 Change</w:t>
            </w:r>
          </w:p>
        </w:tc>
      </w:tr>
      <w:tr>
        <w:trPr>
          <w:trHeight w:val="142"/>
        </w:trPr>
        <w:tc>
          <w:tcPr>
            <w:tcW w:w="4640" w:type="dxa"/>
            <w:vAlign w:val="bottom"/>
          </w:tcPr>
          <w:p>
            <w:pPr>
              <w:spacing w:after="0"/>
              <w:rPr>
                <w:sz w:val="12"/>
                <w:szCs w:val="12"/>
                <w:color w:val="auto"/>
              </w:rPr>
            </w:pPr>
          </w:p>
        </w:tc>
        <w:tc>
          <w:tcPr>
            <w:tcW w:w="540" w:type="dxa"/>
            <w:vAlign w:val="bottom"/>
            <w:tcBorders>
              <w:top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2"/>
                <w:szCs w:val="12"/>
                <w:color w:val="auto"/>
              </w:rPr>
            </w:pPr>
          </w:p>
        </w:tc>
        <w:tc>
          <w:tcPr>
            <w:tcW w:w="540" w:type="dxa"/>
            <w:vAlign w:val="bottom"/>
            <w:tcBorders>
              <w:top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2011</w:t>
            </w:r>
          </w:p>
        </w:tc>
        <w:tc>
          <w:tcPr>
            <w:tcW w:w="82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520" w:type="dxa"/>
            <w:vAlign w:val="bottom"/>
            <w:tcBorders>
              <w:top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500" w:type="dxa"/>
            <w:vAlign w:val="bottom"/>
            <w:tcBorders>
              <w:top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r>
      <w:tr>
        <w:trPr>
          <w:trHeight w:val="210"/>
        </w:trPr>
        <w:tc>
          <w:tcPr>
            <w:tcW w:w="46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Automotive selling, general and administrative expense</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$ 2,924</w:t>
            </w: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$ 2,623</w:t>
            </w:r>
          </w:p>
        </w:tc>
        <w:tc>
          <w:tcPr>
            <w:tcW w:w="2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$ 5,918</w:t>
            </w:r>
          </w:p>
        </w:tc>
        <w:tc>
          <w:tcPr>
            <w:tcW w:w="2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$ 5,307</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11.5%</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11.5%</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54" w:lineRule="exact"/>
        <w:rPr>
          <w:sz w:val="20"/>
          <w:szCs w:val="20"/>
          <w:color w:val="auto"/>
        </w:rPr>
      </w:pPr>
    </w:p>
    <w:p>
      <w:pPr>
        <w:ind w:right="20" w:firstLine="228"/>
        <w:spacing w:after="0" w:line="259" w:lineRule="auto"/>
        <w:rPr>
          <w:sz w:val="20"/>
          <w:szCs w:val="20"/>
          <w:color w:val="auto"/>
        </w:rPr>
      </w:pPr>
      <w:r>
        <w:rPr>
          <w:rFonts w:ascii="Arial" w:cs="Arial" w:eastAsia="Arial" w:hAnsi="Arial"/>
          <w:sz w:val="18"/>
          <w:szCs w:val="18"/>
          <w:color w:val="auto"/>
        </w:rPr>
        <w:t>In the three months ended June 30, 2011 Automotive selling, general and administrative expense increased by $0.3 billion (or 11.5%), primarily due to increased advertising and sales promotion expenses of $0.2 billion, primarily in GMNA of $0.1 billion to support media campaigns and new product launches and increased administrative expense of $0.1 billion.</w:t>
      </w:r>
    </w:p>
    <w:p>
      <w:pPr>
        <w:spacing w:after="0" w:line="140" w:lineRule="exact"/>
        <w:rPr>
          <w:sz w:val="20"/>
          <w:szCs w:val="20"/>
          <w:color w:val="auto"/>
        </w:rPr>
      </w:pPr>
    </w:p>
    <w:p>
      <w:pPr>
        <w:ind w:right="40" w:firstLine="228"/>
        <w:spacing w:after="0" w:line="306" w:lineRule="auto"/>
        <w:rPr>
          <w:sz w:val="20"/>
          <w:szCs w:val="20"/>
          <w:color w:val="auto"/>
        </w:rPr>
      </w:pPr>
      <w:r>
        <w:rPr>
          <w:rFonts w:ascii="Arial" w:cs="Arial" w:eastAsia="Arial" w:hAnsi="Arial"/>
          <w:sz w:val="16"/>
          <w:szCs w:val="16"/>
          <w:color w:val="auto"/>
        </w:rPr>
        <w:t>In the six months ended June 30, 2011 Automotive selling, general and administrative expense increased by $0.6 billion (or 11.5%), primarily due to increased advertising and sales promotion expenses of $0.4 billion, primarily in GMNA of $0.3 billion and in GMIO of $0.1 billion to support media campaigns and new product launches. We also reserved $0.1 billion, primarily in GME, for a single customer due to their default under commercial supply agreements.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 Impairment Charges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6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Six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tcPr>
          <w:p>
            <w:pPr>
              <w:jc w:val="center"/>
              <w:ind w:left="127"/>
              <w:spacing w:after="0"/>
              <w:rPr>
                <w:sz w:val="20"/>
                <w:szCs w:val="20"/>
                <w:color w:val="auto"/>
              </w:rPr>
            </w:pPr>
            <w:r>
              <w:rPr>
                <w:rFonts w:ascii="Arial" w:cs="Arial" w:eastAsia="Arial" w:hAnsi="Arial"/>
                <w:sz w:val="14"/>
                <w:szCs w:val="14"/>
                <w:b w:val="1"/>
                <w:bCs w:val="1"/>
                <w:color w:val="auto"/>
                <w:w w:val="87"/>
              </w:rPr>
              <w:t>Six Months Ended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7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gridSpan w:val="2"/>
          </w:tcPr>
          <w:p>
            <w:pPr>
              <w:jc w:val="center"/>
              <w:ind w:right="32"/>
              <w:spacing w:after="0"/>
              <w:rPr>
                <w:sz w:val="20"/>
                <w:szCs w:val="20"/>
                <w:color w:val="auto"/>
              </w:rPr>
            </w:pPr>
            <w:r>
              <w:rPr>
                <w:rFonts w:ascii="Arial" w:cs="Arial" w:eastAsia="Arial" w:hAnsi="Arial"/>
                <w:sz w:val="14"/>
                <w:szCs w:val="14"/>
                <w:b w:val="1"/>
                <w:bCs w:val="1"/>
                <w:color w:val="auto"/>
                <w:w w:val="85"/>
              </w:rPr>
              <w:t>June 30,</w:t>
            </w: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4"/>
              </w:rPr>
              <w:t>2011 vs. 2010 Change</w:t>
            </w:r>
          </w:p>
        </w:tc>
      </w:tr>
      <w:tr>
        <w:trPr>
          <w:trHeight w:val="142"/>
        </w:trPr>
        <w:tc>
          <w:tcPr>
            <w:tcW w:w="7400" w:type="dxa"/>
            <w:vAlign w:val="bottom"/>
          </w:tcPr>
          <w:p>
            <w:pPr>
              <w:spacing w:after="0"/>
              <w:rPr>
                <w:sz w:val="12"/>
                <w:szCs w:val="12"/>
                <w:color w:val="auto"/>
              </w:rPr>
            </w:pPr>
          </w:p>
        </w:tc>
        <w:tc>
          <w:tcPr>
            <w:tcW w:w="540" w:type="dxa"/>
            <w:vAlign w:val="bottom"/>
            <w:tcBorders>
              <w:top w:val="single" w:sz="8" w:color="auto"/>
            </w:tcBorders>
          </w:tcPr>
          <w:p>
            <w:pPr>
              <w:jc w:val="right"/>
              <w:ind w:right="66"/>
              <w:spacing w:after="0" w:line="142" w:lineRule="exact"/>
              <w:rPr>
                <w:sz w:val="20"/>
                <w:szCs w:val="20"/>
                <w:color w:val="auto"/>
              </w:rPr>
            </w:pPr>
            <w:r>
              <w:rPr>
                <w:rFonts w:ascii="Arial" w:cs="Arial" w:eastAsia="Arial" w:hAnsi="Arial"/>
                <w:sz w:val="14"/>
                <w:szCs w:val="14"/>
                <w:b w:val="1"/>
                <w:bCs w:val="1"/>
                <w:color w:val="auto"/>
              </w:rPr>
              <w:t>2011</w:t>
            </w:r>
          </w:p>
        </w:tc>
        <w:tc>
          <w:tcPr>
            <w:tcW w:w="5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w w:val="83"/>
              </w:rPr>
              <w:t>2010</w:t>
            </w:r>
          </w:p>
        </w:tc>
        <w:tc>
          <w:tcPr>
            <w:tcW w:w="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30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r>
      <w:tr>
        <w:trPr>
          <w:trHeight w:val="210"/>
        </w:trPr>
        <w:tc>
          <w:tcPr>
            <w:tcW w:w="7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Goodwill impairment charges</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395</w:t>
            </w: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73"/>
              </w:rPr>
              <w:t>n.a.</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n.a. = not applicable</w:t>
      </w:r>
    </w:p>
    <w:p>
      <w:pPr>
        <w:spacing w:after="0" w:line="171" w:lineRule="exact"/>
        <w:rPr>
          <w:sz w:val="20"/>
          <w:szCs w:val="20"/>
          <w:color w:val="auto"/>
        </w:rPr>
      </w:pPr>
    </w:p>
    <w:p>
      <w:pPr>
        <w:jc w:val="both"/>
        <w:ind w:right="20" w:firstLine="228"/>
        <w:spacing w:after="0" w:line="332" w:lineRule="auto"/>
        <w:rPr>
          <w:sz w:val="20"/>
          <w:szCs w:val="20"/>
          <w:color w:val="auto"/>
        </w:rPr>
      </w:pPr>
      <w:r>
        <w:rPr>
          <w:rFonts w:ascii="Arial" w:cs="Arial" w:eastAsia="Arial" w:hAnsi="Arial"/>
          <w:sz w:val="16"/>
          <w:szCs w:val="16"/>
          <w:color w:val="auto"/>
        </w:rPr>
        <w:t>In the six months ended June 30, 2011 Goodwill impairment charges increased by $0.4 billion due to Goodwill impairment charges recorded in GME. Refer to Notes 2 and 9 to our condensed consolidated financial statements for additional information related to our Goodwill impairment charges.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Automotive Interest Expense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6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760" w:type="dxa"/>
            <w:vAlign w:val="bottom"/>
            <w:gridSpan w:val="5"/>
          </w:tcPr>
          <w:p>
            <w:pPr>
              <w:ind w:left="18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1900" w:type="dxa"/>
            <w:vAlign w:val="bottom"/>
            <w:gridSpan w:val="4"/>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660" w:type="dxa"/>
            <w:vAlign w:val="bottom"/>
            <w:gridSpan w:val="4"/>
          </w:tcPr>
          <w:p>
            <w:pPr>
              <w:ind w:left="12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3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4"/>
          </w:tcPr>
          <w:p>
            <w:pPr>
              <w:ind w:left="20"/>
              <w:spacing w:after="0"/>
              <w:rPr>
                <w:sz w:val="20"/>
                <w:szCs w:val="20"/>
                <w:color w:val="auto"/>
              </w:rPr>
            </w:pPr>
            <w:r>
              <w:rPr>
                <w:rFonts w:ascii="Arial" w:cs="Arial" w:eastAsia="Arial" w:hAnsi="Arial"/>
                <w:sz w:val="14"/>
                <w:szCs w:val="14"/>
                <w:b w:val="1"/>
                <w:bCs w:val="1"/>
                <w:color w:val="auto"/>
              </w:rPr>
              <w:t>2011 vs. 2010 Change</w:t>
            </w:r>
          </w:p>
        </w:tc>
        <w:tc>
          <w:tcPr>
            <w:tcW w:w="100" w:type="dxa"/>
            <w:vAlign w:val="bottom"/>
          </w:tcPr>
          <w:p>
            <w:pPr>
              <w:spacing w:after="0"/>
              <w:rPr>
                <w:sz w:val="14"/>
                <w:szCs w:val="14"/>
                <w:color w:val="auto"/>
              </w:rPr>
            </w:pPr>
          </w:p>
        </w:tc>
        <w:tc>
          <w:tcPr>
            <w:tcW w:w="1660" w:type="dxa"/>
            <w:vAlign w:val="bottom"/>
            <w:gridSpan w:val="4"/>
          </w:tcPr>
          <w:p>
            <w:pPr>
              <w:ind w:left="20"/>
              <w:spacing w:after="0"/>
              <w:rPr>
                <w:sz w:val="20"/>
                <w:szCs w:val="20"/>
                <w:color w:val="auto"/>
              </w:rPr>
            </w:pPr>
            <w:r>
              <w:rPr>
                <w:rFonts w:ascii="Arial" w:cs="Arial" w:eastAsia="Arial" w:hAnsi="Arial"/>
                <w:sz w:val="14"/>
                <w:szCs w:val="14"/>
                <w:b w:val="1"/>
                <w:bCs w:val="1"/>
                <w:color w:val="auto"/>
              </w:rPr>
              <w:t>2011 vs. 2010 Change</w:t>
            </w:r>
          </w:p>
        </w:tc>
      </w:tr>
      <w:tr>
        <w:trPr>
          <w:trHeight w:val="142"/>
        </w:trPr>
        <w:tc>
          <w:tcPr>
            <w:tcW w:w="3080" w:type="dxa"/>
            <w:vAlign w:val="bottom"/>
            <w:tcBorders>
              <w:bottom w:val="single" w:sz="8" w:color="CCEEFF"/>
            </w:tcBorders>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w w:val="83"/>
              </w:rPr>
              <w:t>2010</w:t>
            </w:r>
          </w:p>
        </w:tc>
        <w:tc>
          <w:tcPr>
            <w:tcW w:w="34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w w:val="89"/>
              </w:rPr>
              <w:t>2010</w:t>
            </w:r>
          </w:p>
        </w:tc>
        <w:tc>
          <w:tcPr>
            <w:tcW w:w="3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34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34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r>
      <w:tr>
        <w:trPr>
          <w:trHeight w:val="210"/>
        </w:trPr>
        <w:tc>
          <w:tcPr>
            <w:tcW w:w="3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Automotive interest expense</w:t>
            </w:r>
          </w:p>
        </w:tc>
        <w:tc>
          <w:tcPr>
            <w:tcW w:w="10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155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304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(38.0)%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(48.2)%</w:t>
            </w:r>
          </w:p>
        </w:tc>
      </w:tr>
    </w:tbl>
    <w:p>
      <w:pPr>
        <w:spacing w:after="0" w:line="154" w:lineRule="exact"/>
        <w:rPr>
          <w:sz w:val="20"/>
          <w:szCs w:val="20"/>
          <w:color w:val="auto"/>
        </w:rPr>
      </w:pPr>
    </w:p>
    <w:p>
      <w:pPr>
        <w:ind w:right="240" w:firstLine="228"/>
        <w:spacing w:after="0" w:line="298" w:lineRule="auto"/>
        <w:rPr>
          <w:sz w:val="20"/>
          <w:szCs w:val="20"/>
          <w:color w:val="auto"/>
        </w:rPr>
      </w:pPr>
      <w:r>
        <w:rPr>
          <w:rFonts w:ascii="Arial" w:cs="Arial" w:eastAsia="Arial" w:hAnsi="Arial"/>
          <w:sz w:val="16"/>
          <w:szCs w:val="16"/>
          <w:color w:val="auto"/>
        </w:rPr>
        <w:t>In the three months ended June 30, 2011 Automotive interest expense decreased by $0.1 billion (or 38.0%), primarily due to the reduction in global average debt of $9.7 billion in the three months ended June 30, 2010 to $5.0 billion in the three months ended June 30, 2011 driven by the repayment in 2010 of loans, which we assumed upon entering into agreements with the United States Department of the Treasury (UST Loans) and the Canadian government (Canadian Loan) and notes issued to the UAW Retiree Medical Benefits Trust (VEBA Notes).</w:t>
      </w:r>
    </w:p>
    <w:p>
      <w:pPr>
        <w:spacing w:after="0" w:line="113" w:lineRule="exact"/>
        <w:rPr>
          <w:sz w:val="20"/>
          <w:szCs w:val="20"/>
          <w:color w:val="auto"/>
        </w:rPr>
      </w:pPr>
    </w:p>
    <w:p>
      <w:pPr>
        <w:jc w:val="both"/>
        <w:ind w:right="20" w:firstLine="228"/>
        <w:spacing w:after="0" w:line="259" w:lineRule="auto"/>
        <w:rPr>
          <w:sz w:val="20"/>
          <w:szCs w:val="20"/>
          <w:color w:val="auto"/>
        </w:rPr>
      </w:pPr>
      <w:r>
        <w:rPr>
          <w:rFonts w:ascii="Arial" w:cs="Arial" w:eastAsia="Arial" w:hAnsi="Arial"/>
          <w:sz w:val="18"/>
          <w:szCs w:val="18"/>
          <w:color w:val="auto"/>
        </w:rPr>
        <w:t>In the six months ended June 30, 2011 Automotive interest expense decreased by $0.3 billion (or 48.2%), primarily due to the reduction in global average debt of $12.2 billion in the six months ended June 30, 2010 to $4.9 billion in the six months ended June 30, 2011 driven by the repayment of the UST Loans, Canadian Loan and VEBA Notes.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Income and Other Non-Operating Income (Expense), net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64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1780" w:type="dxa"/>
            <w:vAlign w:val="bottom"/>
            <w:gridSpan w:val="5"/>
          </w:tcPr>
          <w:p>
            <w:pPr>
              <w:ind w:left="18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1740" w:type="dxa"/>
            <w:vAlign w:val="bottom"/>
            <w:gridSpan w:val="4"/>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680" w:type="dxa"/>
            <w:vAlign w:val="bottom"/>
            <w:gridSpan w:val="4"/>
          </w:tcPr>
          <w:p>
            <w:pPr>
              <w:ind w:left="20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4200" w:type="dxa"/>
            <w:vAlign w:val="bottom"/>
          </w:tcPr>
          <w:p>
            <w:pPr>
              <w:spacing w:after="0"/>
              <w:rPr>
                <w:sz w:val="14"/>
                <w:szCs w:val="14"/>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4"/>
          </w:tcPr>
          <w:p>
            <w:pPr>
              <w:ind w:left="20"/>
              <w:spacing w:after="0"/>
              <w:rPr>
                <w:sz w:val="20"/>
                <w:szCs w:val="20"/>
                <w:color w:val="auto"/>
              </w:rPr>
            </w:pPr>
            <w:r>
              <w:rPr>
                <w:rFonts w:ascii="Arial" w:cs="Arial" w:eastAsia="Arial" w:hAnsi="Arial"/>
                <w:sz w:val="14"/>
                <w:szCs w:val="14"/>
                <w:b w:val="1"/>
                <w:bCs w:val="1"/>
                <w:color w:val="auto"/>
              </w:rPr>
              <w:t>2011 vs. 2010 Change</w:t>
            </w:r>
          </w:p>
        </w:tc>
        <w:tc>
          <w:tcPr>
            <w:tcW w:w="120" w:type="dxa"/>
            <w:vAlign w:val="bottom"/>
          </w:tcPr>
          <w:p>
            <w:pPr>
              <w:spacing w:after="0"/>
              <w:rPr>
                <w:sz w:val="14"/>
                <w:szCs w:val="14"/>
                <w:color w:val="auto"/>
              </w:rPr>
            </w:pPr>
          </w:p>
        </w:tc>
        <w:tc>
          <w:tcPr>
            <w:tcW w:w="168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1"/>
              </w:rPr>
              <w:t>2011 vs. 2010 Change</w:t>
            </w:r>
          </w:p>
        </w:tc>
      </w:tr>
      <w:tr>
        <w:trPr>
          <w:trHeight w:val="142"/>
        </w:trPr>
        <w:tc>
          <w:tcPr>
            <w:tcW w:w="4200" w:type="dxa"/>
            <w:vAlign w:val="bottom"/>
          </w:tcPr>
          <w:p>
            <w:pPr>
              <w:spacing w:after="0"/>
              <w:rPr>
                <w:sz w:val="12"/>
                <w:szCs w:val="12"/>
                <w:color w:val="auto"/>
              </w:rPr>
            </w:pPr>
          </w:p>
        </w:tc>
        <w:tc>
          <w:tcPr>
            <w:tcW w:w="540" w:type="dxa"/>
            <w:vAlign w:val="bottom"/>
            <w:tcBorders>
              <w:top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w w:val="83"/>
              </w:rPr>
              <w:t>2010</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w w:val="83"/>
              </w:rPr>
              <w:t>2010</w:t>
            </w:r>
          </w:p>
        </w:tc>
        <w:tc>
          <w:tcPr>
            <w:tcW w:w="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42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w w:val="86"/>
              </w:rPr>
              <w:t>Amount</w:t>
            </w:r>
          </w:p>
        </w:tc>
        <w:tc>
          <w:tcPr>
            <w:tcW w:w="600" w:type="dxa"/>
            <w:vAlign w:val="bottom"/>
            <w:tcBorders>
              <w:top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r>
      <w:tr>
        <w:trPr>
          <w:trHeight w:val="188"/>
        </w:trPr>
        <w:tc>
          <w:tcPr>
            <w:tcW w:w="420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rPr>
              <w:t>Interest income and other non-operating income</w:t>
            </w:r>
          </w:p>
        </w:tc>
        <w:tc>
          <w:tcPr>
            <w:tcW w:w="54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24"/>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(expense), net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  308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912</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399</w:t>
            </w:r>
          </w:p>
        </w:tc>
        <w:tc>
          <w:tcPr>
            <w:tcW w:w="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n.m.</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155.5%</w:t>
            </w:r>
          </w:p>
        </w:tc>
        <w:tc>
          <w:tcPr>
            <w:tcW w:w="100" w:type="dxa"/>
            <w:vAlign w:val="bottom"/>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71" w:lineRule="exact"/>
        <w:rPr>
          <w:sz w:val="20"/>
          <w:szCs w:val="20"/>
          <w:color w:val="auto"/>
        </w:rPr>
      </w:pPr>
    </w:p>
    <w:p>
      <w:pPr>
        <w:ind w:right="220" w:firstLine="228"/>
        <w:spacing w:after="0" w:line="268" w:lineRule="auto"/>
        <w:rPr>
          <w:sz w:val="20"/>
          <w:szCs w:val="20"/>
          <w:color w:val="auto"/>
        </w:rPr>
      </w:pPr>
      <w:r>
        <w:rPr>
          <w:rFonts w:ascii="Arial" w:cs="Arial" w:eastAsia="Arial" w:hAnsi="Arial"/>
          <w:sz w:val="18"/>
          <w:szCs w:val="18"/>
          <w:color w:val="auto"/>
        </w:rPr>
        <w:t>In the three months ended June 30, 2011 Interest income and other non-operating income (expense), net increased by $0.4 billion primarily due to increased derivative gains of $0.2 billion and lower net foreign exchange losses of $0.1 billion on debt balances.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the six months ended June 30, 2011 Interest income and other non-operating income (expense), net increased by $0.6 billion (or 155.5%), primarily due to:</w:t>
      </w:r>
    </w:p>
    <w:p>
      <w:pPr>
        <w:spacing w:after="0" w:line="38" w:lineRule="exact"/>
        <w:rPr>
          <w:sz w:val="20"/>
          <w:szCs w:val="20"/>
          <w:color w:val="auto"/>
        </w:rPr>
      </w:pPr>
    </w:p>
    <w:p>
      <w:pPr>
        <w:ind w:right="560" w:firstLine="8"/>
        <w:spacing w:after="0" w:line="261" w:lineRule="auto"/>
        <w:tabs>
          <w:tab w:leader="none" w:pos="249"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gain of $0.3 billion recorded on the sale of our Ally Financial preferred stock; (2) increased derivative gains of $0.2 billion; and (3) lower net foreign exchange losses of $0.1 billion on debt balances.</w:t>
      </w:r>
    </w:p>
    <w:p>
      <w:pPr>
        <w:spacing w:after="0" w:line="13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680" w:type="dxa"/>
            <w:vAlign w:val="bottom"/>
            <w:gridSpan w:val="5"/>
          </w:tcPr>
          <w:p>
            <w:pPr>
              <w:ind w:left="80"/>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4"/>
                <w:szCs w:val="14"/>
                <w:color w:val="auto"/>
              </w:rPr>
            </w:pPr>
          </w:p>
        </w:tc>
        <w:tc>
          <w:tcPr>
            <w:tcW w:w="1740" w:type="dxa"/>
            <w:vAlign w:val="bottom"/>
            <w:gridSpan w:val="4"/>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680" w:type="dxa"/>
            <w:vAlign w:val="bottom"/>
            <w:gridSpan w:val="4"/>
          </w:tcPr>
          <w:p>
            <w:pPr>
              <w:ind w:left="12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3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4"/>
          </w:tcPr>
          <w:p>
            <w:pPr>
              <w:ind w:left="20"/>
              <w:spacing w:after="0"/>
              <w:rPr>
                <w:sz w:val="20"/>
                <w:szCs w:val="20"/>
                <w:color w:val="auto"/>
              </w:rPr>
            </w:pPr>
            <w:r>
              <w:rPr>
                <w:rFonts w:ascii="Arial" w:cs="Arial" w:eastAsia="Arial" w:hAnsi="Arial"/>
                <w:sz w:val="14"/>
                <w:szCs w:val="14"/>
                <w:b w:val="1"/>
                <w:bCs w:val="1"/>
                <w:color w:val="auto"/>
              </w:rPr>
              <w:t>2011 vs. 2010 Change</w:t>
            </w:r>
          </w:p>
        </w:tc>
        <w:tc>
          <w:tcPr>
            <w:tcW w:w="100" w:type="dxa"/>
            <w:vAlign w:val="bottom"/>
          </w:tcPr>
          <w:p>
            <w:pPr>
              <w:spacing w:after="0"/>
              <w:rPr>
                <w:sz w:val="14"/>
                <w:szCs w:val="14"/>
                <w:color w:val="auto"/>
              </w:rPr>
            </w:pPr>
          </w:p>
        </w:tc>
        <w:tc>
          <w:tcPr>
            <w:tcW w:w="1680" w:type="dxa"/>
            <w:vAlign w:val="bottom"/>
            <w:gridSpan w:val="4"/>
          </w:tcPr>
          <w:p>
            <w:pPr>
              <w:ind w:left="20"/>
              <w:spacing w:after="0"/>
              <w:rPr>
                <w:sz w:val="20"/>
                <w:szCs w:val="20"/>
                <w:color w:val="auto"/>
              </w:rPr>
            </w:pPr>
            <w:r>
              <w:rPr>
                <w:rFonts w:ascii="Arial" w:cs="Arial" w:eastAsia="Arial" w:hAnsi="Arial"/>
                <w:sz w:val="14"/>
                <w:szCs w:val="14"/>
                <w:b w:val="1"/>
                <w:bCs w:val="1"/>
                <w:color w:val="auto"/>
              </w:rPr>
              <w:t>2011 vs. 2010 Change</w:t>
            </w:r>
          </w:p>
        </w:tc>
      </w:tr>
      <w:tr>
        <w:trPr>
          <w:trHeight w:val="142"/>
        </w:trPr>
        <w:tc>
          <w:tcPr>
            <w:tcW w:w="3140" w:type="dxa"/>
            <w:vAlign w:val="bottom"/>
            <w:tcBorders>
              <w:bottom w:val="single" w:sz="8" w:color="CCEEFF"/>
            </w:tcBorders>
          </w:tcPr>
          <w:p>
            <w:pPr>
              <w:spacing w:after="0"/>
              <w:rPr>
                <w:sz w:val="12"/>
                <w:szCs w:val="12"/>
                <w:color w:val="auto"/>
              </w:rPr>
            </w:pPr>
          </w:p>
        </w:tc>
        <w:tc>
          <w:tcPr>
            <w:tcW w:w="110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47"/>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w w:val="83"/>
              </w:rPr>
              <w:t>2010</w:t>
            </w:r>
          </w:p>
        </w:tc>
        <w:tc>
          <w:tcPr>
            <w:tcW w:w="3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w w:val="89"/>
              </w:rPr>
              <w:t>2011</w:t>
            </w:r>
          </w:p>
        </w:tc>
        <w:tc>
          <w:tcPr>
            <w:tcW w:w="3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w w:val="83"/>
              </w:rPr>
              <w:t>2010</w:t>
            </w:r>
          </w:p>
        </w:tc>
        <w:tc>
          <w:tcPr>
            <w:tcW w:w="3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Amount</w:t>
            </w:r>
          </w:p>
        </w:tc>
        <w:tc>
          <w:tcPr>
            <w:tcW w:w="34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36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r>
      <w:tr>
        <w:trPr>
          <w:trHeight w:val="210"/>
        </w:trPr>
        <w:tc>
          <w:tcPr>
            <w:tcW w:w="3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expense (benefit)</w:t>
            </w:r>
          </w:p>
        </w:tc>
        <w:tc>
          <w:tcPr>
            <w:tcW w:w="1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(61)</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(91.3)%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71" w:lineRule="exact"/>
        <w:rPr>
          <w:sz w:val="20"/>
          <w:szCs w:val="20"/>
          <w:color w:val="auto"/>
        </w:rPr>
      </w:pPr>
    </w:p>
    <w:p>
      <w:pPr>
        <w:jc w:val="both"/>
        <w:ind w:right="260" w:firstLine="228"/>
        <w:spacing w:after="0" w:line="306" w:lineRule="auto"/>
        <w:rPr>
          <w:sz w:val="20"/>
          <w:szCs w:val="20"/>
          <w:color w:val="auto"/>
        </w:rPr>
      </w:pPr>
      <w:r>
        <w:rPr>
          <w:rFonts w:ascii="Arial" w:cs="Arial" w:eastAsia="Arial" w:hAnsi="Arial"/>
          <w:sz w:val="16"/>
          <w:szCs w:val="16"/>
          <w:color w:val="auto"/>
        </w:rPr>
        <w:t>In the three months ended June 30, 2011 Income tax benefit was $0.1 billion compared to income tax expense of $0.4 billion in the corresponding period in 2010. This decrease in tax expense is primarily due to recognition of previously unrecognized tax benefits of $0.3 billion. This decrease included reductions to interest expense of $0.1 billion and to valuation allowances of $0.1 billion associated with these previously unrecognized tax benefits.</w:t>
      </w:r>
    </w:p>
    <w:p>
      <w:pPr>
        <w:spacing w:after="0" w:line="107" w:lineRule="exact"/>
        <w:rPr>
          <w:sz w:val="20"/>
          <w:szCs w:val="20"/>
          <w:color w:val="auto"/>
        </w:rPr>
      </w:pPr>
    </w:p>
    <w:p>
      <w:pPr>
        <w:ind w:right="40" w:firstLine="228"/>
        <w:spacing w:after="0" w:line="298" w:lineRule="auto"/>
        <w:rPr>
          <w:sz w:val="20"/>
          <w:szCs w:val="20"/>
          <w:color w:val="auto"/>
        </w:rPr>
      </w:pPr>
      <w:r>
        <w:rPr>
          <w:rFonts w:ascii="Arial" w:cs="Arial" w:eastAsia="Arial" w:hAnsi="Arial"/>
          <w:sz w:val="16"/>
          <w:szCs w:val="16"/>
          <w:color w:val="auto"/>
        </w:rPr>
        <w:t>In the six months ended June 30, 2011 Income tax expense decreased by $0.8 billion (or 91.3%), primarily due to: (1) decrease in tax expense attributable to entities included in our effective tax rate calculation of $0.3 billion; (2) decrease in tax expense due to recognition of previously unrecognized tax benefits of $0.3 billion, which includes reductions to interest expense of $0.1 billion and to valuation allowances of $0.1 billion; and (3) decrease in tax expense attributable to a taxable foreign currency gain in Venezuela of $0.1 billion recorded in the six months ended June 30, 2010.</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620" w:firstLine="228"/>
        <w:spacing w:after="0" w:line="268" w:lineRule="auto"/>
        <w:rPr>
          <w:sz w:val="20"/>
          <w:szCs w:val="20"/>
          <w:color w:val="auto"/>
        </w:rPr>
      </w:pPr>
      <w:r>
        <w:rPr>
          <w:rFonts w:ascii="Arial" w:cs="Arial" w:eastAsia="Arial" w:hAnsi="Arial"/>
          <w:sz w:val="18"/>
          <w:szCs w:val="18"/>
          <w:color w:val="auto"/>
        </w:rPr>
        <w:t>The recorded effective tax rate is lower than the applicable statutory tax rate, primarily due to income earned in jurisdictions for which a full valuation allowance is recorded.</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Equity Income, net of tax and Gain on Disposal of Investments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88"/>
              </w:rPr>
              <w:t>Three Months Ended</w:t>
            </w:r>
          </w:p>
        </w:tc>
        <w:tc>
          <w:tcPr>
            <w:tcW w:w="120" w:type="dxa"/>
            <w:vAlign w:val="bottom"/>
          </w:tcPr>
          <w:p>
            <w:pPr>
              <w:spacing w:after="0"/>
              <w:rPr>
                <w:sz w:val="14"/>
                <w:szCs w:val="14"/>
                <w:color w:val="auto"/>
              </w:rPr>
            </w:pPr>
          </w:p>
        </w:tc>
        <w:tc>
          <w:tcPr>
            <w:tcW w:w="150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2"/>
              </w:rPr>
              <w:t>Six Months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w w:val="92"/>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11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w w:val="89"/>
              </w:rPr>
              <w:t>2011 vs. 2010 Change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1"/>
              </w:rPr>
              <w:t>2011 vs. 2010 Change</w:t>
            </w:r>
          </w:p>
        </w:tc>
      </w:tr>
      <w:tr>
        <w:trPr>
          <w:trHeight w:val="142"/>
        </w:trPr>
        <w:tc>
          <w:tcPr>
            <w:tcW w:w="11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w w:val="89"/>
              </w:rPr>
              <w:t>2011</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2010</w:t>
            </w:r>
          </w:p>
        </w:tc>
        <w:tc>
          <w:tcPr>
            <w:tcW w:w="3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w w:val="89"/>
              </w:rPr>
              <w:t>2011</w:t>
            </w:r>
          </w:p>
        </w:tc>
        <w:tc>
          <w:tcPr>
            <w:tcW w:w="3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2010</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w w:val="90"/>
              </w:rPr>
              <w:t>Amount</w:t>
            </w:r>
          </w:p>
        </w:tc>
        <w:tc>
          <w:tcPr>
            <w:tcW w:w="52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w w:val="90"/>
              </w:rPr>
              <w:t>Amount</w:t>
            </w:r>
          </w:p>
        </w:tc>
        <w:tc>
          <w:tcPr>
            <w:tcW w:w="500" w:type="dxa"/>
            <w:vAlign w:val="bottom"/>
            <w:tcBorders>
              <w:top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r>
      <w:tr>
        <w:trPr>
          <w:trHeight w:val="210"/>
        </w:trPr>
        <w:tc>
          <w:tcPr>
            <w:tcW w:w="40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China JVs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3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New Delphi</w:t>
            </w: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1,727</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(39)</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1,653</w:t>
            </w:r>
          </w:p>
        </w:tc>
        <w:tc>
          <w:tcPr>
            <w:tcW w:w="3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equity interests</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n.m.</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r>
      <w:tr>
        <w:trPr>
          <w:trHeight w:val="215"/>
        </w:trPr>
        <w:tc>
          <w:tcPr>
            <w:tcW w:w="4040" w:type="dxa"/>
            <w:vAlign w:val="bottom"/>
            <w:gridSpan w:val="2"/>
          </w:tcPr>
          <w:p>
            <w:pPr>
              <w:spacing w:after="0"/>
              <w:rPr>
                <w:sz w:val="20"/>
                <w:szCs w:val="20"/>
                <w:color w:val="auto"/>
              </w:rPr>
            </w:pPr>
            <w:r>
              <w:rPr>
                <w:rFonts w:ascii="Arial" w:cs="Arial" w:eastAsia="Arial" w:hAnsi="Arial"/>
                <w:sz w:val="18"/>
                <w:szCs w:val="18"/>
                <w:color w:val="auto"/>
                <w:w w:val="97"/>
              </w:rPr>
              <w:t>Total equity income, net of tax and gain on disposal</w:t>
            </w: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4040" w:type="dxa"/>
            <w:vAlign w:val="bottom"/>
            <w:gridSpan w:val="2"/>
          </w:tcPr>
          <w:p>
            <w:pPr>
              <w:ind w:left="220"/>
              <w:spacing w:after="0"/>
              <w:rPr>
                <w:sz w:val="20"/>
                <w:szCs w:val="20"/>
                <w:color w:val="auto"/>
              </w:rPr>
            </w:pPr>
            <w:r>
              <w:rPr>
                <w:rFonts w:ascii="Arial" w:cs="Arial" w:eastAsia="Arial" w:hAnsi="Arial"/>
                <w:sz w:val="18"/>
                <w:szCs w:val="18"/>
                <w:color w:val="auto"/>
              </w:rPr>
              <w:t>of investments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382</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411</w:t>
            </w:r>
          </w:p>
        </w:tc>
        <w:tc>
          <w:tcPr>
            <w:tcW w:w="3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2,526</w:t>
            </w:r>
          </w:p>
        </w:tc>
        <w:tc>
          <w:tcPr>
            <w:tcW w:w="3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814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(29)</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1,712</w:t>
            </w:r>
          </w:p>
        </w:tc>
        <w:tc>
          <w:tcPr>
            <w:tcW w:w="36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r>
      <w:tr>
        <w:trPr>
          <w:trHeight w:val="20"/>
        </w:trPr>
        <w:tc>
          <w:tcPr>
            <w:tcW w:w="11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2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71" w:lineRule="exact"/>
        <w:rPr>
          <w:sz w:val="20"/>
          <w:szCs w:val="20"/>
          <w:color w:val="auto"/>
        </w:rPr>
      </w:pPr>
    </w:p>
    <w:p>
      <w:pPr>
        <w:ind w:right="220" w:firstLine="228"/>
        <w:spacing w:after="0" w:line="268" w:lineRule="auto"/>
        <w:rPr>
          <w:sz w:val="20"/>
          <w:szCs w:val="20"/>
          <w:color w:val="auto"/>
        </w:rPr>
      </w:pPr>
      <w:r>
        <w:rPr>
          <w:rFonts w:ascii="Arial" w:cs="Arial" w:eastAsia="Arial" w:hAnsi="Arial"/>
          <w:sz w:val="18"/>
          <w:szCs w:val="18"/>
          <w:color w:val="auto"/>
        </w:rPr>
        <w:t>In the three months ended June 30, 2011 Equity income, net of tax and gain on disposal of investments decreased by $29 million or (7.1%), primarily due to the sale of our Delphi Automotive LLP (New Delphi) Class A Membership Interests in GMNA in March 2011.</w:t>
      </w:r>
    </w:p>
    <w:p>
      <w:pPr>
        <w:spacing w:after="0" w:line="132" w:lineRule="exact"/>
        <w:rPr>
          <w:sz w:val="20"/>
          <w:szCs w:val="20"/>
          <w:color w:val="auto"/>
        </w:rPr>
      </w:pPr>
    </w:p>
    <w:p>
      <w:pPr>
        <w:jc w:val="both"/>
        <w:ind w:right="140" w:firstLine="228"/>
        <w:spacing w:after="0" w:line="259" w:lineRule="auto"/>
        <w:rPr>
          <w:sz w:val="20"/>
          <w:szCs w:val="20"/>
          <w:color w:val="auto"/>
        </w:rPr>
      </w:pPr>
      <w:r>
        <w:rPr>
          <w:rFonts w:ascii="Arial" w:cs="Arial" w:eastAsia="Arial" w:hAnsi="Arial"/>
          <w:sz w:val="18"/>
          <w:szCs w:val="18"/>
          <w:color w:val="auto"/>
        </w:rPr>
        <w:t>In the six months ended June 30, 2011 Equity income, net of tax and gain on disposal of investments increased by $1.7 billion primarily due to a gain of $1.6 billion recorded on the sale of our New Delphi Class A Membership Interests in GMNA and increased equity income related to our China JVs of $0.1 billion in GMIO.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2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r>
      <w:tr>
        <w:trPr>
          <w:trHeight w:val="161"/>
        </w:trPr>
        <w:tc>
          <w:tcPr>
            <w:tcW w:w="20" w:type="dxa"/>
            <w:vAlign w:val="bottom"/>
          </w:tcPr>
          <w:p>
            <w:pPr>
              <w:spacing w:after="0"/>
              <w:rPr>
                <w:sz w:val="14"/>
                <w:szCs w:val="14"/>
                <w:color w:val="auto"/>
              </w:rPr>
            </w:pPr>
          </w:p>
        </w:tc>
        <w:tc>
          <w:tcPr>
            <w:tcW w:w="96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6"/>
              </w:rPr>
              <w:t>2011</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2010</w:t>
            </w:r>
          </w:p>
        </w:tc>
        <w:tc>
          <w:tcPr>
            <w:tcW w:w="60" w:type="dxa"/>
            <w:vAlign w:val="bottom"/>
            <w:tcBorders>
              <w:bottom w:val="single" w:sz="8" w:color="CCEEFF"/>
            </w:tcBorders>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9620" w:type="dxa"/>
            <w:vAlign w:val="bottom"/>
            <w:shd w:val="clear" w:color="auto" w:fill="CCEEFF"/>
          </w:tcPr>
          <w:p>
            <w:pPr>
              <w:ind w:left="4380"/>
              <w:spacing w:after="0" w:line="129" w:lineRule="exact"/>
              <w:rPr>
                <w:sz w:val="20"/>
                <w:szCs w:val="20"/>
                <w:color w:val="auto"/>
              </w:rPr>
            </w:pPr>
            <w:r>
              <w:rPr>
                <w:rFonts w:ascii="Arial" w:cs="Arial" w:eastAsia="Arial" w:hAnsi="Arial"/>
                <w:sz w:val="14"/>
                <w:szCs w:val="14"/>
                <w:b w:val="1"/>
                <w:bCs w:val="1"/>
                <w:color w:val="auto"/>
              </w:rPr>
              <w:t>ASSETS</w:t>
            </w: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9620" w:type="dxa"/>
            <w:vAlign w:val="bottom"/>
          </w:tcPr>
          <w:p>
            <w:pPr>
              <w:spacing w:after="0" w:line="149" w:lineRule="exact"/>
              <w:rPr>
                <w:sz w:val="20"/>
                <w:szCs w:val="20"/>
                <w:color w:val="auto"/>
              </w:rPr>
            </w:pPr>
            <w:r>
              <w:rPr>
                <w:rFonts w:ascii="Arial" w:cs="Arial" w:eastAsia="Arial" w:hAnsi="Arial"/>
                <w:sz w:val="14"/>
                <w:szCs w:val="14"/>
                <w:b w:val="1"/>
                <w:bCs w:val="1"/>
                <w:color w:val="auto"/>
              </w:rPr>
              <w:t>Automotive Current Assets</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6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Cash and cash equivalents</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20,471</w:t>
            </w:r>
          </w:p>
        </w:tc>
        <w:tc>
          <w:tcPr>
            <w:tcW w:w="2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21,061</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620" w:type="dxa"/>
            <w:vAlign w:val="bottom"/>
          </w:tcPr>
          <w:p>
            <w:pPr>
              <w:ind w:left="200"/>
              <w:spacing w:after="0" w:line="149" w:lineRule="exact"/>
              <w:rPr>
                <w:sz w:val="20"/>
                <w:szCs w:val="20"/>
                <w:color w:val="auto"/>
              </w:rPr>
            </w:pPr>
            <w:r>
              <w:rPr>
                <w:rFonts w:ascii="Arial" w:cs="Arial" w:eastAsia="Arial" w:hAnsi="Arial"/>
                <w:sz w:val="14"/>
                <w:szCs w:val="14"/>
                <w:color w:val="auto"/>
              </w:rPr>
              <w:t>Marketable securities</w:t>
            </w: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12,298</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5,555</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6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Accounts and notes receivable (net of allowance of $363 and $252)</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11,789</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8,699</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620" w:type="dxa"/>
            <w:vAlign w:val="bottom"/>
          </w:tcPr>
          <w:p>
            <w:pPr>
              <w:ind w:left="200"/>
              <w:spacing w:after="0" w:line="149" w:lineRule="exact"/>
              <w:rPr>
                <w:sz w:val="20"/>
                <w:szCs w:val="20"/>
                <w:color w:val="auto"/>
              </w:rPr>
            </w:pPr>
            <w:r>
              <w:rPr>
                <w:rFonts w:ascii="Arial" w:cs="Arial" w:eastAsia="Arial" w:hAnsi="Arial"/>
                <w:sz w:val="14"/>
                <w:szCs w:val="14"/>
                <w:color w:val="auto"/>
              </w:rPr>
              <w:t>Inventories</w:t>
            </w: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14,105</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12,125</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6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Equipment on operating leases, net</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4,180</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2,568</w:t>
            </w:r>
          </w:p>
        </w:tc>
        <w:tc>
          <w:tcPr>
            <w:tcW w:w="6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9620" w:type="dxa"/>
            <w:vAlign w:val="bottom"/>
          </w:tcPr>
          <w:p>
            <w:pPr>
              <w:ind w:left="200"/>
              <w:spacing w:after="0" w:line="149" w:lineRule="exact"/>
              <w:rPr>
                <w:sz w:val="20"/>
                <w:szCs w:val="20"/>
                <w:color w:val="auto"/>
              </w:rPr>
            </w:pPr>
            <w:r>
              <w:rPr>
                <w:rFonts w:ascii="Arial" w:cs="Arial" w:eastAsia="Arial" w:hAnsi="Arial"/>
                <w:sz w:val="14"/>
                <w:szCs w:val="14"/>
                <w:color w:val="auto"/>
              </w:rPr>
              <w:t>Other current assets and deferred income taxes</w:t>
            </w:r>
          </w:p>
        </w:tc>
        <w:tc>
          <w:tcPr>
            <w:tcW w:w="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3,141</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3,045</w:t>
            </w:r>
          </w:p>
        </w:tc>
        <w:tc>
          <w:tcPr>
            <w:tcW w:w="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96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current assets</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65,984</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53,053</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620" w:type="dxa"/>
            <w:vAlign w:val="bottom"/>
          </w:tcPr>
          <w:p>
            <w:pPr>
              <w:spacing w:after="0" w:line="149" w:lineRule="exact"/>
              <w:rPr>
                <w:sz w:val="20"/>
                <w:szCs w:val="20"/>
                <w:color w:val="auto"/>
              </w:rPr>
            </w:pPr>
            <w:r>
              <w:rPr>
                <w:rFonts w:ascii="Arial" w:cs="Arial" w:eastAsia="Arial" w:hAnsi="Arial"/>
                <w:sz w:val="14"/>
                <w:szCs w:val="14"/>
                <w:b w:val="1"/>
                <w:bCs w:val="1"/>
                <w:color w:val="auto"/>
              </w:rPr>
              <w:t>Automotive Non-current Assets</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6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Equity in net assets of nonconsolidated affiliates</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7,160</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8,529</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620" w:type="dxa"/>
            <w:vAlign w:val="bottom"/>
          </w:tcPr>
          <w:p>
            <w:pPr>
              <w:ind w:left="200"/>
              <w:spacing w:after="0" w:line="149" w:lineRule="exact"/>
              <w:rPr>
                <w:sz w:val="20"/>
                <w:szCs w:val="20"/>
                <w:color w:val="auto"/>
              </w:rPr>
            </w:pPr>
            <w:r>
              <w:rPr>
                <w:rFonts w:ascii="Arial" w:cs="Arial" w:eastAsia="Arial" w:hAnsi="Arial"/>
                <w:sz w:val="14"/>
                <w:szCs w:val="14"/>
                <w:color w:val="auto"/>
              </w:rPr>
              <w:t>Property, net</w:t>
            </w: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20,989</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19,235</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6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Goodwill</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28,767</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30,513</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620" w:type="dxa"/>
            <w:vAlign w:val="bottom"/>
          </w:tcPr>
          <w:p>
            <w:pPr>
              <w:ind w:left="200"/>
              <w:spacing w:after="0" w:line="149" w:lineRule="exact"/>
              <w:rPr>
                <w:sz w:val="20"/>
                <w:szCs w:val="20"/>
                <w:color w:val="auto"/>
              </w:rPr>
            </w:pPr>
            <w:r>
              <w:rPr>
                <w:rFonts w:ascii="Arial" w:cs="Arial" w:eastAsia="Arial" w:hAnsi="Arial"/>
                <w:sz w:val="14"/>
                <w:szCs w:val="14"/>
                <w:color w:val="auto"/>
              </w:rPr>
              <w:t>Intangible assets, net</w:t>
            </w:r>
          </w:p>
        </w:tc>
        <w:tc>
          <w:tcPr>
            <w:tcW w:w="6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11,083</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11,882</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6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assets and deferred income taxes</w:t>
            </w:r>
          </w:p>
        </w:tc>
        <w:tc>
          <w:tcPr>
            <w:tcW w:w="6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4,323</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4,754</w:t>
            </w:r>
          </w:p>
        </w:tc>
        <w:tc>
          <w:tcPr>
            <w:tcW w:w="60" w:type="dxa"/>
            <w:vAlign w:val="bottom"/>
            <w:shd w:val="clear" w:color="auto" w:fill="CCEEFF"/>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9620" w:type="dxa"/>
            <w:vAlign w:val="bottom"/>
          </w:tcPr>
          <w:p>
            <w:pPr>
              <w:ind w:left="200"/>
              <w:spacing w:after="0" w:line="155" w:lineRule="exact"/>
              <w:rPr>
                <w:sz w:val="20"/>
                <w:szCs w:val="20"/>
                <w:color w:val="auto"/>
              </w:rPr>
            </w:pPr>
            <w:r>
              <w:rPr>
                <w:rFonts w:ascii="Arial" w:cs="Arial" w:eastAsia="Arial" w:hAnsi="Arial"/>
                <w:sz w:val="14"/>
                <w:szCs w:val="14"/>
                <w:color w:val="auto"/>
              </w:rPr>
              <w:t>Total non-current assets</w:t>
            </w: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72,322</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74,913</w:t>
            </w:r>
          </w:p>
        </w:tc>
        <w:tc>
          <w:tcPr>
            <w:tcW w:w="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96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rPr>
              <w:t>Total Automotive Assets</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138,306</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127,966</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620" w:type="dxa"/>
            <w:vAlign w:val="bottom"/>
          </w:tcPr>
          <w:p>
            <w:pPr>
              <w:spacing w:after="0" w:line="149" w:lineRule="exact"/>
              <w:rPr>
                <w:sz w:val="20"/>
                <w:szCs w:val="20"/>
                <w:color w:val="auto"/>
              </w:rPr>
            </w:pPr>
            <w:r>
              <w:rPr>
                <w:rFonts w:ascii="Arial" w:cs="Arial" w:eastAsia="Arial" w:hAnsi="Arial"/>
                <w:sz w:val="14"/>
                <w:szCs w:val="14"/>
                <w:b w:val="1"/>
                <w:bCs w:val="1"/>
                <w:color w:val="auto"/>
              </w:rPr>
              <w:t>GM Financial Assets</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6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Finance receivables, net (including gross finance receivables transferred to SPEs of $8,333 and $7,156)</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8,587</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8,197</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620" w:type="dxa"/>
            <w:vAlign w:val="bottom"/>
          </w:tcPr>
          <w:p>
            <w:pPr>
              <w:ind w:left="200"/>
              <w:spacing w:after="0" w:line="149" w:lineRule="exact"/>
              <w:rPr>
                <w:sz w:val="20"/>
                <w:szCs w:val="20"/>
                <w:color w:val="auto"/>
              </w:rPr>
            </w:pPr>
            <w:r>
              <w:rPr>
                <w:rFonts w:ascii="Arial" w:cs="Arial" w:eastAsia="Arial" w:hAnsi="Arial"/>
                <w:sz w:val="14"/>
                <w:szCs w:val="14"/>
                <w:color w:val="auto"/>
              </w:rPr>
              <w:t>Restricted cash</w:t>
            </w: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1,125</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1,090</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6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Goodwill</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1,279</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1,265</w:t>
            </w:r>
          </w:p>
        </w:tc>
        <w:tc>
          <w:tcPr>
            <w:tcW w:w="6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9620" w:type="dxa"/>
            <w:vAlign w:val="bottom"/>
          </w:tcPr>
          <w:p>
            <w:pPr>
              <w:ind w:left="200"/>
              <w:spacing w:after="0" w:line="149" w:lineRule="exact"/>
              <w:rPr>
                <w:sz w:val="20"/>
                <w:szCs w:val="20"/>
                <w:color w:val="auto"/>
              </w:rPr>
            </w:pPr>
            <w:r>
              <w:rPr>
                <w:rFonts w:ascii="Arial" w:cs="Arial" w:eastAsia="Arial" w:hAnsi="Arial"/>
                <w:sz w:val="14"/>
                <w:szCs w:val="14"/>
                <w:color w:val="auto"/>
              </w:rPr>
              <w:t>Other assets</w:t>
            </w:r>
          </w:p>
        </w:tc>
        <w:tc>
          <w:tcPr>
            <w:tcW w:w="60" w:type="dxa"/>
            <w:vAlign w:val="bottom"/>
          </w:tcPr>
          <w:p>
            <w:pPr>
              <w:spacing w:after="0"/>
              <w:rPr>
                <w:sz w:val="13"/>
                <w:szCs w:val="13"/>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1,118</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380</w:t>
            </w:r>
          </w:p>
        </w:tc>
        <w:tc>
          <w:tcPr>
            <w:tcW w:w="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96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rPr>
              <w:t>Total GM Financial Assets</w:t>
            </w: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12,109</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10,932</w:t>
            </w:r>
          </w:p>
        </w:tc>
        <w:tc>
          <w:tcPr>
            <w:tcW w:w="60" w:type="dxa"/>
            <w:vAlign w:val="bottom"/>
            <w:shd w:val="clear" w:color="auto" w:fill="CCEEFF"/>
          </w:tcPr>
          <w:p>
            <w:pPr>
              <w:spacing w:after="0"/>
              <w:rPr>
                <w:sz w:val="12"/>
                <w:szCs w:val="12"/>
                <w:color w:val="auto"/>
              </w:rPr>
            </w:pPr>
          </w:p>
        </w:tc>
      </w:tr>
      <w:tr>
        <w:trPr>
          <w:trHeight w:val="156"/>
        </w:trPr>
        <w:tc>
          <w:tcPr>
            <w:tcW w:w="96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Assets</w:t>
            </w:r>
          </w:p>
        </w:tc>
        <w:tc>
          <w:tcPr>
            <w:tcW w:w="60" w:type="dxa"/>
            <w:vAlign w:val="bottom"/>
          </w:tcPr>
          <w:p>
            <w:pPr>
              <w:spacing w:after="0"/>
              <w:rPr>
                <w:sz w:val="20"/>
                <w:szCs w:val="20"/>
                <w:color w:val="auto"/>
              </w:rPr>
            </w:pPr>
            <w:r>
              <w:rPr>
                <w:rFonts w:ascii="Arial" w:cs="Arial" w:eastAsia="Arial" w:hAnsi="Arial"/>
                <w:sz w:val="10"/>
                <w:szCs w:val="10"/>
                <w:u w:val="single" w:color="auto"/>
                <w:color w:val="auto"/>
                <w:w w:val="71"/>
              </w:rPr>
              <w:t>$</w:t>
            </w: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w w:val="86"/>
              </w:rPr>
              <w:t>150,415</w:t>
            </w:r>
          </w:p>
        </w:tc>
        <w:tc>
          <w:tcPr>
            <w:tcW w:w="200" w:type="dxa"/>
            <w:vAlign w:val="bottom"/>
          </w:tcPr>
          <w:p>
            <w:pPr>
              <w:spacing w:after="0"/>
              <w:rPr>
                <w:sz w:val="13"/>
                <w:szCs w:val="13"/>
                <w:color w:val="auto"/>
              </w:rPr>
            </w:pPr>
          </w:p>
        </w:tc>
        <w:tc>
          <w:tcPr>
            <w:tcW w:w="360" w:type="dxa"/>
            <w:vAlign w:val="bottom"/>
            <w:gridSpan w:val="2"/>
          </w:tcPr>
          <w:p>
            <w:pPr>
              <w:ind w:left="200"/>
              <w:spacing w:after="0" w:line="155"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138,898</w:t>
            </w:r>
          </w:p>
        </w:tc>
        <w:tc>
          <w:tcPr>
            <w:tcW w:w="6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96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9620" w:type="dxa"/>
            <w:vAlign w:val="bottom"/>
            <w:shd w:val="clear" w:color="auto" w:fill="CCEEFF"/>
          </w:tcPr>
          <w:p>
            <w:pPr>
              <w:ind w:left="3780"/>
              <w:spacing w:after="0" w:line="143" w:lineRule="exact"/>
              <w:rPr>
                <w:sz w:val="20"/>
                <w:szCs w:val="20"/>
                <w:color w:val="auto"/>
              </w:rPr>
            </w:pPr>
            <w:r>
              <w:rPr>
                <w:rFonts w:ascii="Arial" w:cs="Arial" w:eastAsia="Arial" w:hAnsi="Arial"/>
                <w:sz w:val="14"/>
                <w:szCs w:val="14"/>
                <w:b w:val="1"/>
                <w:bCs w:val="1"/>
                <w:color w:val="auto"/>
              </w:rPr>
              <w:t>LIABILITIES AND EQUITY</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620" w:type="dxa"/>
            <w:vAlign w:val="bottom"/>
          </w:tcPr>
          <w:p>
            <w:pPr>
              <w:spacing w:after="0" w:line="149" w:lineRule="exact"/>
              <w:rPr>
                <w:sz w:val="20"/>
                <w:szCs w:val="20"/>
                <w:color w:val="auto"/>
              </w:rPr>
            </w:pPr>
            <w:r>
              <w:rPr>
                <w:rFonts w:ascii="Arial" w:cs="Arial" w:eastAsia="Arial" w:hAnsi="Arial"/>
                <w:sz w:val="14"/>
                <w:szCs w:val="14"/>
                <w:b w:val="1"/>
                <w:bCs w:val="1"/>
                <w:color w:val="auto"/>
              </w:rPr>
              <w:t>Automotive Current Liabilities</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6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Accounts payable (principally trade)</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25,412</w:t>
            </w:r>
          </w:p>
        </w:tc>
        <w:tc>
          <w:tcPr>
            <w:tcW w:w="2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21,497</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620" w:type="dxa"/>
            <w:vAlign w:val="bottom"/>
          </w:tcPr>
          <w:p>
            <w:pPr>
              <w:ind w:left="200"/>
              <w:spacing w:after="0" w:line="149" w:lineRule="exact"/>
              <w:rPr>
                <w:sz w:val="20"/>
                <w:szCs w:val="20"/>
                <w:color w:val="auto"/>
              </w:rPr>
            </w:pPr>
            <w:r>
              <w:rPr>
                <w:rFonts w:ascii="Arial" w:cs="Arial" w:eastAsia="Arial" w:hAnsi="Arial"/>
                <w:sz w:val="14"/>
                <w:szCs w:val="14"/>
                <w:color w:val="auto"/>
              </w:rPr>
              <w:t>Short-term debt and current portion of long-term debt (including certain debt at GM Korea of $157 and $70)</w:t>
            </w: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2,027</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1,616</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6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Accrued liabilities (including derivative liabilities at GM Korea of $19 and $111)</w:t>
            </w:r>
          </w:p>
        </w:tc>
        <w:tc>
          <w:tcPr>
            <w:tcW w:w="6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26,409</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24,044</w:t>
            </w:r>
          </w:p>
        </w:tc>
        <w:tc>
          <w:tcPr>
            <w:tcW w:w="6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9620" w:type="dxa"/>
            <w:vAlign w:val="bottom"/>
          </w:tcPr>
          <w:p>
            <w:pPr>
              <w:ind w:left="200"/>
              <w:spacing w:after="0" w:line="155" w:lineRule="exact"/>
              <w:rPr>
                <w:sz w:val="20"/>
                <w:szCs w:val="20"/>
                <w:color w:val="auto"/>
              </w:rPr>
            </w:pPr>
            <w:r>
              <w:rPr>
                <w:rFonts w:ascii="Arial" w:cs="Arial" w:eastAsia="Arial" w:hAnsi="Arial"/>
                <w:sz w:val="14"/>
                <w:szCs w:val="14"/>
                <w:color w:val="auto"/>
              </w:rPr>
              <w:t>Total current liabilities</w:t>
            </w:r>
          </w:p>
        </w:tc>
        <w:tc>
          <w:tcPr>
            <w:tcW w:w="6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53,848</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47,157</w:t>
            </w:r>
          </w:p>
        </w:tc>
        <w:tc>
          <w:tcPr>
            <w:tcW w:w="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96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Automotive Non-current Liabilities</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620" w:type="dxa"/>
            <w:vAlign w:val="bottom"/>
          </w:tcPr>
          <w:p>
            <w:pPr>
              <w:ind w:left="200"/>
              <w:spacing w:after="0" w:line="149" w:lineRule="exact"/>
              <w:rPr>
                <w:sz w:val="20"/>
                <w:szCs w:val="20"/>
                <w:color w:val="auto"/>
              </w:rPr>
            </w:pPr>
            <w:r>
              <w:rPr>
                <w:rFonts w:ascii="Arial" w:cs="Arial" w:eastAsia="Arial" w:hAnsi="Arial"/>
                <w:sz w:val="14"/>
                <w:szCs w:val="14"/>
                <w:color w:val="auto"/>
              </w:rPr>
              <w:t>Long-term debt (including certain debt at GM Korea of $8 and $835)</w:t>
            </w: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2,690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3,014</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6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Postretirement benefits other than pensions</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9,379</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9,294</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620" w:type="dxa"/>
            <w:vAlign w:val="bottom"/>
          </w:tcPr>
          <w:p>
            <w:pPr>
              <w:ind w:left="200"/>
              <w:spacing w:after="0" w:line="149" w:lineRule="exact"/>
              <w:rPr>
                <w:sz w:val="20"/>
                <w:szCs w:val="20"/>
                <w:color w:val="auto"/>
              </w:rPr>
            </w:pPr>
            <w:r>
              <w:rPr>
                <w:rFonts w:ascii="Arial" w:cs="Arial" w:eastAsia="Arial" w:hAnsi="Arial"/>
                <w:sz w:val="14"/>
                <w:szCs w:val="14"/>
                <w:color w:val="auto"/>
              </w:rPr>
              <w:t>Pensions</w:t>
            </w: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21,389</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21,894</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6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liabilities and deferred income taxes</w:t>
            </w:r>
          </w:p>
        </w:tc>
        <w:tc>
          <w:tcPr>
            <w:tcW w:w="6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12,887</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13,021</w:t>
            </w:r>
          </w:p>
        </w:tc>
        <w:tc>
          <w:tcPr>
            <w:tcW w:w="60" w:type="dxa"/>
            <w:vAlign w:val="bottom"/>
            <w:shd w:val="clear" w:color="auto" w:fill="CCEEFF"/>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9620" w:type="dxa"/>
            <w:vAlign w:val="bottom"/>
          </w:tcPr>
          <w:p>
            <w:pPr>
              <w:ind w:left="200"/>
              <w:spacing w:after="0" w:line="155" w:lineRule="exact"/>
              <w:rPr>
                <w:sz w:val="20"/>
                <w:szCs w:val="20"/>
                <w:color w:val="auto"/>
              </w:rPr>
            </w:pPr>
            <w:r>
              <w:rPr>
                <w:rFonts w:ascii="Arial" w:cs="Arial" w:eastAsia="Arial" w:hAnsi="Arial"/>
                <w:sz w:val="14"/>
                <w:szCs w:val="14"/>
                <w:color w:val="auto"/>
              </w:rPr>
              <w:t>Total non-current liabilities</w:t>
            </w: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46,345</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47,223</w:t>
            </w:r>
          </w:p>
        </w:tc>
        <w:tc>
          <w:tcPr>
            <w:tcW w:w="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96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rPr>
              <w:t>Total Automotive Liabilities</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100,193</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94,380</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620" w:type="dxa"/>
            <w:vAlign w:val="bottom"/>
          </w:tcPr>
          <w:p>
            <w:pPr>
              <w:spacing w:after="0" w:line="149" w:lineRule="exact"/>
              <w:rPr>
                <w:sz w:val="20"/>
                <w:szCs w:val="20"/>
                <w:color w:val="auto"/>
              </w:rPr>
            </w:pPr>
            <w:r>
              <w:rPr>
                <w:rFonts w:ascii="Arial" w:cs="Arial" w:eastAsia="Arial" w:hAnsi="Arial"/>
                <w:sz w:val="14"/>
                <w:szCs w:val="14"/>
                <w:b w:val="1"/>
                <w:bCs w:val="1"/>
                <w:color w:val="auto"/>
              </w:rPr>
              <w:t>GM Financial Liabilities</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6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Securitization notes payable</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6,881</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6,128</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620" w:type="dxa"/>
            <w:vAlign w:val="bottom"/>
          </w:tcPr>
          <w:p>
            <w:pPr>
              <w:ind w:left="200"/>
              <w:spacing w:after="0" w:line="149" w:lineRule="exact"/>
              <w:rPr>
                <w:sz w:val="20"/>
                <w:szCs w:val="20"/>
                <w:color w:val="auto"/>
              </w:rPr>
            </w:pPr>
            <w:r>
              <w:rPr>
                <w:rFonts w:ascii="Arial" w:cs="Arial" w:eastAsia="Arial" w:hAnsi="Arial"/>
                <w:sz w:val="14"/>
                <w:szCs w:val="14"/>
                <w:color w:val="auto"/>
              </w:rPr>
              <w:t>Credit facilities</w:t>
            </w: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423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832</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6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liabilities</w:t>
            </w:r>
          </w:p>
        </w:tc>
        <w:tc>
          <w:tcPr>
            <w:tcW w:w="6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886</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399</w:t>
            </w:r>
          </w:p>
        </w:tc>
        <w:tc>
          <w:tcPr>
            <w:tcW w:w="60" w:type="dxa"/>
            <w:vAlign w:val="bottom"/>
            <w:shd w:val="clear" w:color="auto" w:fill="CCEEFF"/>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9620" w:type="dxa"/>
            <w:vAlign w:val="bottom"/>
          </w:tcPr>
          <w:p>
            <w:pPr>
              <w:ind w:left="200"/>
              <w:spacing w:after="0" w:line="155" w:lineRule="exact"/>
              <w:rPr>
                <w:sz w:val="20"/>
                <w:szCs w:val="20"/>
                <w:color w:val="auto"/>
              </w:rPr>
            </w:pPr>
            <w:r>
              <w:rPr>
                <w:rFonts w:ascii="Arial" w:cs="Arial" w:eastAsia="Arial" w:hAnsi="Arial"/>
                <w:sz w:val="14"/>
                <w:szCs w:val="14"/>
                <w:b w:val="1"/>
                <w:bCs w:val="1"/>
                <w:color w:val="auto"/>
              </w:rPr>
              <w:t>Total GM Financial Liabilities</w:t>
            </w: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8,190</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7,359</w:t>
            </w:r>
          </w:p>
        </w:tc>
        <w:tc>
          <w:tcPr>
            <w:tcW w:w="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96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Liabilities</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108,383</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101,739</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620" w:type="dxa"/>
            <w:vAlign w:val="bottom"/>
          </w:tcPr>
          <w:p>
            <w:pPr>
              <w:spacing w:after="0" w:line="149" w:lineRule="exact"/>
              <w:rPr>
                <w:sz w:val="20"/>
                <w:szCs w:val="20"/>
                <w:color w:val="auto"/>
              </w:rPr>
            </w:pPr>
            <w:r>
              <w:rPr>
                <w:rFonts w:ascii="Arial" w:cs="Arial" w:eastAsia="Arial" w:hAnsi="Arial"/>
                <w:sz w:val="14"/>
                <w:szCs w:val="14"/>
                <w:color w:val="auto"/>
              </w:rPr>
              <w:t>Commitments and contingencies</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6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Equity</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620" w:type="dxa"/>
            <w:vAlign w:val="bottom"/>
          </w:tcPr>
          <w:p>
            <w:pPr>
              <w:spacing w:after="0" w:line="149" w:lineRule="exact"/>
              <w:rPr>
                <w:sz w:val="20"/>
                <w:szCs w:val="20"/>
                <w:color w:val="auto"/>
              </w:rPr>
            </w:pPr>
            <w:r>
              <w:rPr>
                <w:rFonts w:ascii="Arial" w:cs="Arial" w:eastAsia="Arial" w:hAnsi="Arial"/>
                <w:sz w:val="14"/>
                <w:szCs w:val="14"/>
                <w:color w:val="auto"/>
              </w:rPr>
              <w:t>Preferred stock, $0.01 par value, 2,000,000,000 shares authorized:</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962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Series A (276,101,695 shares issued and outstanding (each with a $25.00 liquidation preference)</w:t>
            </w: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962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at June 30, 2011 and December 31, 2010)</w:t>
            </w: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5,536</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5,536</w:t>
            </w:r>
          </w:p>
        </w:tc>
        <w:tc>
          <w:tcPr>
            <w:tcW w:w="60" w:type="dxa"/>
            <w:vAlign w:val="bottom"/>
            <w:shd w:val="clear" w:color="auto" w:fill="CCEEFF"/>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9620" w:type="dxa"/>
            <w:vAlign w:val="bottom"/>
          </w:tcPr>
          <w:p>
            <w:pPr>
              <w:ind w:left="200"/>
              <w:spacing w:after="0" w:line="138" w:lineRule="exact"/>
              <w:rPr>
                <w:sz w:val="20"/>
                <w:szCs w:val="20"/>
                <w:color w:val="auto"/>
              </w:rPr>
            </w:pPr>
            <w:r>
              <w:rPr>
                <w:rFonts w:ascii="Arial" w:cs="Arial" w:eastAsia="Arial" w:hAnsi="Arial"/>
                <w:sz w:val="14"/>
                <w:szCs w:val="14"/>
                <w:color w:val="auto"/>
              </w:rPr>
              <w:t>Series B (100,000,000 shares issued and outstanding (each with a $50.00 liquidation preference)</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9620" w:type="dxa"/>
            <w:vAlign w:val="bottom"/>
          </w:tcPr>
          <w:p>
            <w:pPr>
              <w:ind w:left="420"/>
              <w:spacing w:after="0" w:line="159" w:lineRule="exact"/>
              <w:rPr>
                <w:sz w:val="20"/>
                <w:szCs w:val="20"/>
                <w:color w:val="auto"/>
              </w:rPr>
            </w:pPr>
            <w:r>
              <w:rPr>
                <w:rFonts w:ascii="Arial" w:cs="Arial" w:eastAsia="Arial" w:hAnsi="Arial"/>
                <w:sz w:val="14"/>
                <w:szCs w:val="14"/>
                <w:color w:val="auto"/>
              </w:rPr>
              <w:t>at June 30, 2011 and December 31, 2010)</w:t>
            </w:r>
          </w:p>
        </w:tc>
        <w:tc>
          <w:tcPr>
            <w:tcW w:w="60" w:type="dxa"/>
            <w:vAlign w:val="bottom"/>
          </w:tcPr>
          <w:p>
            <w:pPr>
              <w:spacing w:after="0"/>
              <w:rPr>
                <w:sz w:val="13"/>
                <w:szCs w:val="13"/>
                <w:color w:val="auto"/>
              </w:rPr>
            </w:pP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4,855</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4,855</w:t>
            </w:r>
          </w:p>
        </w:tc>
        <w:tc>
          <w:tcPr>
            <w:tcW w:w="60" w:type="dxa"/>
            <w:vAlign w:val="bottom"/>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96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1"/>
              </w:rPr>
              <w:t>Common stock, $0.01 par value (5,000,000,000 shares authorized, 1,561,450,455 and 1,500,844,394 shares issued and outstanding at June 30, 2011 and 1,500,136,998</w:t>
            </w: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96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shares issued and outstanding at December 31, 2010)</w:t>
            </w: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w:t>
            </w:r>
          </w:p>
        </w:tc>
        <w:tc>
          <w:tcPr>
            <w:tcW w:w="60" w:type="dxa"/>
            <w:vAlign w:val="bottom"/>
            <w:shd w:val="clear" w:color="auto" w:fill="CCEEFF"/>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9620" w:type="dxa"/>
            <w:vAlign w:val="bottom"/>
          </w:tcPr>
          <w:p>
            <w:pPr>
              <w:spacing w:after="0" w:line="149" w:lineRule="exact"/>
              <w:rPr>
                <w:sz w:val="20"/>
                <w:szCs w:val="20"/>
                <w:color w:val="auto"/>
              </w:rPr>
            </w:pPr>
            <w:r>
              <w:rPr>
                <w:rFonts w:ascii="Arial" w:cs="Arial" w:eastAsia="Arial" w:hAnsi="Arial"/>
                <w:sz w:val="14"/>
                <w:szCs w:val="14"/>
                <w:color w:val="auto"/>
              </w:rPr>
              <w:t>Capital surplus (principally additional paid-in capital)</w:t>
            </w: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24,412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24,257</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Retained earnings</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4,729</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266</w:t>
            </w:r>
          </w:p>
        </w:tc>
        <w:tc>
          <w:tcPr>
            <w:tcW w:w="6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9620" w:type="dxa"/>
            <w:vAlign w:val="bottom"/>
          </w:tcPr>
          <w:p>
            <w:pPr>
              <w:spacing w:after="0" w:line="149" w:lineRule="exact"/>
              <w:rPr>
                <w:sz w:val="20"/>
                <w:szCs w:val="20"/>
                <w:color w:val="auto"/>
              </w:rPr>
            </w:pPr>
            <w:r>
              <w:rPr>
                <w:rFonts w:ascii="Arial" w:cs="Arial" w:eastAsia="Arial" w:hAnsi="Arial"/>
                <w:sz w:val="14"/>
                <w:szCs w:val="14"/>
                <w:color w:val="auto"/>
              </w:rPr>
              <w:t>Accumulated other comprehensive income</w:t>
            </w:r>
          </w:p>
        </w:tc>
        <w:tc>
          <w:tcPr>
            <w:tcW w:w="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1,571</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1,251</w:t>
            </w:r>
          </w:p>
        </w:tc>
        <w:tc>
          <w:tcPr>
            <w:tcW w:w="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9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stockholders’ equity</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41,118</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36,180</w:t>
            </w:r>
          </w:p>
        </w:tc>
        <w:tc>
          <w:tcPr>
            <w:tcW w:w="6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9620" w:type="dxa"/>
            <w:vAlign w:val="bottom"/>
          </w:tcPr>
          <w:p>
            <w:pPr>
              <w:spacing w:after="0" w:line="149" w:lineRule="exact"/>
              <w:rPr>
                <w:sz w:val="20"/>
                <w:szCs w:val="20"/>
                <w:color w:val="auto"/>
              </w:rPr>
            </w:pPr>
            <w:r>
              <w:rPr>
                <w:rFonts w:ascii="Arial" w:cs="Arial" w:eastAsia="Arial" w:hAnsi="Arial"/>
                <w:sz w:val="14"/>
                <w:szCs w:val="14"/>
                <w:color w:val="auto"/>
              </w:rPr>
              <w:t>Noncontrolling interests</w:t>
            </w:r>
          </w:p>
        </w:tc>
        <w:tc>
          <w:tcPr>
            <w:tcW w:w="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914</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979</w:t>
            </w:r>
          </w:p>
        </w:tc>
        <w:tc>
          <w:tcPr>
            <w:tcW w:w="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96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Equity</w:t>
            </w:r>
          </w:p>
        </w:tc>
        <w:tc>
          <w:tcPr>
            <w:tcW w:w="6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42,032</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37,159</w:t>
            </w:r>
          </w:p>
        </w:tc>
        <w:tc>
          <w:tcPr>
            <w:tcW w:w="60" w:type="dxa"/>
            <w:vAlign w:val="bottom"/>
            <w:shd w:val="clear" w:color="auto" w:fill="CCEEFF"/>
          </w:tcPr>
          <w:p>
            <w:pPr>
              <w:spacing w:after="0"/>
              <w:rPr>
                <w:sz w:val="12"/>
                <w:szCs w:val="12"/>
                <w:color w:val="auto"/>
              </w:rPr>
            </w:pPr>
          </w:p>
        </w:tc>
      </w:tr>
      <w:tr>
        <w:trPr>
          <w:trHeight w:val="156"/>
        </w:trPr>
        <w:tc>
          <w:tcPr>
            <w:tcW w:w="96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Liabilities and Equity</w:t>
            </w:r>
          </w:p>
        </w:tc>
        <w:tc>
          <w:tcPr>
            <w:tcW w:w="60" w:type="dxa"/>
            <w:vAlign w:val="bottom"/>
          </w:tcPr>
          <w:p>
            <w:pPr>
              <w:spacing w:after="0"/>
              <w:rPr>
                <w:sz w:val="20"/>
                <w:szCs w:val="20"/>
                <w:color w:val="auto"/>
              </w:rPr>
            </w:pPr>
            <w:r>
              <w:rPr>
                <w:rFonts w:ascii="Arial" w:cs="Arial" w:eastAsia="Arial" w:hAnsi="Arial"/>
                <w:sz w:val="10"/>
                <w:szCs w:val="10"/>
                <w:u w:val="single" w:color="auto"/>
                <w:color w:val="auto"/>
                <w:w w:val="71"/>
              </w:rPr>
              <w:t>$</w:t>
            </w: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w w:val="86"/>
              </w:rPr>
              <w:t>150,415</w:t>
            </w:r>
          </w:p>
        </w:tc>
        <w:tc>
          <w:tcPr>
            <w:tcW w:w="200" w:type="dxa"/>
            <w:vAlign w:val="bottom"/>
          </w:tcPr>
          <w:p>
            <w:pPr>
              <w:spacing w:after="0"/>
              <w:rPr>
                <w:sz w:val="13"/>
                <w:szCs w:val="13"/>
                <w:color w:val="auto"/>
              </w:rPr>
            </w:pPr>
          </w:p>
        </w:tc>
        <w:tc>
          <w:tcPr>
            <w:tcW w:w="360" w:type="dxa"/>
            <w:vAlign w:val="bottom"/>
            <w:gridSpan w:val="2"/>
          </w:tcPr>
          <w:p>
            <w:pPr>
              <w:ind w:left="200"/>
              <w:spacing w:after="0" w:line="155"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138,898</w:t>
            </w:r>
          </w:p>
        </w:tc>
        <w:tc>
          <w:tcPr>
            <w:tcW w:w="6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96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Current Assets</w:t>
      </w:r>
    </w:p>
    <w:p>
      <w:pPr>
        <w:spacing w:after="0" w:line="171" w:lineRule="exact"/>
        <w:rPr>
          <w:sz w:val="20"/>
          <w:szCs w:val="20"/>
          <w:color w:val="auto"/>
        </w:rPr>
      </w:pPr>
    </w:p>
    <w:p>
      <w:pPr>
        <w:ind w:right="160" w:firstLine="228"/>
        <w:spacing w:after="0" w:line="268" w:lineRule="auto"/>
        <w:rPr>
          <w:sz w:val="20"/>
          <w:szCs w:val="20"/>
          <w:color w:val="auto"/>
        </w:rPr>
      </w:pPr>
      <w:r>
        <w:rPr>
          <w:rFonts w:ascii="Arial" w:cs="Arial" w:eastAsia="Arial" w:hAnsi="Arial"/>
          <w:sz w:val="18"/>
          <w:szCs w:val="18"/>
          <w:color w:val="auto"/>
        </w:rPr>
        <w:t>At June 30, 2011 Marketable securities of $12.3 billion increased $6.7 billion (or 121.4%) due to investments in securities with maturities exceeding 90 days reflecting our improved liquidity and cash position.</w:t>
      </w:r>
    </w:p>
    <w:p>
      <w:pPr>
        <w:spacing w:after="0" w:line="132" w:lineRule="exact"/>
        <w:rPr>
          <w:sz w:val="20"/>
          <w:szCs w:val="20"/>
          <w:color w:val="auto"/>
        </w:rPr>
      </w:pPr>
    </w:p>
    <w:p>
      <w:pPr>
        <w:ind w:right="20" w:firstLine="228"/>
        <w:spacing w:after="0" w:line="256" w:lineRule="auto"/>
        <w:rPr>
          <w:sz w:val="20"/>
          <w:szCs w:val="20"/>
          <w:color w:val="auto"/>
        </w:rPr>
      </w:pPr>
      <w:r>
        <w:rPr>
          <w:rFonts w:ascii="Arial" w:cs="Arial" w:eastAsia="Arial" w:hAnsi="Arial"/>
          <w:sz w:val="18"/>
          <w:szCs w:val="18"/>
          <w:color w:val="auto"/>
        </w:rPr>
        <w:t>At June 30, 2011 Accounts and notes receivable of $11.8 billion increased by $3.1 billion (or 35.5%), primarily due to: (1) increase related to the termination of the wholesale advance agreement with Ally Financial, in the U.S. and Canada, which provided for accelerated receipt of payment on dealer sales financed through Ally Financial of $2.4 billion; and (2) increased sales volume across all regions of $1.2 billion; partially offset by (3) collection of 2010 dividends of $0.9 billion primarily from our China JVs.</w:t>
      </w:r>
    </w:p>
    <w:p>
      <w:pPr>
        <w:spacing w:after="0" w:line="143" w:lineRule="exact"/>
        <w:rPr>
          <w:sz w:val="20"/>
          <w:szCs w:val="20"/>
          <w:color w:val="auto"/>
        </w:rPr>
      </w:pPr>
    </w:p>
    <w:p>
      <w:pPr>
        <w:ind w:right="200" w:firstLine="228"/>
        <w:spacing w:after="0" w:line="306" w:lineRule="auto"/>
        <w:rPr>
          <w:sz w:val="20"/>
          <w:szCs w:val="20"/>
          <w:color w:val="auto"/>
        </w:rPr>
      </w:pPr>
      <w:r>
        <w:rPr>
          <w:rFonts w:ascii="Arial" w:cs="Arial" w:eastAsia="Arial" w:hAnsi="Arial"/>
          <w:sz w:val="16"/>
          <w:szCs w:val="16"/>
          <w:color w:val="auto"/>
        </w:rPr>
        <w:t>At June 30, 2011 Inventories of $14.1 billion increased by $2.0 billion (or 16.3%), primarily to support increased forecasted production and to build up inventory from seasonally low levels in December 2010 to support increased demand for our products of $1.6 billion and favorable foreign currency translation effect of $0.4 billion, primarily in GME and GMIO, due to the strengthening of major currencies against the U.S. Dollar.</w:t>
      </w:r>
    </w:p>
    <w:p>
      <w:pPr>
        <w:spacing w:after="0" w:line="107" w:lineRule="exact"/>
        <w:rPr>
          <w:sz w:val="20"/>
          <w:szCs w:val="20"/>
          <w:color w:val="auto"/>
        </w:rPr>
      </w:pPr>
    </w:p>
    <w:p>
      <w:pPr>
        <w:ind w:firstLine="228"/>
        <w:spacing w:after="0" w:line="256" w:lineRule="auto"/>
        <w:rPr>
          <w:sz w:val="20"/>
          <w:szCs w:val="20"/>
          <w:color w:val="auto"/>
        </w:rPr>
      </w:pPr>
      <w:r>
        <w:rPr>
          <w:rFonts w:ascii="Arial" w:cs="Arial" w:eastAsia="Arial" w:hAnsi="Arial"/>
          <w:sz w:val="18"/>
          <w:szCs w:val="18"/>
          <w:color w:val="auto"/>
        </w:rPr>
        <w:t>At June 30, 2011 Equipment on operating leases, net of $4.2 billion increased by $1.6 billion (or 62.8%), primarily due to an increase of $1.2 billion in GMNA primarily related to vehicles leased to daily rental car companies (vehicles leased to U.S. daily rental car companies increased to 183,000 vehicles at June 30, 2011 from 118,000 vehicles at December 31, 2010), and an increase of $0.4 billion in GME due to a net increase in leased vehicles from 40,000 vehicles at December 31, 2010 to 64,000 vehicles at June 30, 2011.</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Non-Current Assets</w:t>
      </w:r>
    </w:p>
    <w:p>
      <w:pPr>
        <w:spacing w:after="0" w:line="171" w:lineRule="exact"/>
        <w:rPr>
          <w:sz w:val="20"/>
          <w:szCs w:val="20"/>
          <w:color w:val="auto"/>
        </w:rPr>
      </w:pPr>
    </w:p>
    <w:p>
      <w:pPr>
        <w:ind w:right="140" w:firstLine="228"/>
        <w:spacing w:after="0" w:line="259" w:lineRule="auto"/>
        <w:rPr>
          <w:sz w:val="20"/>
          <w:szCs w:val="20"/>
          <w:color w:val="auto"/>
        </w:rPr>
      </w:pPr>
      <w:r>
        <w:rPr>
          <w:rFonts w:ascii="Arial" w:cs="Arial" w:eastAsia="Arial" w:hAnsi="Arial"/>
          <w:sz w:val="18"/>
          <w:szCs w:val="18"/>
          <w:color w:val="auto"/>
        </w:rPr>
        <w:t>At June 30, 2011 Equity in net assets of nonconsolidated affiliates of $7.2 billion decreased by $1.4 billion (or 16.1%), primarily due to a decrease of $2.0 billion resulting from the March 2011 sale of our interest in New Delphi. This reduction was partially offset by equity income of $0.8 billion primarily related to our China JVs.</w:t>
      </w:r>
    </w:p>
    <w:p>
      <w:pPr>
        <w:spacing w:after="0" w:line="140" w:lineRule="exact"/>
        <w:rPr>
          <w:sz w:val="20"/>
          <w:szCs w:val="20"/>
          <w:color w:val="auto"/>
        </w:rPr>
      </w:pPr>
    </w:p>
    <w:p>
      <w:pPr>
        <w:ind w:right="240" w:firstLine="228"/>
        <w:spacing w:after="0" w:line="298" w:lineRule="auto"/>
        <w:rPr>
          <w:sz w:val="20"/>
          <w:szCs w:val="20"/>
          <w:color w:val="auto"/>
        </w:rPr>
      </w:pPr>
      <w:r>
        <w:rPr>
          <w:rFonts w:ascii="Arial" w:cs="Arial" w:eastAsia="Arial" w:hAnsi="Arial"/>
          <w:sz w:val="16"/>
          <w:szCs w:val="16"/>
          <w:color w:val="auto"/>
        </w:rPr>
        <w:t>At June 30, 2011 Property, net of $21.0 billion increased by $1.8 billion (or 9.1%) primarily due to (1) capital expenditures of $3.2 billion; (2) new capital leases of $0.1 billion; and (3) favorable foreign currency translation and remeasurement effects of $0.5 billion primarily in GME, GMIO and GMSA due to the strengthening of major currencies against the U.S. Dollar; partially offset by (4) depreciation of $1.9 billion; (5) decreases of $0.1 billion associated with the deconsolidation of VM Motori; and (6) decreases of $0.1 billion associated with disposals.</w:t>
      </w:r>
    </w:p>
    <w:p>
      <w:pPr>
        <w:spacing w:after="0" w:line="113" w:lineRule="exact"/>
        <w:rPr>
          <w:sz w:val="20"/>
          <w:szCs w:val="20"/>
          <w:color w:val="auto"/>
        </w:rPr>
      </w:pPr>
    </w:p>
    <w:p>
      <w:pPr>
        <w:ind w:right="140" w:firstLine="228"/>
        <w:spacing w:after="0" w:line="254" w:lineRule="auto"/>
        <w:rPr>
          <w:sz w:val="20"/>
          <w:szCs w:val="20"/>
          <w:color w:val="auto"/>
        </w:rPr>
      </w:pPr>
      <w:r>
        <w:rPr>
          <w:rFonts w:ascii="Arial" w:cs="Arial" w:eastAsia="Arial" w:hAnsi="Arial"/>
          <w:sz w:val="18"/>
          <w:szCs w:val="18"/>
          <w:color w:val="auto"/>
        </w:rPr>
        <w:t>At June 30, 2011 Goodwill of $28.8 billion decreased by $1.7 billion (or 5.7%) due to impairment charges of $1.9 billion recognized upon our adoption of Accounting Standard Update (ASU) 2010-28, “Intangibles – Goodwill and Other: When to Perform Step 2 of the Goodwill Impairment Test for Reporting Units with Zero or Negative Carrying Amounts” (ASU 2010-28). The impairment charges, in GME, resulted in the recognition of a cumulative-effect adjustment to beginning Retained earnings of $1.5 billion and an impairment charge of $0.4 billion recorded in Goodwill impairment charges during the three months ended March 31, 2011. This adjustment was partially offset by $0.2 billion due to favorable foreign currency translation effect primarily in GME due to the Euro strengthening against the U.S. dollar.</w:t>
      </w:r>
    </w:p>
    <w:p>
      <w:pPr>
        <w:spacing w:after="0" w:line="144" w:lineRule="exact"/>
        <w:rPr>
          <w:sz w:val="20"/>
          <w:szCs w:val="20"/>
          <w:color w:val="auto"/>
        </w:rPr>
      </w:pPr>
    </w:p>
    <w:p>
      <w:pPr>
        <w:ind w:right="340" w:firstLine="228"/>
        <w:spacing w:after="0" w:line="332" w:lineRule="auto"/>
        <w:rPr>
          <w:sz w:val="20"/>
          <w:szCs w:val="20"/>
          <w:color w:val="auto"/>
        </w:rPr>
      </w:pPr>
      <w:r>
        <w:rPr>
          <w:rFonts w:ascii="Arial" w:cs="Arial" w:eastAsia="Arial" w:hAnsi="Arial"/>
          <w:sz w:val="16"/>
          <w:szCs w:val="16"/>
          <w:color w:val="auto"/>
        </w:rPr>
        <w:t>At June 30, 2011 Intangible assets, net of $11.1 billion decreased by $0.8 billion (or 6.7%), primarily due to amortization of $1.0 billion partially offset by favorable foreign currency translation effect of $0.2 billion primarily in GME due to the strengthening of major currencies against the U.S. Dollar.</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Current Liabilities</w:t>
      </w:r>
    </w:p>
    <w:p>
      <w:pPr>
        <w:spacing w:after="0" w:line="171" w:lineRule="exact"/>
        <w:rPr>
          <w:sz w:val="20"/>
          <w:szCs w:val="20"/>
          <w:color w:val="auto"/>
        </w:rPr>
      </w:pPr>
    </w:p>
    <w:p>
      <w:pPr>
        <w:ind w:right="40" w:firstLine="228"/>
        <w:spacing w:after="0" w:line="286" w:lineRule="auto"/>
        <w:rPr>
          <w:sz w:val="20"/>
          <w:szCs w:val="20"/>
          <w:color w:val="auto"/>
        </w:rPr>
      </w:pPr>
      <w:r>
        <w:rPr>
          <w:rFonts w:ascii="Arial" w:cs="Arial" w:eastAsia="Arial" w:hAnsi="Arial"/>
          <w:sz w:val="16"/>
          <w:szCs w:val="16"/>
          <w:color w:val="auto"/>
        </w:rPr>
        <w:t>At June 30, 2011 Accounts payable of $25.4 billion increased by $3.9 billion (or 18.2%), primarily due to: (1) higher payables of $2.4 billion for materials due to increased production volume; (2) an increase in accounts payable for capital projects of $0.8 billion as we prepare for new vehicle launches; and</w:t>
      </w:r>
    </w:p>
    <w:p>
      <w:pPr>
        <w:ind w:right="160" w:firstLine="8"/>
        <w:spacing w:after="0" w:line="261" w:lineRule="auto"/>
        <w:tabs>
          <w:tab w:leader="none" w:pos="249" w:val="left"/>
        </w:tabs>
        <w:numPr>
          <w:ilvl w:val="0"/>
          <w:numId w:val="46"/>
        </w:numPr>
        <w:rPr>
          <w:rFonts w:ascii="Arial" w:cs="Arial" w:eastAsia="Arial" w:hAnsi="Arial"/>
          <w:sz w:val="18"/>
          <w:szCs w:val="18"/>
          <w:color w:val="auto"/>
        </w:rPr>
      </w:pPr>
      <w:r>
        <w:rPr>
          <w:rFonts w:ascii="Arial" w:cs="Arial" w:eastAsia="Arial" w:hAnsi="Arial"/>
          <w:sz w:val="18"/>
          <w:szCs w:val="18"/>
          <w:color w:val="auto"/>
        </w:rPr>
        <w:t>unfavorable foreign currency translation and remeasurement effects of $0.7 billion across all regions due to the strengthening of major currencies against the U.S. Dollar.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jc w:val="both"/>
        <w:ind w:right="100" w:firstLine="228"/>
        <w:spacing w:after="0" w:line="306" w:lineRule="auto"/>
        <w:rPr>
          <w:sz w:val="20"/>
          <w:szCs w:val="20"/>
          <w:color w:val="auto"/>
        </w:rPr>
      </w:pPr>
      <w:r>
        <w:rPr>
          <w:rFonts w:ascii="Arial" w:cs="Arial" w:eastAsia="Arial" w:hAnsi="Arial"/>
          <w:sz w:val="16"/>
          <w:szCs w:val="16"/>
          <w:color w:val="auto"/>
        </w:rPr>
        <w:t>At June 30, 2011 Short-term debt and current portion of long-term debt of $2.0 billion increased by $0.4 billion (or 25.4%), primarily due to reclassifications from long-term debt to short-term debt for expected payments to be made in the next 12 months of $0.3 billion and unfavorable foreign currency translation and remeasurement effects of $0.1 billion primarily in GME due to the strengthening of major currencies against the U.S. Dollar.</w:t>
      </w:r>
    </w:p>
    <w:p>
      <w:pPr>
        <w:spacing w:after="0" w:line="107" w:lineRule="exact"/>
        <w:rPr>
          <w:sz w:val="20"/>
          <w:szCs w:val="20"/>
          <w:color w:val="auto"/>
        </w:rPr>
      </w:pPr>
    </w:p>
    <w:p>
      <w:pPr>
        <w:ind w:right="180" w:firstLine="228"/>
        <w:spacing w:after="0" w:line="294" w:lineRule="auto"/>
        <w:rPr>
          <w:sz w:val="20"/>
          <w:szCs w:val="20"/>
          <w:color w:val="auto"/>
        </w:rPr>
      </w:pPr>
      <w:r>
        <w:rPr>
          <w:rFonts w:ascii="Arial" w:cs="Arial" w:eastAsia="Arial" w:hAnsi="Arial"/>
          <w:sz w:val="16"/>
          <w:szCs w:val="16"/>
          <w:color w:val="auto"/>
        </w:rPr>
        <w:t>At June 30, 2011 Accrued liabilities of $26.4 billion increased by $2.4 billion (or 9.8%) primarily due to: (1) an increase in customer deposits related to the increased number of vehicles leased to daily rental car companies of $2.2 billion; (2) an increase in product warranty and recall campaign accrual due to recent claims experience of $0.5 billion; (3) unfavorable foreign currency translation and remeasurement effects of $0.5 billion primarily in GME due to the strengthening of major currencies against the U.S. Dollar; (4) an increase in dealer and customer sales allowances of $0.2 billion primarily in GMNA; partially offset by (5) a decrease in payroll and employee benefits accruals of $0.5 billion; and (6) decreases in various accruals of $0.5 billion.</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Non-Current Liabilities</w:t>
      </w:r>
    </w:p>
    <w:p>
      <w:pPr>
        <w:spacing w:after="0" w:line="171" w:lineRule="exact"/>
        <w:rPr>
          <w:sz w:val="20"/>
          <w:szCs w:val="20"/>
          <w:color w:val="auto"/>
        </w:rPr>
      </w:pPr>
    </w:p>
    <w:p>
      <w:pPr>
        <w:ind w:right="140" w:firstLine="228"/>
        <w:spacing w:after="0" w:line="306" w:lineRule="auto"/>
        <w:rPr>
          <w:sz w:val="20"/>
          <w:szCs w:val="20"/>
          <w:color w:val="auto"/>
        </w:rPr>
      </w:pPr>
      <w:r>
        <w:rPr>
          <w:rFonts w:ascii="Arial" w:cs="Arial" w:eastAsia="Arial" w:hAnsi="Arial"/>
          <w:sz w:val="16"/>
          <w:szCs w:val="16"/>
          <w:color w:val="auto"/>
        </w:rPr>
        <w:t>At June 30, 2011 Long-term debt of $2.7 billion decreased $0.3 billion (or 10.7%), primarily due to reclassifications of long-term debt to short-term debt for expected payments to be made in the next 12 months of $0.3 billion, partially offset by unfavorable foreign currency translation and remeasurement effects of $0.1 billion primarily in GMIO and GMSA due to the strengthening of major currencies against the U.S. Dollar.</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At June 30, 2011 Pensions liabilities of $21.4 billion decreased by $0.5 billion (or 2.3%) due to: (1) contributions and benefits payments of $0.5 billion;</w:t>
      </w:r>
    </w:p>
    <w:p>
      <w:pPr>
        <w:spacing w:after="0" w:line="38" w:lineRule="exact"/>
        <w:rPr>
          <w:sz w:val="20"/>
          <w:szCs w:val="20"/>
          <w:color w:val="auto"/>
        </w:rPr>
      </w:pPr>
    </w:p>
    <w:p>
      <w:pPr>
        <w:jc w:val="both"/>
        <w:ind w:right="100" w:firstLine="8"/>
        <w:spacing w:after="0" w:line="302" w:lineRule="auto"/>
        <w:tabs>
          <w:tab w:leader="none" w:pos="249" w:val="left"/>
        </w:tabs>
        <w:numPr>
          <w:ilvl w:val="0"/>
          <w:numId w:val="47"/>
        </w:numPr>
        <w:rPr>
          <w:rFonts w:ascii="Arial" w:cs="Arial" w:eastAsia="Arial" w:hAnsi="Arial"/>
          <w:sz w:val="16"/>
          <w:szCs w:val="16"/>
          <w:color w:val="auto"/>
        </w:rPr>
      </w:pPr>
      <w:r>
        <w:rPr>
          <w:rFonts w:ascii="Arial" w:cs="Arial" w:eastAsia="Arial" w:hAnsi="Arial"/>
          <w:sz w:val="16"/>
          <w:szCs w:val="16"/>
          <w:color w:val="auto"/>
        </w:rPr>
        <w:t>decrease related to the revaluation of pension plans, in the three months ended March 31, 2011, of $0.3 billion in GME associated with goodwill impairment testing; and (3) expected return on assets in excess of service and interest expense of $0.2 billion; partially offset by (4) unfavorable foreign currency translation and remeasurement effects of $0.5 billion primarily in GME due to the strengthening of major currencies against the U.S. Dollar.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Financing — GM Financial</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Total GM Financial Assets</w:t>
      </w:r>
    </w:p>
    <w:p>
      <w:pPr>
        <w:spacing w:after="0" w:line="171" w:lineRule="exact"/>
        <w:rPr>
          <w:sz w:val="20"/>
          <w:szCs w:val="20"/>
          <w:color w:val="auto"/>
        </w:rPr>
      </w:pPr>
    </w:p>
    <w:p>
      <w:pPr>
        <w:ind w:right="200" w:firstLine="228"/>
        <w:spacing w:after="0" w:line="268" w:lineRule="auto"/>
        <w:rPr>
          <w:sz w:val="20"/>
          <w:szCs w:val="20"/>
          <w:color w:val="auto"/>
        </w:rPr>
      </w:pPr>
      <w:r>
        <w:rPr>
          <w:rFonts w:ascii="Arial" w:cs="Arial" w:eastAsia="Arial" w:hAnsi="Arial"/>
          <w:sz w:val="18"/>
          <w:szCs w:val="18"/>
          <w:color w:val="auto"/>
        </w:rPr>
        <w:t>At June 30, 2011 Finance receivables, net of $8.6 billion increased by $0.4 billion (or 4.8%), primarily due to new loan originations of $2.5 billion partially offset by principal collections and gross charge offs of $2.0 billion.</w:t>
      </w:r>
    </w:p>
    <w:p>
      <w:pPr>
        <w:spacing w:after="0" w:line="132" w:lineRule="exact"/>
        <w:rPr>
          <w:sz w:val="20"/>
          <w:szCs w:val="20"/>
          <w:color w:val="auto"/>
        </w:rPr>
      </w:pPr>
    </w:p>
    <w:p>
      <w:pPr>
        <w:ind w:firstLine="228"/>
        <w:spacing w:after="0" w:line="332" w:lineRule="auto"/>
        <w:rPr>
          <w:sz w:val="20"/>
          <w:szCs w:val="20"/>
          <w:color w:val="auto"/>
        </w:rPr>
      </w:pPr>
      <w:r>
        <w:rPr>
          <w:rFonts w:ascii="Arial" w:cs="Arial" w:eastAsia="Arial" w:hAnsi="Arial"/>
          <w:sz w:val="16"/>
          <w:szCs w:val="16"/>
          <w:color w:val="auto"/>
        </w:rPr>
        <w:t>At June 30, 2011 Other assets of $1.1 billion increased by $0.7 billion (or 194.2%), primarily due to an increase in cash and cash equivalents of $0.3 billion as a result of the issuance of 6.75% senior notes of $0.5 billion and an increase in new leased vehicle originations of $0.4 billion.</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Total GM Financial Liabilities</w:t>
      </w:r>
    </w:p>
    <w:p>
      <w:pPr>
        <w:spacing w:after="0" w:line="171" w:lineRule="exact"/>
        <w:rPr>
          <w:sz w:val="20"/>
          <w:szCs w:val="20"/>
          <w:color w:val="auto"/>
        </w:rPr>
      </w:pPr>
    </w:p>
    <w:p>
      <w:pPr>
        <w:ind w:right="240" w:firstLine="228"/>
        <w:spacing w:after="0" w:line="268" w:lineRule="auto"/>
        <w:rPr>
          <w:sz w:val="20"/>
          <w:szCs w:val="20"/>
          <w:color w:val="auto"/>
        </w:rPr>
      </w:pPr>
      <w:r>
        <w:rPr>
          <w:rFonts w:ascii="Arial" w:cs="Arial" w:eastAsia="Arial" w:hAnsi="Arial"/>
          <w:sz w:val="18"/>
          <w:szCs w:val="18"/>
          <w:color w:val="auto"/>
        </w:rPr>
        <w:t>At June 30, 2011 Securitization notes payable of $6.9 billion increased by $0.8 billion (or 12.3%), primarily due to the issuance of new securitization notes payable of $2.8 billion partially offset by a normal principal amortization of the securitization notes payable.</w:t>
      </w:r>
    </w:p>
    <w:p>
      <w:pPr>
        <w:spacing w:after="0" w:line="132" w:lineRule="exact"/>
        <w:rPr>
          <w:sz w:val="20"/>
          <w:szCs w:val="20"/>
          <w:color w:val="auto"/>
        </w:rPr>
      </w:pPr>
    </w:p>
    <w:p>
      <w:pPr>
        <w:ind w:right="500" w:firstLine="228"/>
        <w:spacing w:after="0" w:line="332" w:lineRule="auto"/>
        <w:rPr>
          <w:sz w:val="20"/>
          <w:szCs w:val="20"/>
          <w:color w:val="auto"/>
        </w:rPr>
      </w:pPr>
      <w:r>
        <w:rPr>
          <w:rFonts w:ascii="Arial" w:cs="Arial" w:eastAsia="Arial" w:hAnsi="Arial"/>
          <w:sz w:val="16"/>
          <w:szCs w:val="16"/>
          <w:color w:val="auto"/>
        </w:rPr>
        <w:t>At June 30, 2011 Credit facilities of $0.4 billion decreased by $0.4 billion (or 49.2%), primarily due to lower utilization of the credit facilities due to an increase resulting from the issuance of securitization notes payable, as well as the issuance of $0.5 billion of 6.75% senior notes in June 2011.</w:t>
      </w:r>
    </w:p>
    <w:p>
      <w:pPr>
        <w:spacing w:after="0" w:line="85" w:lineRule="exact"/>
        <w:rPr>
          <w:sz w:val="20"/>
          <w:szCs w:val="20"/>
          <w:color w:val="auto"/>
        </w:rPr>
      </w:pPr>
    </w:p>
    <w:p>
      <w:pPr>
        <w:jc w:val="center"/>
        <w:ind w:right="160"/>
        <w:spacing w:after="0" w:line="440" w:lineRule="auto"/>
        <w:rPr>
          <w:sz w:val="20"/>
          <w:szCs w:val="20"/>
          <w:color w:val="auto"/>
        </w:rPr>
      </w:pPr>
      <w:r>
        <w:rPr>
          <w:rFonts w:ascii="Arial" w:cs="Arial" w:eastAsia="Arial" w:hAnsi="Arial"/>
          <w:sz w:val="18"/>
          <w:szCs w:val="18"/>
          <w:color w:val="auto"/>
        </w:rPr>
        <w:t>At June 30, 2011 Other liabilities of $0.9 billion increased by $0.5 billion (or 122.1%), primarily due to the issuance of 6.75% senior notes in June 2011. 71</w:t>
      </w:r>
    </w:p>
    <w:p>
      <w:pPr>
        <w:sectPr>
          <w:pgSz w:w="11900" w:h="16838" w:orient="portrait"/>
          <w:cols w:equalWidth="0" w:num="1">
            <w:col w:w="11360"/>
          </w:cols>
          <w:pgMar w:left="240" w:top="459" w:right="2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3540" w:firstLine="3306"/>
        <w:spacing w:after="0" w:line="484" w:lineRule="auto"/>
        <w:rPr>
          <w:sz w:val="20"/>
          <w:szCs w:val="20"/>
          <w:color w:val="auto"/>
        </w:rPr>
      </w:pPr>
      <w:r>
        <w:rPr>
          <w:rFonts w:ascii="Arial" w:cs="Arial" w:eastAsia="Arial" w:hAnsi="Arial"/>
          <w:sz w:val="16"/>
          <w:szCs w:val="16"/>
          <w:b w:val="1"/>
          <w:bCs w:val="1"/>
          <w:color w:val="auto"/>
        </w:rPr>
        <w:t xml:space="preserve">GENERAL MOTORS COMPANY AND SUBSIDIARIES </w:t>
      </w:r>
      <w:r>
        <w:rPr>
          <w:rFonts w:ascii="Arial" w:cs="Arial" w:eastAsia="Arial" w:hAnsi="Arial"/>
          <w:sz w:val="16"/>
          <w:szCs w:val="16"/>
          <w:color w:val="auto"/>
        </w:rPr>
        <w:t>Further information on each of our business segments is subsequently discussed.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North America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89"/>
              </w:rPr>
              <w:t>Three Months Ended</w:t>
            </w:r>
          </w:p>
        </w:tc>
        <w:tc>
          <w:tcPr>
            <w:tcW w:w="80" w:type="dxa"/>
            <w:vAlign w:val="bottom"/>
          </w:tcPr>
          <w:p>
            <w:pPr>
              <w:spacing w:after="0"/>
              <w:rPr>
                <w:sz w:val="14"/>
                <w:szCs w:val="14"/>
                <w:color w:val="auto"/>
              </w:rPr>
            </w:pPr>
          </w:p>
        </w:tc>
        <w:tc>
          <w:tcPr>
            <w:tcW w:w="1480" w:type="dxa"/>
            <w:vAlign w:val="bottom"/>
            <w:gridSpan w:val="5"/>
          </w:tcPr>
          <w:p>
            <w:pPr>
              <w:ind w:left="12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50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040" w:type="dxa"/>
            <w:vAlign w:val="bottom"/>
            <w:tcBorders>
              <w:bottom w:val="single" w:sz="8" w:color="CCEEFF"/>
            </w:tcBorders>
          </w:tcPr>
          <w:p>
            <w:pPr>
              <w:spacing w:after="0"/>
              <w:rPr>
                <w:sz w:val="12"/>
                <w:szCs w:val="12"/>
                <w:color w:val="auto"/>
              </w:rPr>
            </w:pPr>
          </w:p>
        </w:tc>
        <w:tc>
          <w:tcPr>
            <w:tcW w:w="30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96"/>
              </w:rPr>
              <w:t>2010</w:t>
            </w:r>
          </w:p>
        </w:tc>
        <w:tc>
          <w:tcPr>
            <w:tcW w:w="3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sales and revenue</w:t>
            </w:r>
          </w:p>
        </w:tc>
        <w:tc>
          <w:tcPr>
            <w:tcW w:w="30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23,128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20,266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45,238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39,552</w:t>
            </w:r>
          </w:p>
        </w:tc>
        <w:tc>
          <w:tcPr>
            <w:tcW w:w="100" w:type="dxa"/>
            <w:vAlign w:val="bottom"/>
            <w:shd w:val="clear" w:color="auto" w:fill="CCEEFF"/>
          </w:tcPr>
          <w:p>
            <w:pPr>
              <w:spacing w:after="0"/>
              <w:rPr>
                <w:sz w:val="18"/>
                <w:szCs w:val="18"/>
                <w:color w:val="auto"/>
              </w:rPr>
            </w:pPr>
          </w:p>
        </w:tc>
      </w:tr>
      <w:tr>
        <w:trPr>
          <w:trHeight w:val="228"/>
        </w:trPr>
        <w:tc>
          <w:tcPr>
            <w:tcW w:w="5040" w:type="dxa"/>
            <w:vAlign w:val="bottom"/>
          </w:tcPr>
          <w:p>
            <w:pPr>
              <w:spacing w:after="0"/>
              <w:rPr>
                <w:sz w:val="20"/>
                <w:szCs w:val="20"/>
                <w:color w:val="auto"/>
              </w:rPr>
            </w:pPr>
            <w:r>
              <w:rPr>
                <w:rFonts w:ascii="Arial" w:cs="Arial" w:eastAsia="Arial" w:hAnsi="Arial"/>
                <w:sz w:val="18"/>
                <w:szCs w:val="18"/>
                <w:b w:val="1"/>
                <w:bCs w:val="1"/>
                <w:color w:val="auto"/>
              </w:rPr>
              <w:t>EBIT</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2,249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1,592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5,147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2,810</w:t>
            </w:r>
          </w:p>
        </w:tc>
        <w:tc>
          <w:tcPr>
            <w:tcW w:w="100" w:type="dxa"/>
            <w:vAlign w:val="bottom"/>
          </w:tcPr>
          <w:p>
            <w:pPr>
              <w:spacing w:after="0"/>
              <w:rPr>
                <w:sz w:val="19"/>
                <w:szCs w:val="19"/>
                <w:color w:val="auto"/>
              </w:rPr>
            </w:pPr>
          </w:p>
        </w:tc>
      </w:tr>
    </w:tbl>
    <w:p>
      <w:pPr>
        <w:spacing w:after="0" w:line="14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Vehicle Sales and Production Volume</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summarize total production volume and new vehicle sales volume and competitive position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186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142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7"/>
              </w:rPr>
              <w:t>Six Months Ended</w:t>
            </w:r>
          </w:p>
        </w:tc>
      </w:tr>
      <w:tr>
        <w:trPr>
          <w:trHeight w:val="161"/>
        </w:trPr>
        <w:tc>
          <w:tcPr>
            <w:tcW w:w="8140" w:type="dxa"/>
            <w:vAlign w:val="bottom"/>
          </w:tcPr>
          <w:p>
            <w:pPr>
              <w:spacing w:after="0"/>
              <w:rPr>
                <w:sz w:val="14"/>
                <w:szCs w:val="14"/>
                <w:color w:val="auto"/>
              </w:rPr>
            </w:pPr>
          </w:p>
        </w:tc>
        <w:tc>
          <w:tcPr>
            <w:tcW w:w="102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w w:val="92"/>
              </w:rPr>
              <w:t>June 30,</w:t>
            </w:r>
          </w:p>
        </w:tc>
        <w:tc>
          <w:tcPr>
            <w:tcW w:w="4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Borders>
              <w:bottom w:val="single" w:sz="8" w:color="auto"/>
            </w:tcBorders>
            <w:gridSpan w:val="3"/>
          </w:tcPr>
          <w:p>
            <w:pPr>
              <w:jc w:val="center"/>
              <w:ind w:left="322"/>
              <w:spacing w:after="0"/>
              <w:rPr>
                <w:sz w:val="20"/>
                <w:szCs w:val="20"/>
                <w:color w:val="auto"/>
              </w:rPr>
            </w:pPr>
            <w:r>
              <w:rPr>
                <w:rFonts w:ascii="Arial" w:cs="Arial" w:eastAsia="Arial" w:hAnsi="Arial"/>
                <w:sz w:val="14"/>
                <w:szCs w:val="14"/>
                <w:b w:val="1"/>
                <w:bCs w:val="1"/>
                <w:color w:val="auto"/>
                <w:w w:val="92"/>
              </w:rPr>
              <w:t>June 30,</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14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9"/>
              </w:rPr>
              <w:t>2010</w:t>
            </w:r>
          </w:p>
        </w:tc>
        <w:tc>
          <w:tcPr>
            <w:tcW w:w="4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Borders>
              <w:bottom w:val="single" w:sz="8" w:color="CCEEFF"/>
            </w:tcBorders>
          </w:tcPr>
          <w:p>
            <w:pPr>
              <w:spacing w:after="0"/>
              <w:rPr>
                <w:sz w:val="12"/>
                <w:szCs w:val="12"/>
                <w:color w:val="auto"/>
              </w:rPr>
            </w:pPr>
          </w:p>
        </w:tc>
      </w:tr>
      <w:tr>
        <w:trPr>
          <w:trHeight w:val="196"/>
        </w:trPr>
        <w:tc>
          <w:tcPr>
            <w:tcW w:w="8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Production volume</w:t>
            </w: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Cars</w:t>
            </w:r>
          </w:p>
        </w:tc>
        <w:tc>
          <w:tcPr>
            <w:tcW w:w="500" w:type="dxa"/>
            <w:vAlign w:val="bottom"/>
          </w:tcPr>
          <w:p>
            <w:pPr>
              <w:jc w:val="right"/>
              <w:spacing w:after="0"/>
              <w:rPr>
                <w:sz w:val="20"/>
                <w:szCs w:val="20"/>
                <w:color w:val="auto"/>
              </w:rPr>
            </w:pPr>
            <w:r>
              <w:rPr>
                <w:rFonts w:ascii="Arial" w:cs="Arial" w:eastAsia="Arial" w:hAnsi="Arial"/>
                <w:sz w:val="18"/>
                <w:szCs w:val="18"/>
                <w:color w:val="auto"/>
              </w:rPr>
              <w:t>308</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279</w:t>
            </w:r>
          </w:p>
        </w:tc>
        <w:tc>
          <w:tcPr>
            <w:tcW w:w="460" w:type="dxa"/>
            <w:vAlign w:val="bottom"/>
          </w:tcPr>
          <w:p>
            <w:pPr>
              <w:jc w:val="right"/>
              <w:spacing w:after="0"/>
              <w:rPr>
                <w:sz w:val="20"/>
                <w:szCs w:val="20"/>
                <w:color w:val="auto"/>
              </w:rPr>
            </w:pPr>
            <w:r>
              <w:rPr>
                <w:rFonts w:ascii="Arial" w:cs="Arial" w:eastAsia="Arial" w:hAnsi="Arial"/>
                <w:sz w:val="18"/>
                <w:szCs w:val="18"/>
                <w:color w:val="auto"/>
              </w:rPr>
              <w:t>593</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18"/>
                <w:szCs w:val="18"/>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Trucks</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4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1,017</w:t>
            </w:r>
          </w:p>
        </w:tc>
        <w:tc>
          <w:tcPr>
            <w:tcW w:w="4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100" w:type="dxa"/>
            <w:vAlign w:val="bottom"/>
            <w:shd w:val="clear" w:color="auto" w:fill="CCEEFF"/>
          </w:tcPr>
          <w:p>
            <w:pPr>
              <w:spacing w:after="0"/>
              <w:rPr>
                <w:sz w:val="18"/>
                <w:szCs w:val="18"/>
                <w:color w:val="auto"/>
              </w:rPr>
            </w:pPr>
          </w:p>
        </w:tc>
      </w:tr>
      <w:tr>
        <w:trPr>
          <w:trHeight w:val="222"/>
        </w:trPr>
        <w:tc>
          <w:tcPr>
            <w:tcW w:w="8140" w:type="dxa"/>
            <w:vAlign w:val="bottom"/>
          </w:tcPr>
          <w:p>
            <w:pPr>
              <w:spacing w:after="0"/>
              <w:rPr>
                <w:sz w:val="20"/>
                <w:szCs w:val="20"/>
                <w:color w:val="auto"/>
              </w:rPr>
            </w:pPr>
            <w:r>
              <w:rPr>
                <w:rFonts w:ascii="Arial" w:cs="Arial" w:eastAsia="Arial" w:hAnsi="Arial"/>
                <w:sz w:val="18"/>
                <w:szCs w:val="18"/>
                <w:color w:val="auto"/>
              </w:rPr>
              <w:t>Total</w:t>
            </w:r>
          </w:p>
        </w:tc>
        <w:tc>
          <w:tcPr>
            <w:tcW w:w="500" w:type="dxa"/>
            <w:vAlign w:val="bottom"/>
          </w:tcPr>
          <w:p>
            <w:pPr>
              <w:jc w:val="right"/>
              <w:spacing w:after="0"/>
              <w:rPr>
                <w:sz w:val="20"/>
                <w:szCs w:val="20"/>
                <w:color w:val="auto"/>
              </w:rPr>
            </w:pPr>
            <w:r>
              <w:rPr>
                <w:rFonts w:ascii="Arial" w:cs="Arial" w:eastAsia="Arial" w:hAnsi="Arial"/>
                <w:sz w:val="18"/>
                <w:szCs w:val="18"/>
                <w:color w:val="auto"/>
              </w:rPr>
              <w:t>824</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731</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1,610</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1,399</w:t>
            </w:r>
          </w:p>
        </w:tc>
        <w:tc>
          <w:tcPr>
            <w:tcW w:w="100" w:type="dxa"/>
            <w:vAlign w:val="bottom"/>
          </w:tcPr>
          <w:p>
            <w:pPr>
              <w:spacing w:after="0"/>
              <w:rPr>
                <w:sz w:val="19"/>
                <w:szCs w:val="19"/>
                <w:color w:val="auto"/>
              </w:rPr>
            </w:pPr>
          </w:p>
        </w:tc>
      </w:tr>
      <w:tr>
        <w:trPr>
          <w:trHeight w:val="20"/>
        </w:trPr>
        <w:tc>
          <w:tcPr>
            <w:tcW w:w="8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8"/>
              </w:rPr>
              <w:t>Six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54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135"/>
              <w:spacing w:after="0"/>
              <w:rPr>
                <w:sz w:val="20"/>
                <w:szCs w:val="20"/>
                <w:color w:val="auto"/>
              </w:rPr>
            </w:pPr>
            <w:r>
              <w:rPr>
                <w:rFonts w:ascii="Arial" w:cs="Arial" w:eastAsia="Arial" w:hAnsi="Arial"/>
                <w:sz w:val="14"/>
                <w:szCs w:val="14"/>
                <w:b w:val="1"/>
                <w:bCs w:val="1"/>
                <w:color w:val="auto"/>
              </w:rPr>
              <w:t>June 30,</w:t>
            </w:r>
          </w:p>
        </w:tc>
        <w:tc>
          <w:tcPr>
            <w:tcW w:w="3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85"/>
              </w:rPr>
              <w:t>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4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392"/>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312"/>
              <w:spacing w:after="0" w:line="142" w:lineRule="exact"/>
              <w:rPr>
                <w:sz w:val="20"/>
                <w:szCs w:val="20"/>
                <w:color w:val="auto"/>
              </w:rPr>
            </w:pPr>
            <w:r>
              <w:rPr>
                <w:rFonts w:ascii="Arial" w:cs="Arial" w:eastAsia="Arial" w:hAnsi="Arial"/>
                <w:sz w:val="14"/>
                <w:szCs w:val="14"/>
                <w:b w:val="1"/>
                <w:bCs w:val="1"/>
                <w:color w:val="auto"/>
                <w:w w:val="91"/>
              </w:rPr>
              <w:t>2010 (a)</w:t>
            </w:r>
          </w:p>
        </w:tc>
        <w:tc>
          <w:tcPr>
            <w:tcW w:w="2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472"/>
              <w:spacing w:after="0" w:line="142" w:lineRule="exact"/>
              <w:rPr>
                <w:sz w:val="20"/>
                <w:szCs w:val="20"/>
                <w:color w:val="auto"/>
              </w:rPr>
            </w:pPr>
            <w:r>
              <w:rPr>
                <w:rFonts w:ascii="Arial" w:cs="Arial" w:eastAsia="Arial" w:hAnsi="Arial"/>
                <w:sz w:val="14"/>
                <w:szCs w:val="14"/>
                <w:b w:val="1"/>
                <w:bCs w:val="1"/>
                <w:color w:val="auto"/>
                <w:w w:val="89"/>
              </w:rPr>
              <w:t>2011</w:t>
            </w:r>
          </w:p>
        </w:tc>
        <w:tc>
          <w:tcPr>
            <w:tcW w:w="280" w:type="dxa"/>
            <w:vAlign w:val="bottom"/>
          </w:tcPr>
          <w:p>
            <w:pPr>
              <w:spacing w:after="0"/>
              <w:rPr>
                <w:sz w:val="12"/>
                <w:szCs w:val="12"/>
                <w:color w:val="auto"/>
              </w:rPr>
            </w:pPr>
          </w:p>
        </w:tc>
        <w:tc>
          <w:tcPr>
            <w:tcW w:w="1320" w:type="dxa"/>
            <w:vAlign w:val="bottom"/>
            <w:tcBorders>
              <w:bottom w:val="single" w:sz="8" w:color="auto"/>
            </w:tcBorders>
            <w:gridSpan w:val="3"/>
          </w:tcPr>
          <w:p>
            <w:pPr>
              <w:jc w:val="right"/>
              <w:ind w:right="258"/>
              <w:spacing w:after="0" w:line="142" w:lineRule="exact"/>
              <w:rPr>
                <w:sz w:val="20"/>
                <w:szCs w:val="20"/>
                <w:color w:val="auto"/>
              </w:rPr>
            </w:pPr>
            <w:r>
              <w:rPr>
                <w:rFonts w:ascii="Arial" w:cs="Arial" w:eastAsia="Arial" w:hAnsi="Arial"/>
                <w:sz w:val="14"/>
                <w:szCs w:val="14"/>
                <w:b w:val="1"/>
                <w:bCs w:val="1"/>
                <w:color w:val="auto"/>
              </w:rPr>
              <w:t>2010 (a)(b)</w:t>
            </w:r>
          </w:p>
        </w:tc>
        <w:tc>
          <w:tcPr>
            <w:tcW w:w="100" w:type="dxa"/>
            <w:vAlign w:val="bottom"/>
          </w:tcPr>
          <w:p>
            <w:pPr>
              <w:spacing w:after="0"/>
              <w:rPr>
                <w:sz w:val="12"/>
                <w:szCs w:val="12"/>
                <w:color w:val="auto"/>
              </w:rPr>
            </w:pPr>
          </w:p>
        </w:tc>
      </w:tr>
      <w:tr>
        <w:trPr>
          <w:trHeight w:val="129"/>
        </w:trPr>
        <w:tc>
          <w:tcPr>
            <w:tcW w:w="5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7"/>
              </w:rPr>
              <w:t>GM</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GM</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7"/>
              </w:rPr>
              <w:t>GM</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GM</w:t>
            </w:r>
          </w:p>
        </w:tc>
        <w:tc>
          <w:tcPr>
            <w:tcW w:w="100" w:type="dxa"/>
            <w:vAlign w:val="bottom"/>
          </w:tcPr>
          <w:p>
            <w:pPr>
              <w:spacing w:after="0"/>
              <w:rPr>
                <w:sz w:val="11"/>
                <w:szCs w:val="11"/>
                <w:color w:val="auto"/>
              </w:rPr>
            </w:pPr>
          </w:p>
        </w:tc>
      </w:tr>
      <w:tr>
        <w:trPr>
          <w:trHeight w:val="149"/>
        </w:trPr>
        <w:tc>
          <w:tcPr>
            <w:tcW w:w="5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as a % of</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as a % of</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as a % of</w:t>
            </w: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as a % of</w:t>
            </w:r>
          </w:p>
        </w:tc>
      </w:tr>
      <w:tr>
        <w:trPr>
          <w:trHeight w:val="161"/>
        </w:trPr>
        <w:tc>
          <w:tcPr>
            <w:tcW w:w="5460" w:type="dxa"/>
            <w:vAlign w:val="bottom"/>
          </w:tcPr>
          <w:p>
            <w:pPr>
              <w:spacing w:after="0"/>
              <w:rPr>
                <w:sz w:val="14"/>
                <w:szCs w:val="14"/>
                <w:color w:val="auto"/>
              </w:rPr>
            </w:pPr>
          </w:p>
        </w:tc>
        <w:tc>
          <w:tcPr>
            <w:tcW w:w="380" w:type="dxa"/>
            <w:vAlign w:val="bottom"/>
            <w:gridSpan w:val="2"/>
          </w:tcPr>
          <w:p>
            <w:pPr>
              <w:ind w:left="40"/>
              <w:spacing w:after="0"/>
              <w:rPr>
                <w:sz w:val="20"/>
                <w:szCs w:val="20"/>
                <w:color w:val="auto"/>
              </w:rPr>
            </w:pPr>
            <w:r>
              <w:rPr>
                <w:rFonts w:ascii="Arial" w:cs="Arial" w:eastAsia="Arial" w:hAnsi="Arial"/>
                <w:sz w:val="14"/>
                <w:szCs w:val="14"/>
                <w:b w:val="1"/>
                <w:bCs w:val="1"/>
                <w:color w:val="auto"/>
              </w:rPr>
              <w:t>GM</w:t>
            </w:r>
          </w:p>
        </w:tc>
        <w:tc>
          <w:tcPr>
            <w:tcW w:w="22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Industry</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GM</w:t>
            </w:r>
          </w:p>
        </w:tc>
        <w:tc>
          <w:tcPr>
            <w:tcW w:w="30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Industry</w:t>
            </w:r>
          </w:p>
        </w:tc>
        <w:tc>
          <w:tcPr>
            <w:tcW w:w="480" w:type="dxa"/>
            <w:vAlign w:val="bottom"/>
            <w:gridSpan w:val="2"/>
          </w:tcPr>
          <w:p>
            <w:pPr>
              <w:ind w:left="100"/>
              <w:spacing w:after="0"/>
              <w:rPr>
                <w:sz w:val="20"/>
                <w:szCs w:val="20"/>
                <w:color w:val="auto"/>
              </w:rPr>
            </w:pPr>
            <w:r>
              <w:rPr>
                <w:rFonts w:ascii="Arial" w:cs="Arial" w:eastAsia="Arial" w:hAnsi="Arial"/>
                <w:sz w:val="14"/>
                <w:szCs w:val="14"/>
                <w:b w:val="1"/>
                <w:bCs w:val="1"/>
                <w:color w:val="auto"/>
              </w:rPr>
              <w:t>GM</w:t>
            </w:r>
          </w:p>
        </w:tc>
        <w:tc>
          <w:tcPr>
            <w:tcW w:w="26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Industry</w:t>
            </w:r>
          </w:p>
        </w:tc>
        <w:tc>
          <w:tcPr>
            <w:tcW w:w="740" w:type="dxa"/>
            <w:vAlign w:val="bottom"/>
            <w:gridSpan w:val="2"/>
          </w:tcPr>
          <w:p>
            <w:pPr>
              <w:ind w:left="120"/>
              <w:spacing w:after="0"/>
              <w:rPr>
                <w:sz w:val="20"/>
                <w:szCs w:val="20"/>
                <w:color w:val="auto"/>
              </w:rPr>
            </w:pPr>
            <w:r>
              <w:rPr>
                <w:rFonts w:ascii="Arial" w:cs="Arial" w:eastAsia="Arial" w:hAnsi="Arial"/>
                <w:sz w:val="14"/>
                <w:szCs w:val="14"/>
                <w:b w:val="1"/>
                <w:bCs w:val="1"/>
                <w:color w:val="auto"/>
              </w:rPr>
              <w:t>GM</w:t>
            </w: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Industry</w:t>
            </w:r>
          </w:p>
        </w:tc>
      </w:tr>
      <w:tr>
        <w:trPr>
          <w:trHeight w:val="196"/>
        </w:trPr>
        <w:tc>
          <w:tcPr>
            <w:tcW w:w="5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Vehicle sales (c)(d)(e)</w:t>
            </w:r>
          </w:p>
        </w:tc>
        <w:tc>
          <w:tcPr>
            <w:tcW w:w="3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460" w:type="dxa"/>
            <w:vAlign w:val="bottom"/>
          </w:tcPr>
          <w:p>
            <w:pPr>
              <w:ind w:left="220"/>
              <w:spacing w:after="0"/>
              <w:rPr>
                <w:sz w:val="20"/>
                <w:szCs w:val="20"/>
                <w:color w:val="auto"/>
              </w:rPr>
            </w:pPr>
            <w:r>
              <w:rPr>
                <w:rFonts w:ascii="Arial" w:cs="Arial" w:eastAsia="Arial" w:hAnsi="Arial"/>
                <w:sz w:val="18"/>
                <w:szCs w:val="18"/>
                <w:color w:val="auto"/>
              </w:rPr>
              <w:t>Total GMNA</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784</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19.1%</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716</w:t>
            </w: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18.7%</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1,468</w:t>
            </w: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18.7%</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1,280</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8"/>
                <w:szCs w:val="18"/>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U.S.</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669</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603</w:t>
            </w: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19.4%</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1,262</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19.6%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1,081</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ind w:left="220"/>
              <w:spacing w:after="0"/>
              <w:rPr>
                <w:sz w:val="20"/>
                <w:szCs w:val="20"/>
                <w:color w:val="auto"/>
              </w:rPr>
            </w:pPr>
            <w:r>
              <w:rPr>
                <w:rFonts w:ascii="Arial" w:cs="Arial" w:eastAsia="Arial" w:hAnsi="Arial"/>
                <w:sz w:val="18"/>
                <w:szCs w:val="18"/>
                <w:color w:val="auto"/>
              </w:rPr>
              <w:t>U.S. - Cars.</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302</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18.4%</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234</w:t>
            </w: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15.2%</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534</w:t>
            </w: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17.0%</w:t>
            </w:r>
          </w:p>
        </w:tc>
        <w:tc>
          <w:tcPr>
            <w:tcW w:w="460" w:type="dxa"/>
            <w:vAlign w:val="bottom"/>
          </w:tcPr>
          <w:p>
            <w:pPr>
              <w:jc w:val="right"/>
              <w:spacing w:after="0"/>
              <w:rPr>
                <w:sz w:val="20"/>
                <w:szCs w:val="20"/>
                <w:color w:val="auto"/>
              </w:rPr>
            </w:pPr>
            <w:r>
              <w:rPr>
                <w:rFonts w:ascii="Arial" w:cs="Arial" w:eastAsia="Arial" w:hAnsi="Arial"/>
                <w:sz w:val="18"/>
                <w:szCs w:val="18"/>
                <w:color w:val="auto"/>
              </w:rPr>
              <w:t>425</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8"/>
                <w:szCs w:val="18"/>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 Trucks</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367</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21.6%</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369</w:t>
            </w: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23.4%</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728</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22.0%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ind w:left="220"/>
              <w:spacing w:after="0"/>
              <w:rPr>
                <w:sz w:val="20"/>
                <w:szCs w:val="20"/>
                <w:color w:val="auto"/>
              </w:rPr>
            </w:pPr>
            <w:r>
              <w:rPr>
                <w:rFonts w:ascii="Arial" w:cs="Arial" w:eastAsia="Arial" w:hAnsi="Arial"/>
                <w:sz w:val="18"/>
                <w:szCs w:val="18"/>
                <w:color w:val="auto"/>
              </w:rPr>
              <w:t>Canada</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15.2%</w:t>
            </w:r>
          </w:p>
        </w:tc>
        <w:tc>
          <w:tcPr>
            <w:tcW w:w="320" w:type="dxa"/>
            <w:vAlign w:val="bottom"/>
          </w:tcPr>
          <w:p>
            <w:pPr>
              <w:jc w:val="right"/>
              <w:spacing w:after="0"/>
              <w:rPr>
                <w:sz w:val="20"/>
                <w:szCs w:val="20"/>
                <w:color w:val="auto"/>
              </w:rPr>
            </w:pPr>
            <w:r>
              <w:rPr>
                <w:rFonts w:ascii="Arial" w:cs="Arial" w:eastAsia="Arial" w:hAnsi="Arial"/>
                <w:sz w:val="18"/>
                <w:szCs w:val="18"/>
                <w:color w:val="auto"/>
              </w:rPr>
              <w:t>75</w:t>
            </w: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16.2%</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125</w:t>
            </w: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15.2%</w:t>
            </w:r>
          </w:p>
        </w:tc>
        <w:tc>
          <w:tcPr>
            <w:tcW w:w="460" w:type="dxa"/>
            <w:vAlign w:val="bottom"/>
          </w:tcPr>
          <w:p>
            <w:pPr>
              <w:jc w:val="right"/>
              <w:spacing w:after="0"/>
              <w:rPr>
                <w:sz w:val="20"/>
                <w:szCs w:val="20"/>
                <w:color w:val="auto"/>
              </w:rPr>
            </w:pPr>
            <w:r>
              <w:rPr>
                <w:rFonts w:ascii="Arial" w:cs="Arial" w:eastAsia="Arial" w:hAnsi="Arial"/>
                <w:sz w:val="18"/>
                <w:szCs w:val="18"/>
                <w:color w:val="auto"/>
              </w:rPr>
              <w:t>123</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8"/>
                <w:szCs w:val="18"/>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Mexico</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18.4%</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19.2%</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18.0%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8"/>
                <w:szCs w:val="18"/>
                <w:color w:val="auto"/>
              </w:rPr>
            </w:pPr>
          </w:p>
        </w:tc>
      </w:tr>
      <w:tr>
        <w:trPr>
          <w:trHeight w:val="222"/>
        </w:trPr>
        <w:tc>
          <w:tcPr>
            <w:tcW w:w="5460" w:type="dxa"/>
            <w:vAlign w:val="bottom"/>
          </w:tcPr>
          <w:p>
            <w:pPr>
              <w:ind w:left="220"/>
              <w:spacing w:after="0"/>
              <w:rPr>
                <w:sz w:val="20"/>
                <w:szCs w:val="20"/>
                <w:color w:val="auto"/>
              </w:rPr>
            </w:pPr>
            <w:r>
              <w:rPr>
                <w:rFonts w:ascii="Arial" w:cs="Arial" w:eastAsia="Arial" w:hAnsi="Arial"/>
                <w:sz w:val="18"/>
                <w:szCs w:val="18"/>
                <w:color w:val="auto"/>
              </w:rPr>
              <w:t>Other North America</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3.8%</w:t>
            </w: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3.0%</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3.6%</w:t>
            </w: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HUMMER, Saturn and Pontiac vehicle sales data.</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vehicle sales include Saab data through February 2010.</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Vehicle sales primarily represent sales to the end customer.</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Vehicle sales data may include rounding differences.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Certain fleet sales that are accounted for as operating leases are included in vehicle sales at time of delivery to the daily rental car companies.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92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15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0"/>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040" w:type="dxa"/>
            <w:vAlign w:val="bottom"/>
            <w:gridSpan w:val="3"/>
          </w:tcPr>
          <w:p>
            <w:pPr>
              <w:ind w:left="520"/>
              <w:spacing w:after="0"/>
              <w:rPr>
                <w:sz w:val="20"/>
                <w:szCs w:val="20"/>
                <w:color w:val="auto"/>
              </w:rPr>
            </w:pPr>
            <w:r>
              <w:rPr>
                <w:rFonts w:ascii="Arial" w:cs="Arial" w:eastAsia="Arial" w:hAnsi="Arial"/>
                <w:sz w:val="14"/>
                <w:szCs w:val="14"/>
                <w:b w:val="1"/>
                <w:bCs w:val="1"/>
                <w:color w:val="auto"/>
                <w:w w:val="89"/>
              </w:rPr>
              <w:t>June 30,</w:t>
            </w: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678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2010</w:t>
            </w:r>
          </w:p>
        </w:tc>
        <w:tc>
          <w:tcPr>
            <w:tcW w:w="42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9"/>
              </w:rPr>
              <w:t>2010 (a)</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GMNA vehicle sales by brand (b)(c)(d)</w:t>
            </w:r>
          </w:p>
        </w:tc>
        <w:tc>
          <w:tcPr>
            <w:tcW w:w="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rPr>
              <w:t>Buick</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41</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Cadillac</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rPr>
              <w:t>Chevrolet</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573</w:t>
            </w:r>
          </w:p>
        </w:tc>
        <w:tc>
          <w:tcPr>
            <w:tcW w:w="8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523</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1,061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GMC</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106</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rPr>
              <w:t>Other-Opel</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7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core brands</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784</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708</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1,468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40" w:type="dxa"/>
            <w:vAlign w:val="bottom"/>
            <w:gridSpan w:val="3"/>
            <w:vMerge w:val="restart"/>
          </w:tcPr>
          <w:p>
            <w:pPr>
              <w:spacing w:after="0"/>
              <w:rPr>
                <w:sz w:val="20"/>
                <w:szCs w:val="20"/>
                <w:color w:val="auto"/>
              </w:rPr>
            </w:pPr>
            <w:r>
              <w:rPr>
                <w:rFonts w:ascii="Arial" w:cs="Arial" w:eastAsia="Arial" w:hAnsi="Arial"/>
                <w:sz w:val="18"/>
                <w:szCs w:val="18"/>
                <w:color w:val="auto"/>
              </w:rPr>
              <w:t>HUMMER</w:t>
            </w: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940" w:type="dxa"/>
            <w:vAlign w:val="bottom"/>
            <w:gridSpan w:val="3"/>
            <w:vMerge w:val="continue"/>
          </w:tcPr>
          <w:p>
            <w:pPr>
              <w:spacing w:after="0"/>
              <w:rPr>
                <w:sz w:val="19"/>
                <w:szCs w:val="19"/>
                <w:color w:val="auto"/>
              </w:rPr>
            </w:pPr>
          </w:p>
        </w:tc>
        <w:tc>
          <w:tcPr>
            <w:tcW w:w="10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2</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Pontiac</w:t>
            </w:r>
          </w:p>
        </w:tc>
        <w:tc>
          <w:tcPr>
            <w:tcW w:w="10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rPr>
              <w:t>Saab</w:t>
            </w:r>
          </w:p>
        </w:tc>
        <w:tc>
          <w:tcPr>
            <w:tcW w:w="10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Saturn</w:t>
            </w:r>
          </w:p>
        </w:tc>
        <w:tc>
          <w:tcPr>
            <w:tcW w:w="10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gridSpan w:val="2"/>
            <w:vMerge w:val="restart"/>
          </w:tcPr>
          <w:p>
            <w:pPr>
              <w:ind w:left="200"/>
              <w:spacing w:after="0"/>
              <w:rPr>
                <w:sz w:val="20"/>
                <w:szCs w:val="20"/>
                <w:color w:val="auto"/>
              </w:rPr>
            </w:pPr>
            <w:r>
              <w:rPr>
                <w:rFonts w:ascii="Arial" w:cs="Arial" w:eastAsia="Arial" w:hAnsi="Arial"/>
                <w:sz w:val="18"/>
                <w:szCs w:val="18"/>
                <w:color w:val="auto"/>
              </w:rPr>
              <w:t>Total other brands</w:t>
            </w: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920" w:type="dxa"/>
            <w:vAlign w:val="bottom"/>
            <w:gridSpan w:val="2"/>
            <w:vMerge w:val="continue"/>
          </w:tcPr>
          <w:p>
            <w:pPr>
              <w:spacing w:after="0"/>
              <w:rPr>
                <w:sz w:val="19"/>
                <w:szCs w:val="19"/>
                <w:color w:val="auto"/>
              </w:rPr>
            </w:pPr>
          </w:p>
        </w:tc>
        <w:tc>
          <w:tcPr>
            <w:tcW w:w="10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8</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7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GMNA total</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784</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716</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1,468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vehicle sales include Saab data through February 2010.</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Vehicle sales primarily represent sales to the end customer.</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Vehicle sales data may include rounding differences.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Certain fleet sales that are accounted for as operating leases are included in vehicle sales at the time of delivery to the daily rental car companies.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GMNA Total Net Sales and Revenue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74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8"/>
              </w:rPr>
              <w:t>Three Months Ended</w:t>
            </w: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Six Months Ended</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Three Months Ended</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4"/>
          </w:tcPr>
          <w:p>
            <w:pPr>
              <w:ind w:left="12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3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7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5"/>
              </w:rPr>
              <w:t>June 30,</w:t>
            </w: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2011 vs. 2010 Change</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4"/>
          </w:tcPr>
          <w:p>
            <w:pPr>
              <w:ind w:left="20"/>
              <w:spacing w:after="0"/>
              <w:rPr>
                <w:sz w:val="20"/>
                <w:szCs w:val="20"/>
                <w:color w:val="auto"/>
              </w:rPr>
            </w:pPr>
            <w:r>
              <w:rPr>
                <w:rFonts w:ascii="Arial" w:cs="Arial" w:eastAsia="Arial" w:hAnsi="Arial"/>
                <w:sz w:val="14"/>
                <w:szCs w:val="14"/>
                <w:b w:val="1"/>
                <w:bCs w:val="1"/>
                <w:color w:val="auto"/>
              </w:rPr>
              <w:t>2011 vs. 2010 Change</w:t>
            </w:r>
          </w:p>
        </w:tc>
      </w:tr>
      <w:tr>
        <w:trPr>
          <w:trHeight w:val="142"/>
        </w:trPr>
        <w:tc>
          <w:tcPr>
            <w:tcW w:w="3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80" w:type="dxa"/>
            <w:vAlign w:val="bottom"/>
            <w:tcBorders>
              <w:top w:val="single" w:sz="8" w:color="auto"/>
            </w:tcBorders>
          </w:tcPr>
          <w:p>
            <w:pPr>
              <w:jc w:val="right"/>
              <w:ind w:right="87"/>
              <w:spacing w:after="0" w:line="142" w:lineRule="exact"/>
              <w:rPr>
                <w:sz w:val="20"/>
                <w:szCs w:val="20"/>
                <w:color w:val="auto"/>
              </w:rPr>
            </w:pPr>
            <w:r>
              <w:rPr>
                <w:rFonts w:ascii="Arial" w:cs="Arial" w:eastAsia="Arial" w:hAnsi="Arial"/>
                <w:sz w:val="14"/>
                <w:szCs w:val="14"/>
                <w:b w:val="1"/>
                <w:bCs w:val="1"/>
                <w:color w:val="auto"/>
              </w:rPr>
              <w:t>2011</w:t>
            </w:r>
          </w:p>
        </w:tc>
        <w:tc>
          <w:tcPr>
            <w:tcW w:w="88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2"/>
                <w:szCs w:val="12"/>
                <w:color w:val="auto"/>
              </w:rPr>
            </w:pPr>
          </w:p>
        </w:tc>
        <w:tc>
          <w:tcPr>
            <w:tcW w:w="580" w:type="dxa"/>
            <w:vAlign w:val="bottom"/>
            <w:tcBorders>
              <w:top w:val="single" w:sz="8" w:color="auto"/>
            </w:tcBorders>
          </w:tcPr>
          <w:p>
            <w:pPr>
              <w:jc w:val="right"/>
              <w:ind w:right="87"/>
              <w:spacing w:after="0" w:line="142" w:lineRule="exact"/>
              <w:rPr>
                <w:sz w:val="20"/>
                <w:szCs w:val="20"/>
                <w:color w:val="auto"/>
              </w:rPr>
            </w:pPr>
            <w:r>
              <w:rPr>
                <w:rFonts w:ascii="Arial" w:cs="Arial" w:eastAsia="Arial" w:hAnsi="Arial"/>
                <w:sz w:val="14"/>
                <w:szCs w:val="14"/>
                <w:b w:val="1"/>
                <w:bCs w:val="1"/>
                <w:color w:val="auto"/>
              </w:rPr>
              <w:t>2011</w:t>
            </w:r>
          </w:p>
        </w:tc>
        <w:tc>
          <w:tcPr>
            <w:tcW w:w="86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520" w:type="dxa"/>
            <w:vAlign w:val="bottom"/>
            <w:tcBorders>
              <w:top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500" w:type="dxa"/>
            <w:vAlign w:val="bottom"/>
            <w:tcBorders>
              <w:top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r>
      <w:tr>
        <w:trPr>
          <w:trHeight w:val="210"/>
        </w:trPr>
        <w:tc>
          <w:tcPr>
            <w:tcW w:w="3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net sales and revenue</w:t>
            </w:r>
          </w:p>
        </w:tc>
        <w:tc>
          <w:tcPr>
            <w:tcW w:w="1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$23,128</w:t>
            </w:r>
          </w:p>
        </w:tc>
        <w:tc>
          <w:tcPr>
            <w:tcW w:w="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$20,266</w:t>
            </w: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$45,238</w:t>
            </w: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$39,552</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2,862</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14.1%</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5,686</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14.4%</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54" w:lineRule="exact"/>
        <w:rPr>
          <w:sz w:val="20"/>
          <w:szCs w:val="20"/>
          <w:color w:val="auto"/>
        </w:rPr>
      </w:pPr>
    </w:p>
    <w:p>
      <w:pPr>
        <w:ind w:right="20" w:firstLine="228"/>
        <w:spacing w:after="0" w:line="291" w:lineRule="auto"/>
        <w:rPr>
          <w:sz w:val="20"/>
          <w:szCs w:val="20"/>
          <w:color w:val="auto"/>
        </w:rPr>
      </w:pPr>
      <w:r>
        <w:rPr>
          <w:rFonts w:ascii="Arial" w:cs="Arial" w:eastAsia="Arial" w:hAnsi="Arial"/>
          <w:sz w:val="16"/>
          <w:szCs w:val="16"/>
          <w:color w:val="auto"/>
        </w:rPr>
        <w:t>In the three months ended June 30, 2011 Total net sales and revenue increased by $2.9 billion (or 14.1%), primarily due to: (1) increased wholesale volumes of $2.0 billion representing 77,000 vehicles (or 10.8%) due to an improved economy and successful recent vehicle launches of the Chevrolet Cruze, Chevrolet Equinox, GMC Terrain, Buick LaCrosse and Cadillac SRX; (2) favorable vehicle pricing effect of $0.6 billion due to reduced sales allowances; (3) favorable vehicle mix of $0.2 billion; (4) favorable net foreign currency remeasurement of $0.2 billion primarily driven by the strengthening of the Canadian Dollar against the U.S. Dollar; and (5) increased revenues from OnStar and Customer Care and Aftersales of $0.2 billion primarily due to increased volumes; partially offset by (6) decreased revenue of $0.3 billion due to the sale of Nexteer in November 2010.</w:t>
      </w:r>
    </w:p>
    <w:p>
      <w:pPr>
        <w:spacing w:after="0" w:line="120" w:lineRule="exact"/>
        <w:rPr>
          <w:sz w:val="20"/>
          <w:szCs w:val="20"/>
          <w:color w:val="auto"/>
        </w:rPr>
      </w:pPr>
    </w:p>
    <w:p>
      <w:pPr>
        <w:ind w:right="40" w:firstLine="228"/>
        <w:spacing w:after="0" w:line="283" w:lineRule="auto"/>
        <w:rPr>
          <w:sz w:val="20"/>
          <w:szCs w:val="20"/>
          <w:color w:val="auto"/>
        </w:rPr>
      </w:pPr>
      <w:r>
        <w:rPr>
          <w:rFonts w:ascii="Arial" w:cs="Arial" w:eastAsia="Arial" w:hAnsi="Arial"/>
          <w:sz w:val="16"/>
          <w:szCs w:val="16"/>
          <w:color w:val="auto"/>
        </w:rPr>
        <w:t>In the six months ended June 30, 2011 Total net sales and revenue increased by $5.7 billion (or 14.4%), primarily due to: (1) increased wholesale volumes of $4.7 billion representing 188,000 vehicles (or 13.3%) due to an improved economy and successful recent vehicle launches of the Chevrolet Cruze, Chevrolet Equinox, GMC Terrain, Buick LaCrosse and Cadillac SRX; (2) favorable vehicle mix of $0.5 billion; (3) increased revenues from OnStar and Customer Care and Aftersales of $0.4 billion primarily due to increased volumes; (4) favorable vehicle pricing effect of $0.3 billion due to reduced sales allowances; and</w:t>
      </w:r>
    </w:p>
    <w:p>
      <w:pPr>
        <w:spacing w:after="0" w:line="3" w:lineRule="exact"/>
        <w:rPr>
          <w:sz w:val="20"/>
          <w:szCs w:val="20"/>
          <w:color w:val="auto"/>
        </w:rPr>
      </w:pPr>
    </w:p>
    <w:p>
      <w:pPr>
        <w:ind w:right="240" w:firstLine="8"/>
        <w:spacing w:after="0" w:line="261" w:lineRule="auto"/>
        <w:tabs>
          <w:tab w:leader="none" w:pos="249" w:val="left"/>
        </w:tabs>
        <w:numPr>
          <w:ilvl w:val="0"/>
          <w:numId w:val="50"/>
        </w:numPr>
        <w:rPr>
          <w:rFonts w:ascii="Arial" w:cs="Arial" w:eastAsia="Arial" w:hAnsi="Arial"/>
          <w:sz w:val="18"/>
          <w:szCs w:val="18"/>
          <w:color w:val="auto"/>
        </w:rPr>
      </w:pPr>
      <w:r>
        <w:rPr>
          <w:rFonts w:ascii="Arial" w:cs="Arial" w:eastAsia="Arial" w:hAnsi="Arial"/>
          <w:sz w:val="18"/>
          <w:szCs w:val="18"/>
          <w:color w:val="auto"/>
        </w:rPr>
        <w:t>favorable net foreign currency remeasurement of $0.3 billion primarily driven by the strengthening of the Canadian Dollar against the U.S. Dollar; partially offset by (6) decreased revenue of $0.6 billion due to the sale of Nexteer in November 2010.</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GMNA EBIT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5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9"/>
              </w:rPr>
              <w:t>Three Months Ended</w:t>
            </w:r>
          </w:p>
        </w:tc>
        <w:tc>
          <w:tcPr>
            <w:tcW w:w="140" w:type="dxa"/>
            <w:vAlign w:val="bottom"/>
          </w:tcPr>
          <w:p>
            <w:pPr>
              <w:spacing w:after="0"/>
              <w:rPr>
                <w:sz w:val="14"/>
                <w:szCs w:val="14"/>
                <w:color w:val="auto"/>
              </w:rPr>
            </w:pPr>
          </w:p>
        </w:tc>
        <w:tc>
          <w:tcPr>
            <w:tcW w:w="1680" w:type="dxa"/>
            <w:vAlign w:val="bottom"/>
            <w:gridSpan w:val="4"/>
          </w:tcPr>
          <w:p>
            <w:pPr>
              <w:ind w:left="16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4"/>
                <w:szCs w:val="14"/>
                <w:color w:val="auto"/>
              </w:rPr>
            </w:pPr>
          </w:p>
        </w:tc>
        <w:tc>
          <w:tcPr>
            <w:tcW w:w="1740" w:type="dxa"/>
            <w:vAlign w:val="bottom"/>
            <w:gridSpan w:val="4"/>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640" w:type="dxa"/>
            <w:vAlign w:val="bottom"/>
            <w:gridSpan w:val="4"/>
          </w:tcPr>
          <w:p>
            <w:pPr>
              <w:ind w:left="24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24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5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2"/>
              </w:rPr>
              <w:t>June 30,</w:t>
            </w:r>
          </w:p>
        </w:tc>
        <w:tc>
          <w:tcPr>
            <w:tcW w:w="140" w:type="dxa"/>
            <w:vAlign w:val="bottom"/>
          </w:tcPr>
          <w:p>
            <w:pPr>
              <w:spacing w:after="0"/>
              <w:rPr>
                <w:sz w:val="14"/>
                <w:szCs w:val="14"/>
                <w:color w:val="auto"/>
              </w:rPr>
            </w:pPr>
          </w:p>
        </w:tc>
        <w:tc>
          <w:tcPr>
            <w:tcW w:w="1680" w:type="dxa"/>
            <w:vAlign w:val="bottom"/>
            <w:gridSpan w:val="4"/>
          </w:tcPr>
          <w:p>
            <w:pPr>
              <w:ind w:left="46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740" w:type="dxa"/>
            <w:vAlign w:val="bottom"/>
            <w:gridSpan w:val="4"/>
          </w:tcPr>
          <w:p>
            <w:pPr>
              <w:ind w:left="20"/>
              <w:spacing w:after="0"/>
              <w:rPr>
                <w:sz w:val="20"/>
                <w:szCs w:val="20"/>
                <w:color w:val="auto"/>
              </w:rPr>
            </w:pPr>
            <w:r>
              <w:rPr>
                <w:rFonts w:ascii="Arial" w:cs="Arial" w:eastAsia="Arial" w:hAnsi="Arial"/>
                <w:sz w:val="14"/>
                <w:szCs w:val="14"/>
                <w:b w:val="1"/>
                <w:bCs w:val="1"/>
                <w:color w:val="auto"/>
              </w:rPr>
              <w:t>2011 vs. 2010 Change</w:t>
            </w:r>
          </w:p>
        </w:tc>
        <w:tc>
          <w:tcPr>
            <w:tcW w:w="1640" w:type="dxa"/>
            <w:vAlign w:val="bottom"/>
            <w:gridSpan w:val="4"/>
          </w:tcPr>
          <w:p>
            <w:pPr>
              <w:ind w:left="140"/>
              <w:spacing w:after="0"/>
              <w:rPr>
                <w:sz w:val="20"/>
                <w:szCs w:val="20"/>
                <w:color w:val="auto"/>
              </w:rPr>
            </w:pPr>
            <w:r>
              <w:rPr>
                <w:rFonts w:ascii="Arial" w:cs="Arial" w:eastAsia="Arial" w:hAnsi="Arial"/>
                <w:sz w:val="14"/>
                <w:szCs w:val="14"/>
                <w:b w:val="1"/>
                <w:bCs w:val="1"/>
                <w:color w:val="auto"/>
              </w:rPr>
              <w:t>2011 vs. 2010 Change</w:t>
            </w:r>
          </w:p>
        </w:tc>
      </w:tr>
      <w:tr>
        <w:trPr>
          <w:trHeight w:val="142"/>
        </w:trPr>
        <w:tc>
          <w:tcPr>
            <w:tcW w:w="24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540" w:type="dxa"/>
            <w:vAlign w:val="bottom"/>
            <w:tcBorders>
              <w:top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520" w:type="dxa"/>
            <w:vAlign w:val="bottom"/>
            <w:tcBorders>
              <w:top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1040" w:type="dxa"/>
            <w:vAlign w:val="bottom"/>
            <w:tcBorders>
              <w:top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rPr>
              <w:t>Amount</w:t>
            </w:r>
          </w:p>
        </w:tc>
        <w:tc>
          <w:tcPr>
            <w:tcW w:w="500" w:type="dxa"/>
            <w:vAlign w:val="bottom"/>
            <w:tcBorders>
              <w:top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r>
      <w:tr>
        <w:trPr>
          <w:trHeight w:val="210"/>
        </w:trPr>
        <w:tc>
          <w:tcPr>
            <w:tcW w:w="24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EBIT</w:t>
            </w:r>
          </w:p>
        </w:tc>
        <w:tc>
          <w:tcPr>
            <w:tcW w:w="2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$ 2,249</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$ 1,592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$ 5,147</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$ 2,810</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3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41.3%</w:t>
            </w:r>
          </w:p>
        </w:tc>
        <w:tc>
          <w:tcPr>
            <w:tcW w:w="3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2,337</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83.2%</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54" w:lineRule="exact"/>
        <w:rPr>
          <w:sz w:val="20"/>
          <w:szCs w:val="20"/>
          <w:color w:val="auto"/>
        </w:rPr>
      </w:pPr>
    </w:p>
    <w:p>
      <w:pPr>
        <w:ind w:right="120" w:firstLine="228"/>
        <w:spacing w:after="0" w:line="283" w:lineRule="auto"/>
        <w:rPr>
          <w:sz w:val="20"/>
          <w:szCs w:val="20"/>
          <w:color w:val="auto"/>
        </w:rPr>
      </w:pPr>
      <w:r>
        <w:rPr>
          <w:rFonts w:ascii="Arial" w:cs="Arial" w:eastAsia="Arial" w:hAnsi="Arial"/>
          <w:sz w:val="16"/>
          <w:szCs w:val="16"/>
          <w:color w:val="auto"/>
        </w:rPr>
        <w:t>In the three months ended June 30, 2011 EBIT increased by $0.7 billion (or 41.3%), primarily due to: (1) increased net wholesale volumes of $0.6 billion due to an improved economy and successful recent vehicle launches such as the Chevrolet Cruze, Chevrolet Equinox, GMC Terrain, Buick LaCrosse and Cadillac SRX; (2) favorable vehicle pricing effect of $0.6 billion due to reduced sales allowances; (3) favorable manufacturing performance of $0.1 billion; (4) favorable increase in net pension and other postretirement benefits (OPEB) income of $0.1 billion; and (5) decreased amortization expense of $0.1 billion due to double-declining amortization of technology intangibles which were recorded on July 10, 2009; partially offset by (6) unfavorable net vehicle mix of $0.3 billion;</w:t>
      </w:r>
    </w:p>
    <w:p>
      <w:pPr>
        <w:spacing w:after="0" w:line="2" w:lineRule="exact"/>
        <w:rPr>
          <w:sz w:val="20"/>
          <w:szCs w:val="20"/>
          <w:color w:val="auto"/>
        </w:rPr>
      </w:pPr>
    </w:p>
    <w:p>
      <w:pPr>
        <w:ind w:right="160" w:firstLine="8"/>
        <w:spacing w:after="0" w:line="295" w:lineRule="auto"/>
        <w:tabs>
          <w:tab w:leader="none" w:pos="249"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increased engineering expense of $0.2 billion to support new product development; (8) increased advertising and sales promotion expenses of $0.1 billion primarily to support media campaigns for our products; (9) increased material prices of $0.1 billion; (10) reduction in foreign currency remeasurement gains of $0.1 billion primarily driven by the strengthening of the Canadian Dollar against the U.S. Dollar; and (11) increased warranty expense of $0.3 billion offset by a reduction in charges of $0.2 billion during the three months ended June 30, 2010, for a recall campaign on windshield fluid heaters.</w:t>
      </w:r>
    </w:p>
    <w:p>
      <w:pPr>
        <w:spacing w:after="0" w:line="115" w:lineRule="exact"/>
        <w:rPr>
          <w:sz w:val="20"/>
          <w:szCs w:val="20"/>
          <w:color w:val="auto"/>
        </w:rPr>
      </w:pPr>
    </w:p>
    <w:p>
      <w:pPr>
        <w:ind w:right="60" w:firstLine="228"/>
        <w:spacing w:after="0" w:line="283" w:lineRule="auto"/>
        <w:rPr>
          <w:sz w:val="20"/>
          <w:szCs w:val="20"/>
          <w:color w:val="auto"/>
        </w:rPr>
      </w:pPr>
      <w:r>
        <w:rPr>
          <w:rFonts w:ascii="Arial" w:cs="Arial" w:eastAsia="Arial" w:hAnsi="Arial"/>
          <w:sz w:val="16"/>
          <w:szCs w:val="16"/>
          <w:color w:val="auto"/>
        </w:rPr>
        <w:t>In the six months ended June 30, 2011 EBIT increased by $2.3 billion (or 83.2%), primarily due to: (1) a gain of $1.6 billion on the sale of our New Delphi Class A Membership Interests; (2) increased net wholesale volumes of $1.4 billion due to an improved economy and successful recent vehicle launches such as the Chevrolet Cruze, Chevrolet Equinox, GMC Terrain, Buick LaCrosse and Cadillac SRX; (3) favorable vehicle pricing effect of $0.3 billion due to reduced sales allowances; (4) decreased amortization expense of $0.3 billion due to double-declining amortization of technology intangibles which were recorded on July 10, 2009; (5) favorable increase in net pension and OPEB income of $0.2 billion; and (6) favorable manufacturing performance of $0.1 billion; partially offset by</w:t>
      </w:r>
    </w:p>
    <w:p>
      <w:pPr>
        <w:spacing w:after="0" w:line="2" w:lineRule="exact"/>
        <w:rPr>
          <w:sz w:val="20"/>
          <w:szCs w:val="20"/>
          <w:color w:val="auto"/>
        </w:rPr>
      </w:pPr>
    </w:p>
    <w:p>
      <w:pPr>
        <w:ind w:right="80" w:firstLine="8"/>
        <w:spacing w:after="0" w:line="292" w:lineRule="auto"/>
        <w:tabs>
          <w:tab w:leader="none" w:pos="249"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increased engineering expense of $0.5 billion to support new product development; (8) unfavorable net vehicle mix of $0.5 billion; (9) increased advertising and sales promotion expenses of $0.3 billion primarily to support media campaigns for our products; (10) increased material prices of $0.2 billion; (11) reduction in favorable adjustments of $0.1 billion to restructuring reserves primarily due to increased production capacity utilization during the three months ended March 31, 2010, which resulted in the recall of idled employees to fill added shifts at multiple U.S. production sites; and (12) increased warranty expense of $0.4 billion partially offset by a reduction in charges of $0.2 billion during the three months ended June 30, 2010, for a recall campaign on windshield fluid heaters.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Europe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70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2"/>
              </w:rPr>
              <w:t>Three Months Ended</w:t>
            </w:r>
          </w:p>
        </w:tc>
        <w:tc>
          <w:tcPr>
            <w:tcW w:w="100" w:type="dxa"/>
            <w:vAlign w:val="bottom"/>
          </w:tcPr>
          <w:p>
            <w:pPr>
              <w:spacing w:after="0"/>
              <w:rPr>
                <w:sz w:val="14"/>
                <w:szCs w:val="14"/>
                <w:color w:val="auto"/>
              </w:rPr>
            </w:pPr>
          </w:p>
        </w:tc>
        <w:tc>
          <w:tcPr>
            <w:tcW w:w="150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5"/>
              </w:rPr>
              <w:t>Six Months Ended</w:t>
            </w:r>
          </w:p>
        </w:tc>
      </w:tr>
      <w:tr>
        <w:trPr>
          <w:trHeight w:val="161"/>
        </w:trPr>
        <w:tc>
          <w:tcPr>
            <w:tcW w:w="50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080" w:type="dxa"/>
            <w:vAlign w:val="bottom"/>
            <w:tcBorders>
              <w:bottom w:val="single" w:sz="8" w:color="CCEEFF"/>
            </w:tcBorders>
          </w:tcPr>
          <w:p>
            <w:pPr>
              <w:spacing w:after="0"/>
              <w:rPr>
                <w:sz w:val="12"/>
                <w:szCs w:val="12"/>
                <w:color w:val="auto"/>
              </w:rPr>
            </w:pPr>
          </w:p>
        </w:tc>
        <w:tc>
          <w:tcPr>
            <w:tcW w:w="30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w w:val="89"/>
              </w:rPr>
              <w:t>2011</w:t>
            </w:r>
          </w:p>
        </w:tc>
        <w:tc>
          <w:tcPr>
            <w:tcW w:w="3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83"/>
              </w:rPr>
              <w:t>2010</w:t>
            </w: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w w:val="96"/>
              </w:rPr>
              <w:t>2011</w:t>
            </w:r>
          </w:p>
        </w:tc>
        <w:tc>
          <w:tcPr>
            <w:tcW w:w="3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sales and revenue</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7,459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6,044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14,329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11,505</w:t>
            </w:r>
          </w:p>
        </w:tc>
        <w:tc>
          <w:tcPr>
            <w:tcW w:w="100" w:type="dxa"/>
            <w:vAlign w:val="bottom"/>
            <w:shd w:val="clear" w:color="auto" w:fill="CCEEFF"/>
          </w:tcPr>
          <w:p>
            <w:pPr>
              <w:spacing w:after="0"/>
              <w:rPr>
                <w:sz w:val="18"/>
                <w:szCs w:val="18"/>
                <w:color w:val="auto"/>
              </w:rPr>
            </w:pPr>
          </w:p>
        </w:tc>
      </w:tr>
      <w:tr>
        <w:trPr>
          <w:trHeight w:val="228"/>
        </w:trPr>
        <w:tc>
          <w:tcPr>
            <w:tcW w:w="5080" w:type="dxa"/>
            <w:vAlign w:val="bottom"/>
          </w:tcPr>
          <w:p>
            <w:pPr>
              <w:spacing w:after="0"/>
              <w:rPr>
                <w:sz w:val="20"/>
                <w:szCs w:val="20"/>
                <w:color w:val="auto"/>
              </w:rPr>
            </w:pPr>
            <w:r>
              <w:rPr>
                <w:rFonts w:ascii="Arial" w:cs="Arial" w:eastAsia="Arial" w:hAnsi="Arial"/>
                <w:sz w:val="18"/>
                <w:szCs w:val="18"/>
                <w:b w:val="1"/>
                <w:bCs w:val="1"/>
                <w:color w:val="auto"/>
              </w:rPr>
              <w:t>EBIT (Loss)</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102</w:t>
            </w:r>
          </w:p>
        </w:tc>
        <w:tc>
          <w:tcPr>
            <w:tcW w:w="3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(160)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(288)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(637)</w:t>
            </w:r>
          </w:p>
        </w:tc>
      </w:tr>
    </w:tbl>
    <w:p>
      <w:pPr>
        <w:spacing w:after="0" w:line="14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Vehicle Sales and Production Volume</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summarize total production volume and new vehicle sales volume and competitive position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04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89"/>
              </w:rPr>
              <w:t>Three Months Ended</w:t>
            </w:r>
          </w:p>
        </w:tc>
        <w:tc>
          <w:tcPr>
            <w:tcW w:w="1480" w:type="dxa"/>
            <w:vAlign w:val="bottom"/>
            <w:gridSpan w:val="4"/>
          </w:tcPr>
          <w:p>
            <w:pPr>
              <w:ind w:left="16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34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40" w:type="dxa"/>
            <w:vAlign w:val="bottom"/>
            <w:gridSpan w:val="3"/>
          </w:tcPr>
          <w:p>
            <w:pPr>
              <w:jc w:val="center"/>
              <w:ind w:right="980"/>
              <w:spacing w:after="0"/>
              <w:rPr>
                <w:sz w:val="20"/>
                <w:szCs w:val="20"/>
                <w:color w:val="auto"/>
              </w:rPr>
            </w:pPr>
            <w:r>
              <w:rPr>
                <w:rFonts w:ascii="Arial" w:cs="Arial" w:eastAsia="Arial" w:hAnsi="Arial"/>
                <w:sz w:val="14"/>
                <w:szCs w:val="14"/>
                <w:b w:val="1"/>
                <w:bCs w:val="1"/>
                <w:color w:val="auto"/>
                <w:w w:val="92"/>
              </w:rPr>
              <w:t>June 30,</w:t>
            </w:r>
          </w:p>
        </w:tc>
        <w:tc>
          <w:tcPr>
            <w:tcW w:w="42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348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500" w:type="dxa"/>
            <w:vAlign w:val="bottom"/>
            <w:tcBorders>
              <w:top w:val="single" w:sz="8" w:color="auto"/>
            </w:tcBorders>
          </w:tcPr>
          <w:p>
            <w:pPr>
              <w:jc w:val="right"/>
              <w:ind w:right="46"/>
              <w:spacing w:after="0" w:line="142" w:lineRule="exact"/>
              <w:rPr>
                <w:sz w:val="20"/>
                <w:szCs w:val="20"/>
                <w:color w:val="auto"/>
              </w:rPr>
            </w:pPr>
            <w:r>
              <w:rPr>
                <w:rFonts w:ascii="Arial" w:cs="Arial" w:eastAsia="Arial" w:hAnsi="Arial"/>
                <w:sz w:val="14"/>
                <w:szCs w:val="14"/>
                <w:b w:val="1"/>
                <w:bCs w:val="1"/>
                <w:color w:val="auto"/>
              </w:rPr>
              <w:t>2011</w:t>
            </w:r>
          </w:p>
        </w:tc>
        <w:tc>
          <w:tcPr>
            <w:tcW w:w="104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2010</w:t>
            </w:r>
          </w:p>
        </w:tc>
        <w:tc>
          <w:tcPr>
            <w:tcW w:w="500" w:type="dxa"/>
            <w:vAlign w:val="bottom"/>
          </w:tcPr>
          <w:p>
            <w:pPr>
              <w:spacing w:after="0"/>
              <w:rPr>
                <w:sz w:val="12"/>
                <w:szCs w:val="12"/>
                <w:color w:val="auto"/>
              </w:rPr>
            </w:pPr>
          </w:p>
        </w:tc>
        <w:tc>
          <w:tcPr>
            <w:tcW w:w="420" w:type="dxa"/>
            <w:vAlign w:val="bottom"/>
            <w:tcBorders>
              <w:top w:val="single" w:sz="8" w:color="auto"/>
            </w:tcBorders>
          </w:tcPr>
          <w:p>
            <w:pPr>
              <w:jc w:val="right"/>
              <w:ind w:right="6"/>
              <w:spacing w:after="0" w:line="142" w:lineRule="exact"/>
              <w:rPr>
                <w:sz w:val="20"/>
                <w:szCs w:val="20"/>
                <w:color w:val="auto"/>
              </w:rPr>
            </w:pPr>
            <w:r>
              <w:rPr>
                <w:rFonts w:ascii="Arial" w:cs="Arial" w:eastAsia="Arial" w:hAnsi="Arial"/>
                <w:sz w:val="14"/>
                <w:szCs w:val="14"/>
                <w:b w:val="1"/>
                <w:bCs w:val="1"/>
                <w:color w:val="auto"/>
              </w:rPr>
              <w:t>2011</w:t>
            </w:r>
          </w:p>
        </w:tc>
        <w:tc>
          <w:tcPr>
            <w:tcW w:w="9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34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Production volume</w:t>
            </w:r>
          </w:p>
        </w:tc>
        <w:tc>
          <w:tcPr>
            <w:tcW w:w="4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5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5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6"/>
              </w:rPr>
              <w:t>670</w:t>
            </w:r>
          </w:p>
        </w:tc>
        <w:tc>
          <w:tcPr>
            <w:tcW w:w="5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Borders>
              <w:top w:val="single" w:sz="8" w:color="CCEEFF"/>
            </w:tcBorders>
            <w:shd w:val="clear" w:color="auto" w:fill="CCEEFF"/>
          </w:tcPr>
          <w:p>
            <w:pPr>
              <w:spacing w:after="0"/>
              <w:rPr>
                <w:sz w:val="18"/>
                <w:szCs w:val="18"/>
                <w:color w:val="auto"/>
              </w:rPr>
            </w:pPr>
          </w:p>
        </w:tc>
      </w:tr>
      <w:tr>
        <w:trPr>
          <w:trHeight w:val="363"/>
        </w:trPr>
        <w:tc>
          <w:tcPr>
            <w:tcW w:w="3480" w:type="dxa"/>
            <w:vAlign w:val="bottom"/>
          </w:tcPr>
          <w:p>
            <w:pPr>
              <w:spacing w:after="0"/>
              <w:rPr>
                <w:sz w:val="24"/>
                <w:szCs w:val="24"/>
                <w:color w:val="auto"/>
              </w:rPr>
            </w:pPr>
          </w:p>
        </w:tc>
        <w:tc>
          <w:tcPr>
            <w:tcW w:w="4420" w:type="dxa"/>
            <w:vAlign w:val="bottom"/>
          </w:tcPr>
          <w:p>
            <w:pPr>
              <w:jc w:val="right"/>
              <w:ind w:right="2012"/>
              <w:spacing w:after="0"/>
              <w:rPr>
                <w:sz w:val="20"/>
                <w:szCs w:val="20"/>
                <w:color w:val="auto"/>
              </w:rPr>
            </w:pPr>
            <w:r>
              <w:rPr>
                <w:rFonts w:ascii="Arial" w:cs="Arial" w:eastAsia="Arial" w:hAnsi="Arial"/>
                <w:sz w:val="18"/>
                <w:szCs w:val="18"/>
                <w:color w:val="auto"/>
              </w:rPr>
              <w:t>74</w:t>
            </w: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60" w:type="dxa"/>
            <w:vAlign w:val="bottom"/>
            <w:gridSpan w:val="7"/>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4"/>
          </w:tcPr>
          <w:p>
            <w:pPr>
              <w:ind w:left="20"/>
              <w:spacing w:after="0"/>
              <w:rPr>
                <w:sz w:val="20"/>
                <w:szCs w:val="20"/>
                <w:color w:val="auto"/>
              </w:rPr>
            </w:pPr>
            <w:r>
              <w:rPr>
                <w:rFonts w:ascii="Arial" w:cs="Arial" w:eastAsia="Arial" w:hAnsi="Arial"/>
                <w:sz w:val="14"/>
                <w:szCs w:val="14"/>
                <w:b w:val="1"/>
                <w:bCs w:val="1"/>
                <w:color w:val="auto"/>
              </w:rPr>
              <w:t>Six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57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154"/>
              <w:spacing w:after="0"/>
              <w:rPr>
                <w:sz w:val="20"/>
                <w:szCs w:val="20"/>
                <w:color w:val="auto"/>
              </w:rPr>
            </w:pPr>
            <w:r>
              <w:rPr>
                <w:rFonts w:ascii="Arial" w:cs="Arial" w:eastAsia="Arial" w:hAnsi="Arial"/>
                <w:sz w:val="14"/>
                <w:szCs w:val="14"/>
                <w:b w:val="1"/>
                <w:bCs w:val="1"/>
                <w:color w:val="auto"/>
              </w:rPr>
              <w:t>June 30,</w:t>
            </w: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7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392"/>
              <w:spacing w:after="0" w:line="142" w:lineRule="exact"/>
              <w:rPr>
                <w:sz w:val="20"/>
                <w:szCs w:val="20"/>
                <w:color w:val="auto"/>
              </w:rPr>
            </w:pPr>
            <w:r>
              <w:rPr>
                <w:rFonts w:ascii="Arial" w:cs="Arial" w:eastAsia="Arial" w:hAnsi="Arial"/>
                <w:sz w:val="14"/>
                <w:szCs w:val="14"/>
                <w:b w:val="1"/>
                <w:bCs w:val="1"/>
                <w:color w:val="auto"/>
                <w:w w:val="96"/>
              </w:rPr>
              <w:t>2011</w:t>
            </w:r>
          </w:p>
        </w:tc>
        <w:tc>
          <w:tcPr>
            <w:tcW w:w="28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3"/>
          </w:tcPr>
          <w:p>
            <w:pPr>
              <w:jc w:val="right"/>
              <w:ind w:right="372"/>
              <w:spacing w:after="0" w:line="142" w:lineRule="exact"/>
              <w:rPr>
                <w:sz w:val="20"/>
                <w:szCs w:val="20"/>
                <w:color w:val="auto"/>
              </w:rPr>
            </w:pPr>
            <w:r>
              <w:rPr>
                <w:rFonts w:ascii="Arial" w:cs="Arial" w:eastAsia="Arial" w:hAnsi="Arial"/>
                <w:sz w:val="14"/>
                <w:szCs w:val="14"/>
                <w:b w:val="1"/>
                <w:bCs w:val="1"/>
                <w:color w:val="auto"/>
                <w:w w:val="83"/>
              </w:rPr>
              <w:t>2010 (b)</w:t>
            </w:r>
          </w:p>
        </w:tc>
        <w:tc>
          <w:tcPr>
            <w:tcW w:w="1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3"/>
          </w:tcPr>
          <w:p>
            <w:pPr>
              <w:jc w:val="right"/>
              <w:ind w:right="472"/>
              <w:spacing w:after="0" w:line="142" w:lineRule="exact"/>
              <w:rPr>
                <w:sz w:val="20"/>
                <w:szCs w:val="20"/>
                <w:color w:val="auto"/>
              </w:rPr>
            </w:pPr>
            <w:r>
              <w:rPr>
                <w:rFonts w:ascii="Arial" w:cs="Arial" w:eastAsia="Arial" w:hAnsi="Arial"/>
                <w:sz w:val="14"/>
                <w:szCs w:val="14"/>
                <w:b w:val="1"/>
                <w:bCs w:val="1"/>
                <w:color w:val="auto"/>
                <w:w w:val="96"/>
              </w:rPr>
              <w:t>2011</w:t>
            </w:r>
          </w:p>
        </w:tc>
        <w:tc>
          <w:tcPr>
            <w:tcW w:w="180" w:type="dxa"/>
            <w:vAlign w:val="bottom"/>
          </w:tcPr>
          <w:p>
            <w:pPr>
              <w:spacing w:after="0"/>
              <w:rPr>
                <w:sz w:val="12"/>
                <w:szCs w:val="12"/>
                <w:color w:val="auto"/>
              </w:rPr>
            </w:pPr>
          </w:p>
        </w:tc>
        <w:tc>
          <w:tcPr>
            <w:tcW w:w="1160" w:type="dxa"/>
            <w:vAlign w:val="bottom"/>
            <w:tcBorders>
              <w:bottom w:val="single" w:sz="8" w:color="auto"/>
            </w:tcBorders>
            <w:gridSpan w:val="3"/>
          </w:tcPr>
          <w:p>
            <w:pPr>
              <w:jc w:val="right"/>
              <w:ind w:right="178"/>
              <w:spacing w:after="0" w:line="142" w:lineRule="exact"/>
              <w:rPr>
                <w:sz w:val="20"/>
                <w:szCs w:val="20"/>
                <w:color w:val="auto"/>
              </w:rPr>
            </w:pPr>
            <w:r>
              <w:rPr>
                <w:rFonts w:ascii="Arial" w:cs="Arial" w:eastAsia="Arial" w:hAnsi="Arial"/>
                <w:sz w:val="14"/>
                <w:szCs w:val="14"/>
                <w:b w:val="1"/>
                <w:bCs w:val="1"/>
                <w:color w:val="auto"/>
              </w:rPr>
              <w:t>2010 (a)(b)</w:t>
            </w:r>
          </w:p>
        </w:tc>
        <w:tc>
          <w:tcPr>
            <w:tcW w:w="100" w:type="dxa"/>
            <w:vAlign w:val="bottom"/>
          </w:tcPr>
          <w:p>
            <w:pPr>
              <w:spacing w:after="0"/>
              <w:rPr>
                <w:sz w:val="12"/>
                <w:szCs w:val="12"/>
                <w:color w:val="auto"/>
              </w:rPr>
            </w:pPr>
          </w:p>
        </w:tc>
      </w:tr>
      <w:tr>
        <w:trPr>
          <w:trHeight w:val="129"/>
        </w:trPr>
        <w:tc>
          <w:tcPr>
            <w:tcW w:w="5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7"/>
              </w:rPr>
              <w:t>GM</w:t>
            </w: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GM</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ind w:right="92"/>
              <w:spacing w:after="0" w:line="129" w:lineRule="exact"/>
              <w:rPr>
                <w:sz w:val="20"/>
                <w:szCs w:val="20"/>
                <w:color w:val="auto"/>
              </w:rPr>
            </w:pPr>
            <w:r>
              <w:rPr>
                <w:rFonts w:ascii="Arial" w:cs="Arial" w:eastAsia="Arial" w:hAnsi="Arial"/>
                <w:sz w:val="14"/>
                <w:szCs w:val="14"/>
                <w:b w:val="1"/>
                <w:bCs w:val="1"/>
                <w:color w:val="auto"/>
              </w:rPr>
              <w:t>GM</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GM</w:t>
            </w:r>
          </w:p>
        </w:tc>
        <w:tc>
          <w:tcPr>
            <w:tcW w:w="100" w:type="dxa"/>
            <w:vAlign w:val="bottom"/>
          </w:tcPr>
          <w:p>
            <w:pPr>
              <w:spacing w:after="0"/>
              <w:rPr>
                <w:sz w:val="11"/>
                <w:szCs w:val="11"/>
                <w:color w:val="auto"/>
              </w:rPr>
            </w:pPr>
          </w:p>
        </w:tc>
      </w:tr>
      <w:tr>
        <w:trPr>
          <w:trHeight w:val="149"/>
        </w:trPr>
        <w:tc>
          <w:tcPr>
            <w:tcW w:w="5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as a % of</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as a % of</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as a % of</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as a % of</w:t>
            </w:r>
          </w:p>
        </w:tc>
      </w:tr>
      <w:tr>
        <w:trPr>
          <w:trHeight w:val="161"/>
        </w:trPr>
        <w:tc>
          <w:tcPr>
            <w:tcW w:w="5700" w:type="dxa"/>
            <w:vAlign w:val="bottom"/>
          </w:tcPr>
          <w:p>
            <w:pPr>
              <w:spacing w:after="0"/>
              <w:rPr>
                <w:sz w:val="14"/>
                <w:szCs w:val="14"/>
                <w:color w:val="auto"/>
              </w:rPr>
            </w:pPr>
          </w:p>
        </w:tc>
        <w:tc>
          <w:tcPr>
            <w:tcW w:w="400" w:type="dxa"/>
            <w:vAlign w:val="bottom"/>
            <w:gridSpan w:val="2"/>
          </w:tcPr>
          <w:p>
            <w:pPr>
              <w:ind w:left="60"/>
              <w:spacing w:after="0"/>
              <w:rPr>
                <w:sz w:val="20"/>
                <w:szCs w:val="20"/>
                <w:color w:val="auto"/>
              </w:rPr>
            </w:pPr>
            <w:r>
              <w:rPr>
                <w:rFonts w:ascii="Arial" w:cs="Arial" w:eastAsia="Arial" w:hAnsi="Arial"/>
                <w:sz w:val="14"/>
                <w:szCs w:val="14"/>
                <w:b w:val="1"/>
                <w:bCs w:val="1"/>
                <w:color w:val="auto"/>
              </w:rPr>
              <w:t>GM</w:t>
            </w:r>
          </w:p>
        </w:tc>
        <w:tc>
          <w:tcPr>
            <w:tcW w:w="20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Industry</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GM</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Industry</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GM</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Industry</w:t>
            </w: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GM</w:t>
            </w: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Industry</w:t>
            </w:r>
          </w:p>
        </w:tc>
      </w:tr>
      <w:tr>
        <w:trPr>
          <w:trHeight w:val="196"/>
        </w:trPr>
        <w:tc>
          <w:tcPr>
            <w:tcW w:w="5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Vehicle sales (c)(d)(e)</w:t>
            </w:r>
          </w:p>
        </w:tc>
        <w:tc>
          <w:tcPr>
            <w:tcW w:w="3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700" w:type="dxa"/>
            <w:vAlign w:val="bottom"/>
          </w:tcPr>
          <w:p>
            <w:pPr>
              <w:ind w:left="220"/>
              <w:spacing w:after="0"/>
              <w:rPr>
                <w:sz w:val="20"/>
                <w:szCs w:val="20"/>
                <w:color w:val="auto"/>
              </w:rPr>
            </w:pPr>
            <w:r>
              <w:rPr>
                <w:rFonts w:ascii="Arial" w:cs="Arial" w:eastAsia="Arial" w:hAnsi="Arial"/>
                <w:sz w:val="18"/>
                <w:szCs w:val="18"/>
                <w:color w:val="auto"/>
              </w:rPr>
              <w:t>Total GME</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483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280" w:type="dxa"/>
            <w:vAlign w:val="bottom"/>
          </w:tcPr>
          <w:p>
            <w:pPr>
              <w:spacing w:after="0"/>
              <w:rPr>
                <w:sz w:val="18"/>
                <w:szCs w:val="18"/>
                <w:color w:val="auto"/>
              </w:rPr>
            </w:pPr>
          </w:p>
        </w:tc>
        <w:tc>
          <w:tcPr>
            <w:tcW w:w="420" w:type="dxa"/>
            <w:vAlign w:val="bottom"/>
          </w:tcPr>
          <w:p>
            <w:pPr>
              <w:jc w:val="right"/>
              <w:ind w:right="14"/>
              <w:spacing w:after="0"/>
              <w:rPr>
                <w:sz w:val="20"/>
                <w:szCs w:val="20"/>
                <w:color w:val="auto"/>
              </w:rPr>
            </w:pPr>
            <w:r>
              <w:rPr>
                <w:rFonts w:ascii="Arial" w:cs="Arial" w:eastAsia="Arial" w:hAnsi="Arial"/>
                <w:sz w:val="18"/>
                <w:szCs w:val="18"/>
                <w:color w:val="auto"/>
                <w:w w:val="99"/>
              </w:rPr>
              <w:t>443</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18"/>
                <w:szCs w:val="18"/>
                <w:color w:val="auto"/>
              </w:rPr>
            </w:pPr>
          </w:p>
        </w:tc>
        <w:tc>
          <w:tcPr>
            <w:tcW w:w="460" w:type="dxa"/>
            <w:vAlign w:val="bottom"/>
          </w:tcPr>
          <w:p>
            <w:pPr>
              <w:jc w:val="right"/>
              <w:ind w:right="54"/>
              <w:spacing w:after="0"/>
              <w:rPr>
                <w:sz w:val="20"/>
                <w:szCs w:val="20"/>
                <w:color w:val="auto"/>
              </w:rPr>
            </w:pPr>
            <w:r>
              <w:rPr>
                <w:rFonts w:ascii="Arial" w:cs="Arial" w:eastAsia="Arial" w:hAnsi="Arial"/>
                <w:sz w:val="18"/>
                <w:szCs w:val="18"/>
                <w:color w:val="auto"/>
                <w:w w:val="99"/>
              </w:rPr>
              <w:t>912</w:t>
            </w:r>
          </w:p>
        </w:tc>
        <w:tc>
          <w:tcPr>
            <w:tcW w:w="1040" w:type="dxa"/>
            <w:vAlign w:val="bottom"/>
            <w:gridSpan w:val="4"/>
          </w:tcPr>
          <w:p>
            <w:pPr>
              <w:jc w:val="right"/>
              <w:ind w:right="180"/>
              <w:spacing w:after="0"/>
              <w:rPr>
                <w:sz w:val="20"/>
                <w:szCs w:val="20"/>
                <w:color w:val="auto"/>
              </w:rPr>
            </w:pPr>
            <w:r>
              <w:rPr>
                <w:rFonts w:ascii="Arial" w:cs="Arial" w:eastAsia="Arial" w:hAnsi="Arial"/>
                <w:sz w:val="18"/>
                <w:szCs w:val="18"/>
                <w:color w:val="auto"/>
              </w:rPr>
              <w:t>8.8%</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847</w:t>
            </w:r>
          </w:p>
        </w:tc>
        <w:tc>
          <w:tcPr>
            <w:tcW w:w="58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r>
      <w:tr>
        <w:trPr>
          <w:trHeight w:val="216"/>
        </w:trPr>
        <w:tc>
          <w:tcPr>
            <w:tcW w:w="5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United Kingdom</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77</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9"/>
              </w:rPr>
              <w:t>153</w:t>
            </w:r>
          </w:p>
        </w:tc>
        <w:tc>
          <w:tcPr>
            <w:tcW w:w="10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12.9%</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158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r>
      <w:tr>
        <w:trPr>
          <w:trHeight w:val="216"/>
        </w:trPr>
        <w:tc>
          <w:tcPr>
            <w:tcW w:w="5700" w:type="dxa"/>
            <w:vAlign w:val="bottom"/>
          </w:tcPr>
          <w:p>
            <w:pPr>
              <w:ind w:left="220"/>
              <w:spacing w:after="0"/>
              <w:rPr>
                <w:sz w:val="20"/>
                <w:szCs w:val="20"/>
                <w:color w:val="auto"/>
              </w:rPr>
            </w:pPr>
            <w:r>
              <w:rPr>
                <w:rFonts w:ascii="Arial" w:cs="Arial" w:eastAsia="Arial" w:hAnsi="Arial"/>
                <w:sz w:val="18"/>
                <w:szCs w:val="18"/>
                <w:color w:val="auto"/>
              </w:rPr>
              <w:t>Germany</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84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280" w:type="dxa"/>
            <w:vAlign w:val="bottom"/>
          </w:tcPr>
          <w:p>
            <w:pPr>
              <w:spacing w:after="0"/>
              <w:rPr>
                <w:sz w:val="18"/>
                <w:szCs w:val="18"/>
                <w:color w:val="auto"/>
              </w:rPr>
            </w:pPr>
          </w:p>
        </w:tc>
        <w:tc>
          <w:tcPr>
            <w:tcW w:w="420" w:type="dxa"/>
            <w:vAlign w:val="bottom"/>
          </w:tcPr>
          <w:p>
            <w:pPr>
              <w:jc w:val="right"/>
              <w:ind w:right="14"/>
              <w:spacing w:after="0"/>
              <w:rPr>
                <w:sz w:val="20"/>
                <w:szCs w:val="20"/>
                <w:color w:val="auto"/>
              </w:rPr>
            </w:pPr>
            <w:r>
              <w:rPr>
                <w:rFonts w:ascii="Arial" w:cs="Arial" w:eastAsia="Arial" w:hAnsi="Arial"/>
                <w:sz w:val="18"/>
                <w:szCs w:val="18"/>
                <w:color w:val="auto"/>
              </w:rPr>
              <w:t>69</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18"/>
                <w:szCs w:val="18"/>
                <w:color w:val="auto"/>
              </w:rPr>
            </w:pPr>
          </w:p>
        </w:tc>
        <w:tc>
          <w:tcPr>
            <w:tcW w:w="460" w:type="dxa"/>
            <w:vAlign w:val="bottom"/>
          </w:tcPr>
          <w:p>
            <w:pPr>
              <w:jc w:val="right"/>
              <w:ind w:right="54"/>
              <w:spacing w:after="0"/>
              <w:rPr>
                <w:sz w:val="20"/>
                <w:szCs w:val="20"/>
                <w:color w:val="auto"/>
              </w:rPr>
            </w:pPr>
            <w:r>
              <w:rPr>
                <w:rFonts w:ascii="Arial" w:cs="Arial" w:eastAsia="Arial" w:hAnsi="Arial"/>
                <w:sz w:val="18"/>
                <w:szCs w:val="18"/>
                <w:color w:val="auto"/>
                <w:w w:val="99"/>
              </w:rPr>
              <w:t>153</w:t>
            </w:r>
          </w:p>
        </w:tc>
        <w:tc>
          <w:tcPr>
            <w:tcW w:w="1040" w:type="dxa"/>
            <w:vAlign w:val="bottom"/>
            <w:gridSpan w:val="4"/>
          </w:tcPr>
          <w:p>
            <w:pPr>
              <w:jc w:val="right"/>
              <w:ind w:right="180"/>
              <w:spacing w:after="0"/>
              <w:rPr>
                <w:sz w:val="20"/>
                <w:szCs w:val="20"/>
                <w:color w:val="auto"/>
              </w:rPr>
            </w:pPr>
            <w:r>
              <w:rPr>
                <w:rFonts w:ascii="Arial" w:cs="Arial" w:eastAsia="Arial" w:hAnsi="Arial"/>
                <w:sz w:val="18"/>
                <w:szCs w:val="18"/>
                <w:color w:val="auto"/>
              </w:rPr>
              <w:t>8.6%</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129</w:t>
            </w:r>
          </w:p>
        </w:tc>
        <w:tc>
          <w:tcPr>
            <w:tcW w:w="58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r>
      <w:tr>
        <w:trPr>
          <w:trHeight w:val="216"/>
        </w:trPr>
        <w:tc>
          <w:tcPr>
            <w:tcW w:w="5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Italy</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45</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88</w:t>
            </w:r>
          </w:p>
        </w:tc>
        <w:tc>
          <w:tcPr>
            <w:tcW w:w="10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8.0%</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r>
      <w:tr>
        <w:trPr>
          <w:trHeight w:val="216"/>
        </w:trPr>
        <w:tc>
          <w:tcPr>
            <w:tcW w:w="5700" w:type="dxa"/>
            <w:vAlign w:val="bottom"/>
          </w:tcPr>
          <w:p>
            <w:pPr>
              <w:ind w:left="220"/>
              <w:spacing w:after="0"/>
              <w:rPr>
                <w:sz w:val="20"/>
                <w:szCs w:val="20"/>
                <w:color w:val="auto"/>
              </w:rPr>
            </w:pPr>
            <w:r>
              <w:rPr>
                <w:rFonts w:ascii="Arial" w:cs="Arial" w:eastAsia="Arial" w:hAnsi="Arial"/>
                <w:sz w:val="18"/>
                <w:szCs w:val="18"/>
                <w:color w:val="auto"/>
              </w:rPr>
              <w:t>Russia</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70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280" w:type="dxa"/>
            <w:vAlign w:val="bottom"/>
          </w:tcPr>
          <w:p>
            <w:pPr>
              <w:spacing w:after="0"/>
              <w:rPr>
                <w:sz w:val="18"/>
                <w:szCs w:val="18"/>
                <w:color w:val="auto"/>
              </w:rPr>
            </w:pPr>
          </w:p>
        </w:tc>
        <w:tc>
          <w:tcPr>
            <w:tcW w:w="420" w:type="dxa"/>
            <w:vAlign w:val="bottom"/>
          </w:tcPr>
          <w:p>
            <w:pPr>
              <w:jc w:val="right"/>
              <w:ind w:right="14"/>
              <w:spacing w:after="0"/>
              <w:rPr>
                <w:sz w:val="20"/>
                <w:szCs w:val="20"/>
                <w:color w:val="auto"/>
              </w:rPr>
            </w:pPr>
            <w:r>
              <w:rPr>
                <w:rFonts w:ascii="Arial" w:cs="Arial" w:eastAsia="Arial" w:hAnsi="Arial"/>
                <w:sz w:val="18"/>
                <w:szCs w:val="18"/>
                <w:color w:val="auto"/>
              </w:rPr>
              <w:t>40</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18"/>
                <w:szCs w:val="18"/>
                <w:color w:val="auto"/>
              </w:rPr>
            </w:pPr>
          </w:p>
        </w:tc>
        <w:tc>
          <w:tcPr>
            <w:tcW w:w="460" w:type="dxa"/>
            <w:vAlign w:val="bottom"/>
          </w:tcPr>
          <w:p>
            <w:pPr>
              <w:jc w:val="right"/>
              <w:ind w:right="54"/>
              <w:spacing w:after="0"/>
              <w:rPr>
                <w:sz w:val="20"/>
                <w:szCs w:val="20"/>
                <w:color w:val="auto"/>
              </w:rPr>
            </w:pPr>
            <w:r>
              <w:rPr>
                <w:rFonts w:ascii="Arial" w:cs="Arial" w:eastAsia="Arial" w:hAnsi="Arial"/>
                <w:sz w:val="18"/>
                <w:szCs w:val="18"/>
                <w:color w:val="auto"/>
                <w:w w:val="99"/>
              </w:rPr>
              <w:t>113</w:t>
            </w:r>
          </w:p>
        </w:tc>
        <w:tc>
          <w:tcPr>
            <w:tcW w:w="1040" w:type="dxa"/>
            <w:vAlign w:val="bottom"/>
            <w:gridSpan w:val="4"/>
          </w:tcPr>
          <w:p>
            <w:pPr>
              <w:jc w:val="right"/>
              <w:ind w:right="180"/>
              <w:spacing w:after="0"/>
              <w:rPr>
                <w:sz w:val="20"/>
                <w:szCs w:val="20"/>
                <w:color w:val="auto"/>
              </w:rPr>
            </w:pPr>
            <w:r>
              <w:rPr>
                <w:rFonts w:ascii="Arial" w:cs="Arial" w:eastAsia="Arial" w:hAnsi="Arial"/>
                <w:sz w:val="18"/>
                <w:szCs w:val="18"/>
                <w:color w:val="auto"/>
              </w:rPr>
              <w:t>8.9%</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67</w:t>
            </w:r>
          </w:p>
        </w:tc>
        <w:tc>
          <w:tcPr>
            <w:tcW w:w="58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r>
      <w:tr>
        <w:trPr>
          <w:trHeight w:val="216"/>
        </w:trPr>
        <w:tc>
          <w:tcPr>
            <w:tcW w:w="5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France</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74</w:t>
            </w:r>
          </w:p>
        </w:tc>
        <w:tc>
          <w:tcPr>
            <w:tcW w:w="10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5.0%</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r>
      <w:tr>
        <w:trPr>
          <w:trHeight w:val="216"/>
        </w:trPr>
        <w:tc>
          <w:tcPr>
            <w:tcW w:w="5700" w:type="dxa"/>
            <w:vAlign w:val="bottom"/>
          </w:tcPr>
          <w:p>
            <w:pPr>
              <w:ind w:left="220"/>
              <w:spacing w:after="0"/>
              <w:rPr>
                <w:sz w:val="20"/>
                <w:szCs w:val="20"/>
                <w:color w:val="auto"/>
              </w:rPr>
            </w:pPr>
            <w:r>
              <w:rPr>
                <w:rFonts w:ascii="Arial" w:cs="Arial" w:eastAsia="Arial" w:hAnsi="Arial"/>
                <w:sz w:val="18"/>
                <w:szCs w:val="18"/>
                <w:color w:val="auto"/>
              </w:rPr>
              <w:t>Uzbekistan</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92.2%</w:t>
            </w:r>
          </w:p>
        </w:tc>
        <w:tc>
          <w:tcPr>
            <w:tcW w:w="280" w:type="dxa"/>
            <w:vAlign w:val="bottom"/>
          </w:tcPr>
          <w:p>
            <w:pPr>
              <w:spacing w:after="0"/>
              <w:rPr>
                <w:sz w:val="18"/>
                <w:szCs w:val="18"/>
                <w:color w:val="auto"/>
              </w:rPr>
            </w:pPr>
          </w:p>
        </w:tc>
        <w:tc>
          <w:tcPr>
            <w:tcW w:w="420" w:type="dxa"/>
            <w:vAlign w:val="bottom"/>
          </w:tcPr>
          <w:p>
            <w:pPr>
              <w:jc w:val="right"/>
              <w:ind w:right="14"/>
              <w:spacing w:after="0"/>
              <w:rPr>
                <w:sz w:val="20"/>
                <w:szCs w:val="20"/>
                <w:color w:val="auto"/>
              </w:rPr>
            </w:pPr>
            <w:r>
              <w:rPr>
                <w:rFonts w:ascii="Arial" w:cs="Arial" w:eastAsia="Arial" w:hAnsi="Arial"/>
                <w:sz w:val="18"/>
                <w:szCs w:val="18"/>
                <w:color w:val="auto"/>
              </w:rPr>
              <w:t>38</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96.1%</w:t>
            </w:r>
          </w:p>
        </w:tc>
        <w:tc>
          <w:tcPr>
            <w:tcW w:w="180" w:type="dxa"/>
            <w:vAlign w:val="bottom"/>
          </w:tcPr>
          <w:p>
            <w:pPr>
              <w:spacing w:after="0"/>
              <w:rPr>
                <w:sz w:val="18"/>
                <w:szCs w:val="18"/>
                <w:color w:val="auto"/>
              </w:rPr>
            </w:pPr>
          </w:p>
        </w:tc>
        <w:tc>
          <w:tcPr>
            <w:tcW w:w="460" w:type="dxa"/>
            <w:vAlign w:val="bottom"/>
          </w:tcPr>
          <w:p>
            <w:pPr>
              <w:jc w:val="right"/>
              <w:ind w:right="54"/>
              <w:spacing w:after="0"/>
              <w:rPr>
                <w:sz w:val="20"/>
                <w:szCs w:val="20"/>
                <w:color w:val="auto"/>
              </w:rPr>
            </w:pPr>
            <w:r>
              <w:rPr>
                <w:rFonts w:ascii="Arial" w:cs="Arial" w:eastAsia="Arial" w:hAnsi="Arial"/>
                <w:sz w:val="18"/>
                <w:szCs w:val="18"/>
                <w:color w:val="auto"/>
              </w:rPr>
              <w:t>57</w:t>
            </w:r>
          </w:p>
        </w:tc>
        <w:tc>
          <w:tcPr>
            <w:tcW w:w="1040" w:type="dxa"/>
            <w:vAlign w:val="bottom"/>
            <w:gridSpan w:val="4"/>
          </w:tcPr>
          <w:p>
            <w:pPr>
              <w:jc w:val="right"/>
              <w:ind w:right="180"/>
              <w:spacing w:after="0"/>
              <w:rPr>
                <w:sz w:val="20"/>
                <w:szCs w:val="20"/>
                <w:color w:val="auto"/>
              </w:rPr>
            </w:pPr>
            <w:r>
              <w:rPr>
                <w:rFonts w:ascii="Arial" w:cs="Arial" w:eastAsia="Arial" w:hAnsi="Arial"/>
                <w:sz w:val="18"/>
                <w:szCs w:val="18"/>
                <w:color w:val="auto"/>
              </w:rPr>
              <w:t>89.0%</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71</w:t>
            </w:r>
          </w:p>
        </w:tc>
        <w:tc>
          <w:tcPr>
            <w:tcW w:w="580" w:type="dxa"/>
            <w:vAlign w:val="bottom"/>
          </w:tcPr>
          <w:p>
            <w:pPr>
              <w:jc w:val="right"/>
              <w:spacing w:after="0"/>
              <w:rPr>
                <w:sz w:val="20"/>
                <w:szCs w:val="20"/>
                <w:color w:val="auto"/>
              </w:rPr>
            </w:pPr>
            <w:r>
              <w:rPr>
                <w:rFonts w:ascii="Arial" w:cs="Arial" w:eastAsia="Arial" w:hAnsi="Arial"/>
                <w:sz w:val="18"/>
                <w:szCs w:val="18"/>
                <w:color w:val="auto"/>
              </w:rPr>
              <w:t>96.4%</w:t>
            </w:r>
          </w:p>
        </w:tc>
        <w:tc>
          <w:tcPr>
            <w:tcW w:w="100" w:type="dxa"/>
            <w:vAlign w:val="bottom"/>
          </w:tcPr>
          <w:p>
            <w:pPr>
              <w:spacing w:after="0"/>
              <w:rPr>
                <w:sz w:val="18"/>
                <w:szCs w:val="18"/>
                <w:color w:val="auto"/>
              </w:rPr>
            </w:pPr>
          </w:p>
        </w:tc>
      </w:tr>
      <w:tr>
        <w:trPr>
          <w:trHeight w:val="216"/>
        </w:trPr>
        <w:tc>
          <w:tcPr>
            <w:tcW w:w="5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Spain</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33</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46</w:t>
            </w:r>
          </w:p>
        </w:tc>
        <w:tc>
          <w:tcPr>
            <w:tcW w:w="10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9.0%</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vehicle sales include Saab data through February 2010.</w:t>
      </w:r>
    </w:p>
    <w:p>
      <w:pPr>
        <w:spacing w:after="0" w:line="90"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Vehicle sales primarily represent estimated sales to the end customer. In countries where end customer data is not readily available other data sources, such as wholesale volumes, are used to estimate vehicles sales.</w:t>
      </w:r>
    </w:p>
    <w:p>
      <w:pPr>
        <w:spacing w:after="0" w:line="50" w:lineRule="exact"/>
        <w:rPr>
          <w:rFonts w:ascii="Arial" w:cs="Arial" w:eastAsia="Arial" w:hAnsi="Arial"/>
          <w:sz w:val="18"/>
          <w:szCs w:val="18"/>
          <w:color w:val="auto"/>
        </w:rPr>
      </w:pPr>
    </w:p>
    <w:p>
      <w:pPr>
        <w:ind w:left="460" w:right="240" w:hanging="452"/>
        <w:spacing w:after="0" w:line="256"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GMIO records the financial results (primarily Automotive sales and revenue and Automotive cost of sales) of Chevrolet brand vehicles that it distributes and sells in Europe. These Chevrolet brand vehicles, when sold in Europe, are included in GME vehicle sales volume and market share data because vehicle sales volumes are reported in the geographical region in which they are sold, regardless of where they were produced. Chevrolet brand vehicles included in GME vehicle sales volume and market share data were: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16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8"/>
              </w:rPr>
              <w:t>Three Months Ended</w:t>
            </w:r>
          </w:p>
        </w:tc>
        <w:tc>
          <w:tcPr>
            <w:tcW w:w="1560" w:type="dxa"/>
            <w:vAlign w:val="bottom"/>
            <w:gridSpan w:val="4"/>
          </w:tcPr>
          <w:p>
            <w:pPr>
              <w:ind w:left="20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8180" w:type="dxa"/>
            <w:vAlign w:val="bottom"/>
          </w:tcPr>
          <w:p>
            <w:pPr>
              <w:spacing w:after="0"/>
              <w:rPr>
                <w:sz w:val="14"/>
                <w:szCs w:val="14"/>
                <w:color w:val="auto"/>
              </w:rPr>
            </w:pPr>
          </w:p>
        </w:tc>
        <w:tc>
          <w:tcPr>
            <w:tcW w:w="16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5"/>
              </w:rPr>
              <w:t>June 30,</w:t>
            </w:r>
          </w:p>
        </w:tc>
        <w:tc>
          <w:tcPr>
            <w:tcW w:w="1560" w:type="dxa"/>
            <w:vAlign w:val="bottom"/>
            <w:gridSpan w:val="4"/>
          </w:tcPr>
          <w:p>
            <w:pPr>
              <w:ind w:left="48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818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27"/>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8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Chevrolet brand vehicles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143,000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128,000</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252,000</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233,000</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Vehicle sales data may include rounding differences.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Certain fleet sales that are accounted for as operating leases are included in vehicle sales at the time of delivery to the daily rental car companies.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GME Total Net Sales and Revenue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6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8"/>
              </w:rPr>
              <w:t>Three Months Ended</w:t>
            </w: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Six Months Ended</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Three Months Ended</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4"/>
          </w:tcPr>
          <w:p>
            <w:pPr>
              <w:ind w:left="12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4580" w:type="dxa"/>
            <w:vAlign w:val="bottom"/>
          </w:tcPr>
          <w:p>
            <w:pPr>
              <w:spacing w:after="0"/>
              <w:rPr>
                <w:sz w:val="14"/>
                <w:szCs w:val="14"/>
                <w:color w:val="auto"/>
              </w:rPr>
            </w:pPr>
          </w:p>
        </w:tc>
        <w:tc>
          <w:tcPr>
            <w:tcW w:w="16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9"/>
              </w:rPr>
              <w:t>June 30,</w:t>
            </w: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2011 vs. 2010 Change</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4"/>
          </w:tcPr>
          <w:p>
            <w:pPr>
              <w:ind w:left="20"/>
              <w:spacing w:after="0"/>
              <w:rPr>
                <w:sz w:val="20"/>
                <w:szCs w:val="20"/>
                <w:color w:val="auto"/>
              </w:rPr>
            </w:pPr>
            <w:r>
              <w:rPr>
                <w:rFonts w:ascii="Arial" w:cs="Arial" w:eastAsia="Arial" w:hAnsi="Arial"/>
                <w:sz w:val="14"/>
                <w:szCs w:val="14"/>
                <w:b w:val="1"/>
                <w:bCs w:val="1"/>
                <w:color w:val="auto"/>
              </w:rPr>
              <w:t>2011 vs. 2010 Change</w:t>
            </w:r>
          </w:p>
        </w:tc>
      </w:tr>
      <w:tr>
        <w:trPr>
          <w:trHeight w:val="142"/>
        </w:trPr>
        <w:tc>
          <w:tcPr>
            <w:tcW w:w="4580" w:type="dxa"/>
            <w:vAlign w:val="bottom"/>
          </w:tcPr>
          <w:p>
            <w:pPr>
              <w:spacing w:after="0"/>
              <w:rPr>
                <w:sz w:val="12"/>
                <w:szCs w:val="12"/>
                <w:color w:val="auto"/>
              </w:rPr>
            </w:pPr>
          </w:p>
        </w:tc>
        <w:tc>
          <w:tcPr>
            <w:tcW w:w="540" w:type="dxa"/>
            <w:vAlign w:val="bottom"/>
            <w:tcBorders>
              <w:top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2"/>
                <w:szCs w:val="12"/>
                <w:color w:val="auto"/>
              </w:rPr>
            </w:pPr>
          </w:p>
        </w:tc>
        <w:tc>
          <w:tcPr>
            <w:tcW w:w="580" w:type="dxa"/>
            <w:vAlign w:val="bottom"/>
            <w:tcBorders>
              <w:top w:val="single" w:sz="8" w:color="auto"/>
            </w:tcBorders>
          </w:tcPr>
          <w:p>
            <w:pPr>
              <w:jc w:val="right"/>
              <w:ind w:right="87"/>
              <w:spacing w:after="0" w:line="142" w:lineRule="exact"/>
              <w:rPr>
                <w:sz w:val="20"/>
                <w:szCs w:val="20"/>
                <w:color w:val="auto"/>
              </w:rPr>
            </w:pPr>
            <w:r>
              <w:rPr>
                <w:rFonts w:ascii="Arial" w:cs="Arial" w:eastAsia="Arial" w:hAnsi="Arial"/>
                <w:sz w:val="14"/>
                <w:szCs w:val="14"/>
                <w:b w:val="1"/>
                <w:bCs w:val="1"/>
                <w:color w:val="auto"/>
              </w:rPr>
              <w:t>2011</w:t>
            </w:r>
          </w:p>
        </w:tc>
        <w:tc>
          <w:tcPr>
            <w:tcW w:w="86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520" w:type="dxa"/>
            <w:vAlign w:val="bottom"/>
            <w:tcBorders>
              <w:top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500" w:type="dxa"/>
            <w:vAlign w:val="bottom"/>
            <w:tcBorders>
              <w:top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r>
      <w:tr>
        <w:trPr>
          <w:trHeight w:val="210"/>
        </w:trPr>
        <w:tc>
          <w:tcPr>
            <w:tcW w:w="45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net sales and revenue</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$ 7,459</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$ 6,044</w:t>
            </w: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$14,329</w:t>
            </w: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$11,505</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23.4%</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2,824</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24.5%</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54" w:lineRule="exact"/>
        <w:rPr>
          <w:sz w:val="20"/>
          <w:szCs w:val="20"/>
          <w:color w:val="auto"/>
        </w:rPr>
      </w:pPr>
    </w:p>
    <w:p>
      <w:pPr>
        <w:ind w:firstLine="228"/>
        <w:spacing w:after="0" w:line="289" w:lineRule="auto"/>
        <w:rPr>
          <w:sz w:val="20"/>
          <w:szCs w:val="20"/>
          <w:color w:val="auto"/>
        </w:rPr>
      </w:pPr>
      <w:r>
        <w:rPr>
          <w:rFonts w:ascii="Arial" w:cs="Arial" w:eastAsia="Arial" w:hAnsi="Arial"/>
          <w:sz w:val="16"/>
          <w:szCs w:val="16"/>
          <w:color w:val="auto"/>
        </w:rPr>
        <w:t>In the three months ended June 30, 2011 Total net sales and revenue increased by $1.4 billion (or 23.4%), primarily due to: (1) favorable foreign currency translation effect of $0.8 billion, primarily due to the strengthening of the Euro and British Pound against the U.S. Dollar; (2) favorable vehicle mix of $0.4 billion primarily due to increased sales of the Opel Insignia, new generation Opel Meriva, and new generation Opel Astra; (3) increased wholesale volumes of $0.2 billion representing 20,000 vehicles (or 6.2%) primarily due to an increase in Russia by 11,000 vehicles (or 148.4%), in Germany by 10,000 vehicles (or 16.6%), in Turkey by 8,000 vehicles (or 86.9%), partially offset by a decrease in exports to the United States by 9,000 vehicles primarily attributable to the end of production of the Buick Regal in Germany as production was shifted to Canada; (4) revenue from GM Strasbourg of $0.1 billion in the three months ended June 30, 2011, as the entity was acquired in October 2010; and (5) increased powertrain engine and transmission sales of $0.1 billion, primarily in support of the Chevrolet Cruze and Chevrolet Volt; partially offset by (6) reduction in Saab brand sales of $0.1 billion related to the sale of Saab in 2010.</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40" w:firstLine="228"/>
        <w:spacing w:after="0" w:line="283" w:lineRule="auto"/>
        <w:rPr>
          <w:sz w:val="20"/>
          <w:szCs w:val="20"/>
          <w:color w:val="auto"/>
        </w:rPr>
      </w:pPr>
      <w:r>
        <w:rPr>
          <w:rFonts w:ascii="Arial" w:cs="Arial" w:eastAsia="Arial" w:hAnsi="Arial"/>
          <w:sz w:val="16"/>
          <w:szCs w:val="16"/>
          <w:color w:val="auto"/>
        </w:rPr>
        <w:t>In the six months ended June 30, 2011 Total net sales and revenue increased by $2.8 billion (or 24.5%), primarily due to: (1) increased wholesale volumes of $0.9 billion representing 67,000 vehicles (or 10.9%) primarily due to an increase in Germany by 27,000 vehicles (or 24.6%), in Russia by 20,000 vehicles (or 163.7%), in Turkey by 14,000 vehicles (or 96.4%), partially offset by a decrease in Spain of 9,000 vehicles (or 19.5%), in Italy by 6,000 vehicles (or 7.7%), and a net increase of 21,000 vehicles in all other countries within GME; (2) favorable foreign currency translation effect of $0.8 billion, primarily due to the strengthening of the Euro and British Pound against the U.S. Dollar; (3) favorable vehicle mix of $0.7 billion primarily due to increased sales of the Opel Insignia, new generation Opel Meriva, and new generation Opel Astra; (4) revenue from GM Strasbourg of $0.3 billion in the six months ended June 30, 2011; and (5) increased powertrain engine and transmission sales of $0.3 billion, primarily in support of the Chevrolet Cruze and Chevrolet Volt; partially offset by</w:t>
      </w:r>
    </w:p>
    <w:p>
      <w:pPr>
        <w:ind w:right="460" w:firstLine="8"/>
        <w:spacing w:after="0" w:line="261" w:lineRule="auto"/>
        <w:tabs>
          <w:tab w:leader="none" w:pos="249" w:val="left"/>
        </w:tabs>
        <w:numPr>
          <w:ilvl w:val="0"/>
          <w:numId w:val="55"/>
        </w:numPr>
        <w:rPr>
          <w:rFonts w:ascii="Arial" w:cs="Arial" w:eastAsia="Arial" w:hAnsi="Arial"/>
          <w:sz w:val="18"/>
          <w:szCs w:val="18"/>
          <w:color w:val="auto"/>
        </w:rPr>
      </w:pPr>
      <w:r>
        <w:rPr>
          <w:rFonts w:ascii="Arial" w:cs="Arial" w:eastAsia="Arial" w:hAnsi="Arial"/>
          <w:sz w:val="18"/>
          <w:szCs w:val="18"/>
          <w:color w:val="auto"/>
        </w:rPr>
        <w:t>unfavorable vehicle pricing effect of $0.1 billion associated with higher sales allowances in select markets; and (7) reduction in Saab brand sales of $0.1 billion related to the sale of Saab in 2010.</w:t>
      </w:r>
    </w:p>
    <w:p>
      <w:pPr>
        <w:spacing w:after="0" w:line="13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GME EBIT (Loss)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6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8"/>
              </w:rPr>
              <w:t>Three Months Ended</w:t>
            </w:r>
          </w:p>
        </w:tc>
        <w:tc>
          <w:tcPr>
            <w:tcW w:w="160" w:type="dxa"/>
            <w:vAlign w:val="bottom"/>
          </w:tcPr>
          <w:p>
            <w:pPr>
              <w:spacing w:after="0"/>
              <w:rPr>
                <w:sz w:val="14"/>
                <w:szCs w:val="14"/>
                <w:color w:val="auto"/>
              </w:rPr>
            </w:pPr>
          </w:p>
        </w:tc>
        <w:tc>
          <w:tcPr>
            <w:tcW w:w="18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88"/>
              </w:rPr>
              <w:t>Six Months Ended</w:t>
            </w:r>
          </w:p>
        </w:tc>
        <w:tc>
          <w:tcPr>
            <w:tcW w:w="120" w:type="dxa"/>
            <w:vAlign w:val="bottom"/>
          </w:tcPr>
          <w:p>
            <w:pPr>
              <w:spacing w:after="0"/>
              <w:rPr>
                <w:sz w:val="14"/>
                <w:szCs w:val="14"/>
                <w:color w:val="auto"/>
              </w:rPr>
            </w:pPr>
          </w:p>
        </w:tc>
        <w:tc>
          <w:tcPr>
            <w:tcW w:w="1760" w:type="dxa"/>
            <w:vAlign w:val="bottom"/>
            <w:gridSpan w:val="4"/>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6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7"/>
              </w:rPr>
              <w:t>Six Months Ended</w:t>
            </w:r>
          </w:p>
        </w:tc>
      </w:tr>
      <w:tr>
        <w:trPr>
          <w:trHeight w:val="161"/>
        </w:trPr>
        <w:tc>
          <w:tcPr>
            <w:tcW w:w="4200" w:type="dxa"/>
            <w:vAlign w:val="bottom"/>
          </w:tcPr>
          <w:p>
            <w:pPr>
              <w:spacing w:after="0"/>
              <w:rPr>
                <w:sz w:val="14"/>
                <w:szCs w:val="14"/>
                <w:color w:val="auto"/>
              </w:rPr>
            </w:pPr>
          </w:p>
        </w:tc>
        <w:tc>
          <w:tcPr>
            <w:tcW w:w="1020" w:type="dxa"/>
            <w:vAlign w:val="bottom"/>
            <w:gridSpan w:val="3"/>
          </w:tcPr>
          <w:p>
            <w:pPr>
              <w:jc w:val="center"/>
              <w:ind w:left="367"/>
              <w:spacing w:after="0"/>
              <w:rPr>
                <w:sz w:val="20"/>
                <w:szCs w:val="20"/>
                <w:color w:val="auto"/>
              </w:rPr>
            </w:pPr>
            <w:r>
              <w:rPr>
                <w:rFonts w:ascii="Arial" w:cs="Arial" w:eastAsia="Arial" w:hAnsi="Arial"/>
                <w:sz w:val="14"/>
                <w:szCs w:val="14"/>
                <w:b w:val="1"/>
                <w:bCs w:val="1"/>
                <w:color w:val="auto"/>
                <w:w w:val="89"/>
              </w:rPr>
              <w:t>June 30,</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3"/>
          </w:tcPr>
          <w:p>
            <w:pPr>
              <w:jc w:val="center"/>
              <w:ind w:left="347"/>
              <w:spacing w:after="0"/>
              <w:rPr>
                <w:sz w:val="20"/>
                <w:szCs w:val="20"/>
                <w:color w:val="auto"/>
              </w:rPr>
            </w:pPr>
            <w:r>
              <w:rPr>
                <w:rFonts w:ascii="Arial" w:cs="Arial" w:eastAsia="Arial" w:hAnsi="Arial"/>
                <w:sz w:val="14"/>
                <w:szCs w:val="14"/>
                <w:b w:val="1"/>
                <w:bCs w:val="1"/>
                <w:color w:val="auto"/>
                <w:w w:val="92"/>
              </w:rPr>
              <w:t>June 30,</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4"/>
          </w:tcPr>
          <w:p>
            <w:pPr>
              <w:ind w:left="20"/>
              <w:spacing w:after="0"/>
              <w:rPr>
                <w:sz w:val="20"/>
                <w:szCs w:val="20"/>
                <w:color w:val="auto"/>
              </w:rPr>
            </w:pPr>
            <w:r>
              <w:rPr>
                <w:rFonts w:ascii="Arial" w:cs="Arial" w:eastAsia="Arial" w:hAnsi="Arial"/>
                <w:sz w:val="14"/>
                <w:szCs w:val="14"/>
                <w:b w:val="1"/>
                <w:bCs w:val="1"/>
                <w:color w:val="auto"/>
              </w:rPr>
              <w:t>2011 vs. 2010 Change</w:t>
            </w:r>
          </w:p>
        </w:tc>
        <w:tc>
          <w:tcPr>
            <w:tcW w:w="120" w:type="dxa"/>
            <w:vAlign w:val="bottom"/>
          </w:tcPr>
          <w:p>
            <w:pPr>
              <w:spacing w:after="0"/>
              <w:rPr>
                <w:sz w:val="14"/>
                <w:szCs w:val="14"/>
                <w:color w:val="auto"/>
              </w:rPr>
            </w:pPr>
          </w:p>
        </w:tc>
        <w:tc>
          <w:tcPr>
            <w:tcW w:w="16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7"/>
              </w:rPr>
              <w:t>2011 vs. 2010 Change</w:t>
            </w:r>
          </w:p>
        </w:tc>
      </w:tr>
      <w:tr>
        <w:trPr>
          <w:trHeight w:val="142"/>
        </w:trPr>
        <w:tc>
          <w:tcPr>
            <w:tcW w:w="4200" w:type="dxa"/>
            <w:vAlign w:val="bottom"/>
          </w:tcPr>
          <w:p>
            <w:pPr>
              <w:spacing w:after="0"/>
              <w:rPr>
                <w:sz w:val="12"/>
                <w:szCs w:val="12"/>
                <w:color w:val="auto"/>
              </w:rPr>
            </w:pPr>
          </w:p>
        </w:tc>
        <w:tc>
          <w:tcPr>
            <w:tcW w:w="540" w:type="dxa"/>
            <w:vAlign w:val="bottom"/>
            <w:tcBorders>
              <w:top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2011</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w w:val="89"/>
              </w:rPr>
              <w:t>2010</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Borders>
              <w:top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w w:val="83"/>
              </w:rPr>
              <w:t>2010</w:t>
            </w:r>
          </w:p>
        </w:tc>
        <w:tc>
          <w:tcPr>
            <w:tcW w:w="3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40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500" w:type="dxa"/>
            <w:vAlign w:val="bottom"/>
            <w:tcBorders>
              <w:top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r>
      <w:tr>
        <w:trPr>
          <w:trHeight w:val="210"/>
        </w:trPr>
        <w:tc>
          <w:tcPr>
            <w:tcW w:w="4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EBIT (Loss)</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102</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(288)</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(637)</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3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3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54.8%</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71" w:lineRule="exact"/>
        <w:rPr>
          <w:sz w:val="20"/>
          <w:szCs w:val="20"/>
          <w:color w:val="auto"/>
        </w:rPr>
      </w:pPr>
    </w:p>
    <w:p>
      <w:pPr>
        <w:ind w:right="20" w:firstLine="228"/>
        <w:spacing w:after="0" w:line="289" w:lineRule="auto"/>
        <w:rPr>
          <w:sz w:val="20"/>
          <w:szCs w:val="20"/>
          <w:color w:val="auto"/>
        </w:rPr>
      </w:pPr>
      <w:r>
        <w:rPr>
          <w:rFonts w:ascii="Arial" w:cs="Arial" w:eastAsia="Arial" w:hAnsi="Arial"/>
          <w:sz w:val="16"/>
          <w:szCs w:val="16"/>
          <w:color w:val="auto"/>
        </w:rPr>
        <w:t>In the three months ended June 30, 2011 EBIT was $0.1 billion compared to an EBIT loss of $0.2 billion in the corresponding period in 2010, primarily due to: (1) higher restructuring charges of $0.2 billion incurred in the three months ended June 30, 2010 to restructure our European operations, primarily for separation programs announced in Belgium, Spain, and the United Kingdom; (2) increased net wholesale volumes of $0.1 billion; (3) favorable net vehicle mix of $0.1 billion primarily due to increased sales of the Opel Insignia, new generation Opel Meriva, and new generation Opel Astra; (4) decreased manufacturing costs of $0.1 billion primarily related to the closing of the Antwerp, Belgium facility and European wide labor savings; and (5) increase of $0.1 billion in embedded foreign currency exchange derivative associated with a long-term supply agreement entered into in 2010; partially offset by (6) unfavorable net foreign currency effects of $0.2 billion, primarily due to the translation effect of the strengthening of the Euro and British Pound against the U.S. Dollar, and foreign denominated debt, trade payables and trade receivables transactions; and (7) increased engineering expense of $0.1 billion associated with new generation vehicles.</w:t>
      </w:r>
    </w:p>
    <w:p>
      <w:pPr>
        <w:spacing w:after="0" w:line="118" w:lineRule="exact"/>
        <w:rPr>
          <w:sz w:val="20"/>
          <w:szCs w:val="20"/>
          <w:color w:val="auto"/>
        </w:rPr>
      </w:pPr>
    </w:p>
    <w:p>
      <w:pPr>
        <w:ind w:right="160" w:firstLine="228"/>
        <w:spacing w:after="0" w:line="287" w:lineRule="auto"/>
        <w:rPr>
          <w:sz w:val="20"/>
          <w:szCs w:val="20"/>
          <w:color w:val="auto"/>
        </w:rPr>
      </w:pPr>
      <w:r>
        <w:rPr>
          <w:rFonts w:ascii="Arial" w:cs="Arial" w:eastAsia="Arial" w:hAnsi="Arial"/>
          <w:sz w:val="16"/>
          <w:szCs w:val="16"/>
          <w:color w:val="auto"/>
        </w:rPr>
        <w:t>In the six months ended June 30, 2011 EBIT loss decreased by $0.3 billion (or 54.8%), primarily due to: (1) higher restructuring charges of $0.4 billion incurred in the six months ended June 30, 2010 to restructure our European operations, primarily for separation programs announced in Belgium, Spain, and the United Kingdom; (2) increased net wholesale volumes of $0.2 billion; (3) decreased manufacturing costs of $0.2 billion primarily related to the closing of the Antwerp, Belgium facility and European wide labor savings; (4) favorable net vehicle mix of $0.1 billion primarily due to increased sales of the Opel Insignia, new generation Opel Meriva, and new generation Opel Astra; (5) increase of $0.1 billion in embedded foreign currency exchange derivative associated with a long-term supply agreement entered into in 2010; and (6) EBIT from GM Strasbourg of $0.1 billion in the six months ended June 30, 2011, as the entity was acquired in October 2010; partially offset by (7) Goodwill impairment charges of $0.4 billion; (8) unfavorable net foreign currency effects of $0.2 billion, primarily due to the translation effect of the strengthening of the Euro and British Pound against the U.S. Dollar, and foreign denominated debt, trade payables and trade receivables transactions; (9) charges of $0.1 billion related to a single customer’s default under various commercial supply agreements; and (10) a nonrecurring gain on the sale of Saab of $0.1 billion recorded in the three months ended March 31, 2010.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International Operations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700" w:type="dxa"/>
            <w:vAlign w:val="bottom"/>
            <w:gridSpan w:val="7"/>
          </w:tcPr>
          <w:p>
            <w:pPr>
              <w:jc w:val="right"/>
              <w:ind w:right="400"/>
              <w:spacing w:after="0"/>
              <w:rPr>
                <w:sz w:val="20"/>
                <w:szCs w:val="20"/>
                <w:color w:val="auto"/>
              </w:rPr>
            </w:pPr>
            <w:r>
              <w:rPr>
                <w:rFonts w:ascii="Arial" w:cs="Arial" w:eastAsia="Arial" w:hAnsi="Arial"/>
                <w:sz w:val="14"/>
                <w:szCs w:val="14"/>
                <w:b w:val="1"/>
                <w:bCs w:val="1"/>
                <w:color w:val="auto"/>
                <w:w w:val="92"/>
              </w:rPr>
              <w:t>Three Months Ended</w:t>
            </w:r>
          </w:p>
        </w:tc>
        <w:tc>
          <w:tcPr>
            <w:tcW w:w="80" w:type="dxa"/>
            <w:vAlign w:val="bottom"/>
          </w:tcPr>
          <w:p>
            <w:pPr>
              <w:spacing w:after="0"/>
              <w:rPr>
                <w:sz w:val="14"/>
                <w:szCs w:val="14"/>
                <w:color w:val="auto"/>
              </w:rPr>
            </w:pPr>
          </w:p>
        </w:tc>
        <w:tc>
          <w:tcPr>
            <w:tcW w:w="1480" w:type="dxa"/>
            <w:vAlign w:val="bottom"/>
            <w:gridSpan w:val="5"/>
          </w:tcPr>
          <w:p>
            <w:pPr>
              <w:ind w:left="12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38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820" w:type="dxa"/>
            <w:vAlign w:val="bottom"/>
            <w:tcBorders>
              <w:bottom w:val="single" w:sz="8" w:color="CCEEFF"/>
            </w:tcBorders>
          </w:tcPr>
          <w:p>
            <w:pPr>
              <w:spacing w:after="0"/>
              <w:rPr>
                <w:sz w:val="12"/>
                <w:szCs w:val="12"/>
                <w:color w:val="auto"/>
              </w:rPr>
            </w:pPr>
          </w:p>
        </w:tc>
        <w:tc>
          <w:tcPr>
            <w:tcW w:w="43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w w:val="89"/>
              </w:rPr>
              <w:t>2011</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83"/>
              </w:rPr>
              <w:t>2010</w:t>
            </w:r>
          </w:p>
        </w:tc>
        <w:tc>
          <w:tcPr>
            <w:tcW w:w="3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sales and revenue</w:t>
            </w:r>
          </w:p>
        </w:tc>
        <w:tc>
          <w:tcPr>
            <w:tcW w:w="4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6,616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5,331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12,043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10,316</w:t>
            </w:r>
          </w:p>
        </w:tc>
        <w:tc>
          <w:tcPr>
            <w:tcW w:w="100" w:type="dxa"/>
            <w:vAlign w:val="bottom"/>
            <w:shd w:val="clear" w:color="auto" w:fill="CCEEFF"/>
          </w:tcPr>
          <w:p>
            <w:pPr>
              <w:spacing w:after="0"/>
              <w:rPr>
                <w:sz w:val="18"/>
                <w:szCs w:val="18"/>
                <w:color w:val="auto"/>
              </w:rPr>
            </w:pPr>
          </w:p>
        </w:tc>
      </w:tr>
      <w:tr>
        <w:trPr>
          <w:trHeight w:val="228"/>
        </w:trPr>
        <w:tc>
          <w:tcPr>
            <w:tcW w:w="3820" w:type="dxa"/>
            <w:vAlign w:val="bottom"/>
          </w:tcPr>
          <w:p>
            <w:pPr>
              <w:spacing w:after="0"/>
              <w:rPr>
                <w:sz w:val="20"/>
                <w:szCs w:val="20"/>
                <w:color w:val="auto"/>
              </w:rPr>
            </w:pPr>
            <w:r>
              <w:rPr>
                <w:rFonts w:ascii="Arial" w:cs="Arial" w:eastAsia="Arial" w:hAnsi="Arial"/>
                <w:sz w:val="18"/>
                <w:szCs w:val="18"/>
                <w:b w:val="1"/>
                <w:bCs w:val="1"/>
                <w:color w:val="auto"/>
              </w:rPr>
              <w:t>EBIT</w:t>
            </w:r>
          </w:p>
        </w:tc>
        <w:tc>
          <w:tcPr>
            <w:tcW w:w="4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573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504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1,053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1,412</w:t>
            </w:r>
          </w:p>
        </w:tc>
        <w:tc>
          <w:tcPr>
            <w:tcW w:w="100" w:type="dxa"/>
            <w:vAlign w:val="bottom"/>
          </w:tcPr>
          <w:p>
            <w:pPr>
              <w:spacing w:after="0"/>
              <w:rPr>
                <w:sz w:val="19"/>
                <w:szCs w:val="19"/>
                <w:color w:val="auto"/>
              </w:rPr>
            </w:pPr>
          </w:p>
        </w:tc>
      </w:tr>
      <w:tr>
        <w:trPr>
          <w:trHeight w:val="350"/>
        </w:trPr>
        <w:tc>
          <w:tcPr>
            <w:tcW w:w="3820" w:type="dxa"/>
            <w:vAlign w:val="bottom"/>
          </w:tcPr>
          <w:p>
            <w:pPr>
              <w:spacing w:after="0"/>
              <w:rPr>
                <w:sz w:val="24"/>
                <w:szCs w:val="24"/>
                <w:color w:val="auto"/>
              </w:rPr>
            </w:pPr>
          </w:p>
        </w:tc>
        <w:tc>
          <w:tcPr>
            <w:tcW w:w="4340" w:type="dxa"/>
            <w:vAlign w:val="bottom"/>
          </w:tcPr>
          <w:p>
            <w:pPr>
              <w:jc w:val="right"/>
              <w:ind w:right="2272"/>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Vehicle Sales and Production Volume</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summarize total production volume and new vehicle sales volume and competitive position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500" w:type="dxa"/>
            <w:vAlign w:val="bottom"/>
            <w:gridSpan w:val="4"/>
          </w:tcPr>
          <w:p>
            <w:pPr>
              <w:jc w:val="right"/>
              <w:ind w:right="56"/>
              <w:spacing w:after="0"/>
              <w:rPr>
                <w:sz w:val="20"/>
                <w:szCs w:val="20"/>
                <w:color w:val="auto"/>
              </w:rPr>
            </w:pPr>
            <w:r>
              <w:rPr>
                <w:rFonts w:ascii="Arial" w:cs="Arial" w:eastAsia="Arial" w:hAnsi="Arial"/>
                <w:sz w:val="14"/>
                <w:szCs w:val="14"/>
                <w:b w:val="1"/>
                <w:bCs w:val="1"/>
                <w:color w:val="auto"/>
                <w:w w:val="96"/>
              </w:rPr>
              <w:t>Three Months Ended</w:t>
            </w:r>
          </w:p>
        </w:tc>
        <w:tc>
          <w:tcPr>
            <w:tcW w:w="400" w:type="dxa"/>
            <w:vAlign w:val="bottom"/>
          </w:tcPr>
          <w:p>
            <w:pPr>
              <w:spacing w:after="0"/>
              <w:rPr>
                <w:sz w:val="14"/>
                <w:szCs w:val="14"/>
                <w:color w:val="auto"/>
              </w:rPr>
            </w:pPr>
          </w:p>
        </w:tc>
        <w:tc>
          <w:tcPr>
            <w:tcW w:w="15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8"/>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04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w w:val="92"/>
              </w:rPr>
              <w:t>June 30,</w:t>
            </w:r>
          </w:p>
        </w:tc>
        <w:tc>
          <w:tcPr>
            <w:tcW w:w="46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Borders>
              <w:bottom w:val="single" w:sz="8" w:color="auto"/>
            </w:tcBorders>
            <w:gridSpan w:val="3"/>
          </w:tcPr>
          <w:p>
            <w:pPr>
              <w:jc w:val="center"/>
              <w:ind w:left="372"/>
              <w:spacing w:after="0"/>
              <w:rPr>
                <w:sz w:val="20"/>
                <w:szCs w:val="20"/>
                <w:color w:val="auto"/>
              </w:rPr>
            </w:pPr>
            <w:r>
              <w:rPr>
                <w:rFonts w:ascii="Arial" w:cs="Arial" w:eastAsia="Arial" w:hAnsi="Arial"/>
                <w:sz w:val="14"/>
                <w:szCs w:val="14"/>
                <w:b w:val="1"/>
                <w:bCs w:val="1"/>
                <w:color w:val="auto"/>
                <w:w w:val="92"/>
              </w:rPr>
              <w:t>June 30,</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67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2010</w:t>
            </w:r>
          </w:p>
        </w:tc>
        <w:tc>
          <w:tcPr>
            <w:tcW w:w="4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Production volume</w:t>
            </w:r>
          </w:p>
        </w:tc>
        <w:tc>
          <w:tcPr>
            <w:tcW w:w="5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rPr>
              <w:t>Consolidated entities</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310</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567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Joint ventures</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ind w:left="200"/>
              <w:spacing w:after="0"/>
              <w:rPr>
                <w:sz w:val="20"/>
                <w:szCs w:val="20"/>
                <w:color w:val="auto"/>
              </w:rPr>
            </w:pPr>
            <w:r>
              <w:rPr>
                <w:rFonts w:ascii="Arial" w:cs="Arial" w:eastAsia="Arial" w:hAnsi="Arial"/>
                <w:sz w:val="18"/>
                <w:szCs w:val="18"/>
                <w:color w:val="auto"/>
              </w:rPr>
              <w:t>SGM</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292</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583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SGMW and FAW-GM (a)</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ind w:left="200"/>
              <w:spacing w:after="0"/>
              <w:rPr>
                <w:sz w:val="20"/>
                <w:szCs w:val="20"/>
                <w:color w:val="auto"/>
              </w:rPr>
            </w:pPr>
            <w:r>
              <w:rPr>
                <w:rFonts w:ascii="Arial" w:cs="Arial" w:eastAsia="Arial" w:hAnsi="Arial"/>
                <w:sz w:val="18"/>
                <w:szCs w:val="18"/>
                <w:color w:val="auto"/>
              </w:rPr>
              <w:t>Other</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7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production volume</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1,003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380" w:hanging="452"/>
        <w:spacing w:after="0" w:line="268"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joint venture agreements with SGMW and FAW-GM allow for significant rights as a member as well as the contractual right to report SGMW and FAW-GM joint venture production in China.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00" w:type="dxa"/>
            <w:vAlign w:val="bottom"/>
            <w:gridSpan w:val="7"/>
          </w:tcPr>
          <w:p>
            <w:pPr>
              <w:jc w:val="center"/>
              <w:ind w:right="980"/>
              <w:spacing w:after="0"/>
              <w:rPr>
                <w:sz w:val="20"/>
                <w:szCs w:val="20"/>
                <w:color w:val="auto"/>
              </w:rPr>
            </w:pPr>
            <w:r>
              <w:rPr>
                <w:rFonts w:ascii="Arial" w:cs="Arial" w:eastAsia="Arial" w:hAnsi="Arial"/>
                <w:sz w:val="14"/>
                <w:szCs w:val="14"/>
                <w:b w:val="1"/>
                <w:bCs w:val="1"/>
                <w:color w:val="auto"/>
                <w:w w:val="89"/>
              </w:rPr>
              <w:t>Three Months Ended</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Six Months Ended</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5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ind w:left="152"/>
              <w:spacing w:after="0"/>
              <w:rPr>
                <w:sz w:val="20"/>
                <w:szCs w:val="20"/>
                <w:color w:val="auto"/>
              </w:rPr>
            </w:pPr>
            <w:r>
              <w:rPr>
                <w:rFonts w:ascii="Arial" w:cs="Arial" w:eastAsia="Arial" w:hAnsi="Arial"/>
                <w:sz w:val="14"/>
                <w:szCs w:val="14"/>
                <w:b w:val="1"/>
                <w:bCs w:val="1"/>
                <w:color w:val="auto"/>
                <w:w w:val="85"/>
              </w:rPr>
              <w:t>June 30,</w:t>
            </w: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w w:val="82"/>
              </w:rPr>
              <w:t>June 30,</w:t>
            </w:r>
          </w:p>
        </w:tc>
        <w:tc>
          <w:tcPr>
            <w:tcW w:w="4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5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392"/>
              <w:spacing w:after="0" w:line="142" w:lineRule="exact"/>
              <w:rPr>
                <w:sz w:val="20"/>
                <w:szCs w:val="20"/>
                <w:color w:val="auto"/>
              </w:rPr>
            </w:pPr>
            <w:r>
              <w:rPr>
                <w:rFonts w:ascii="Arial" w:cs="Arial" w:eastAsia="Arial" w:hAnsi="Arial"/>
                <w:sz w:val="14"/>
                <w:szCs w:val="14"/>
                <w:b w:val="1"/>
                <w:bCs w:val="1"/>
                <w:color w:val="auto"/>
              </w:rPr>
              <w:t>2011</w:t>
            </w:r>
          </w:p>
        </w:tc>
        <w:tc>
          <w:tcPr>
            <w:tcW w:w="3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2010 (a)</w:t>
            </w:r>
          </w:p>
        </w:tc>
        <w:tc>
          <w:tcPr>
            <w:tcW w:w="3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452"/>
              <w:spacing w:after="0" w:line="142" w:lineRule="exact"/>
              <w:rPr>
                <w:sz w:val="20"/>
                <w:szCs w:val="20"/>
                <w:color w:val="auto"/>
              </w:rPr>
            </w:pPr>
            <w:r>
              <w:rPr>
                <w:rFonts w:ascii="Arial" w:cs="Arial" w:eastAsia="Arial" w:hAnsi="Arial"/>
                <w:sz w:val="14"/>
                <w:szCs w:val="14"/>
                <w:b w:val="1"/>
                <w:bCs w:val="1"/>
                <w:color w:val="auto"/>
              </w:rPr>
              <w:t>2011</w:t>
            </w:r>
          </w:p>
        </w:tc>
        <w:tc>
          <w:tcPr>
            <w:tcW w:w="3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ind w:left="280"/>
              <w:spacing w:after="0" w:line="142" w:lineRule="exact"/>
              <w:rPr>
                <w:sz w:val="20"/>
                <w:szCs w:val="20"/>
                <w:color w:val="auto"/>
              </w:rPr>
            </w:pPr>
            <w:r>
              <w:rPr>
                <w:rFonts w:ascii="Arial" w:cs="Arial" w:eastAsia="Arial" w:hAnsi="Arial"/>
                <w:sz w:val="14"/>
                <w:szCs w:val="14"/>
                <w:b w:val="1"/>
                <w:bCs w:val="1"/>
                <w:color w:val="auto"/>
              </w:rPr>
              <w:t>2010 (a)(b)</w:t>
            </w:r>
          </w:p>
        </w:tc>
        <w:tc>
          <w:tcPr>
            <w:tcW w:w="200" w:type="dxa"/>
            <w:vAlign w:val="bottom"/>
          </w:tcPr>
          <w:p>
            <w:pPr>
              <w:spacing w:after="0"/>
              <w:rPr>
                <w:sz w:val="12"/>
                <w:szCs w:val="12"/>
                <w:color w:val="auto"/>
              </w:rPr>
            </w:pPr>
          </w:p>
        </w:tc>
      </w:tr>
      <w:tr>
        <w:trPr>
          <w:trHeight w:val="129"/>
        </w:trPr>
        <w:tc>
          <w:tcPr>
            <w:tcW w:w="5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GM</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GM</w:t>
            </w: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GM</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7"/>
              </w:rPr>
              <w:t>GM</w:t>
            </w:r>
          </w:p>
        </w:tc>
        <w:tc>
          <w:tcPr>
            <w:tcW w:w="200" w:type="dxa"/>
            <w:vAlign w:val="bottom"/>
          </w:tcPr>
          <w:p>
            <w:pPr>
              <w:spacing w:after="0"/>
              <w:rPr>
                <w:sz w:val="11"/>
                <w:szCs w:val="11"/>
                <w:color w:val="auto"/>
              </w:rPr>
            </w:pPr>
          </w:p>
        </w:tc>
      </w:tr>
      <w:tr>
        <w:trPr>
          <w:trHeight w:val="149"/>
        </w:trPr>
        <w:tc>
          <w:tcPr>
            <w:tcW w:w="5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as a % of</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as a % of</w:t>
            </w: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as a % of</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as a % of</w:t>
            </w:r>
          </w:p>
        </w:tc>
      </w:tr>
      <w:tr>
        <w:trPr>
          <w:trHeight w:val="161"/>
        </w:trPr>
        <w:tc>
          <w:tcPr>
            <w:tcW w:w="51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GM</w:t>
            </w:r>
          </w:p>
        </w:tc>
        <w:tc>
          <w:tcPr>
            <w:tcW w:w="280" w:type="dxa"/>
            <w:vAlign w:val="bottom"/>
          </w:tcPr>
          <w:p>
            <w:pPr>
              <w:spacing w:after="0"/>
              <w:rPr>
                <w:sz w:val="14"/>
                <w:szCs w:val="14"/>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Industry</w:t>
            </w:r>
          </w:p>
        </w:tc>
        <w:tc>
          <w:tcPr>
            <w:tcW w:w="340" w:type="dxa"/>
            <w:vAlign w:val="bottom"/>
            <w:gridSpan w:val="2"/>
          </w:tcPr>
          <w:p>
            <w:pPr>
              <w:ind w:left="40"/>
              <w:spacing w:after="0"/>
              <w:rPr>
                <w:sz w:val="20"/>
                <w:szCs w:val="20"/>
                <w:color w:val="auto"/>
              </w:rPr>
            </w:pPr>
            <w:r>
              <w:rPr>
                <w:rFonts w:ascii="Arial" w:cs="Arial" w:eastAsia="Arial" w:hAnsi="Arial"/>
                <w:sz w:val="14"/>
                <w:szCs w:val="14"/>
                <w:b w:val="1"/>
                <w:bCs w:val="1"/>
                <w:color w:val="auto"/>
              </w:rPr>
              <w:t>GM</w:t>
            </w:r>
          </w:p>
        </w:tc>
        <w:tc>
          <w:tcPr>
            <w:tcW w:w="240" w:type="dxa"/>
            <w:vAlign w:val="bottom"/>
          </w:tcPr>
          <w:p>
            <w:pPr>
              <w:spacing w:after="0"/>
              <w:rPr>
                <w:sz w:val="14"/>
                <w:szCs w:val="14"/>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Industry</w:t>
            </w:r>
          </w:p>
        </w:tc>
        <w:tc>
          <w:tcPr>
            <w:tcW w:w="460" w:type="dxa"/>
            <w:vAlign w:val="bottom"/>
          </w:tcPr>
          <w:p>
            <w:pPr>
              <w:jc w:val="right"/>
              <w:ind w:right="15"/>
              <w:spacing w:after="0"/>
              <w:rPr>
                <w:sz w:val="20"/>
                <w:szCs w:val="20"/>
                <w:color w:val="auto"/>
              </w:rPr>
            </w:pPr>
            <w:r>
              <w:rPr>
                <w:rFonts w:ascii="Arial" w:cs="Arial" w:eastAsia="Arial" w:hAnsi="Arial"/>
                <w:sz w:val="14"/>
                <w:szCs w:val="14"/>
                <w:b w:val="1"/>
                <w:bCs w:val="1"/>
                <w:color w:val="auto"/>
              </w:rPr>
              <w:t>GM</w:t>
            </w:r>
          </w:p>
        </w:tc>
        <w:tc>
          <w:tcPr>
            <w:tcW w:w="280" w:type="dxa"/>
            <w:vAlign w:val="bottom"/>
          </w:tcPr>
          <w:p>
            <w:pPr>
              <w:spacing w:after="0"/>
              <w:rPr>
                <w:sz w:val="14"/>
                <w:szCs w:val="14"/>
                <w:color w:val="auto"/>
              </w:rPr>
            </w:pPr>
          </w:p>
        </w:tc>
        <w:tc>
          <w:tcPr>
            <w:tcW w:w="10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0"/>
              </w:rPr>
              <w:t>Industry</w:t>
            </w:r>
          </w:p>
        </w:tc>
        <w:tc>
          <w:tcPr>
            <w:tcW w:w="6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GM</w:t>
            </w: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Industry</w:t>
            </w:r>
          </w:p>
        </w:tc>
      </w:tr>
      <w:tr>
        <w:trPr>
          <w:trHeight w:val="196"/>
        </w:trPr>
        <w:tc>
          <w:tcPr>
            <w:tcW w:w="5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Vehicle sales (c)(d)(e)(f)</w:t>
            </w:r>
          </w:p>
        </w:tc>
        <w:tc>
          <w:tcPr>
            <w:tcW w:w="3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5100" w:type="dxa"/>
            <w:vAlign w:val="bottom"/>
          </w:tcPr>
          <w:p>
            <w:pPr>
              <w:ind w:left="220"/>
              <w:spacing w:after="0"/>
              <w:rPr>
                <w:sz w:val="20"/>
                <w:szCs w:val="20"/>
                <w:color w:val="auto"/>
              </w:rPr>
            </w:pPr>
            <w:r>
              <w:rPr>
                <w:rFonts w:ascii="Arial" w:cs="Arial" w:eastAsia="Arial" w:hAnsi="Arial"/>
                <w:sz w:val="18"/>
                <w:szCs w:val="18"/>
                <w:color w:val="auto"/>
              </w:rPr>
              <w:t>Total GMIO</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780</w:t>
            </w: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9.6%</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771</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8.9%</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1,635</w:t>
            </w: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9.4%</w:t>
            </w:r>
          </w:p>
        </w:tc>
        <w:tc>
          <w:tcPr>
            <w:tcW w:w="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1,567</w:t>
            </w:r>
          </w:p>
        </w:tc>
        <w:tc>
          <w:tcPr>
            <w:tcW w:w="2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Vehicle sales-consolidated entities</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Australia</w:t>
            </w:r>
          </w:p>
        </w:tc>
        <w:tc>
          <w:tcPr>
            <w:tcW w:w="320" w:type="dxa"/>
            <w:vAlign w:val="bottom"/>
          </w:tcPr>
          <w:p>
            <w:pPr>
              <w:jc w:val="right"/>
              <w:spacing w:after="0"/>
              <w:rPr>
                <w:sz w:val="20"/>
                <w:szCs w:val="20"/>
                <w:color w:val="auto"/>
              </w:rPr>
            </w:pPr>
            <w:r>
              <w:rPr>
                <w:rFonts w:ascii="Arial" w:cs="Arial" w:eastAsia="Arial" w:hAnsi="Arial"/>
                <w:sz w:val="18"/>
                <w:szCs w:val="18"/>
                <w:color w:val="auto"/>
              </w:rPr>
              <w:t>33</w:t>
            </w: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13.3%</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12.6%</w:t>
            </w:r>
          </w:p>
        </w:tc>
        <w:tc>
          <w:tcPr>
            <w:tcW w:w="460" w:type="dxa"/>
            <w:vAlign w:val="bottom"/>
          </w:tcPr>
          <w:p>
            <w:pPr>
              <w:jc w:val="right"/>
              <w:spacing w:after="0"/>
              <w:rPr>
                <w:sz w:val="20"/>
                <w:szCs w:val="20"/>
                <w:color w:val="auto"/>
              </w:rPr>
            </w:pPr>
            <w:r>
              <w:rPr>
                <w:rFonts w:ascii="Arial" w:cs="Arial" w:eastAsia="Arial" w:hAnsi="Arial"/>
                <w:sz w:val="18"/>
                <w:szCs w:val="18"/>
                <w:color w:val="auto"/>
              </w:rPr>
              <w:t>63</w:t>
            </w: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12.6%</w:t>
            </w:r>
          </w:p>
        </w:tc>
        <w:tc>
          <w:tcPr>
            <w:tcW w:w="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69</w:t>
            </w:r>
          </w:p>
        </w:tc>
        <w:tc>
          <w:tcPr>
            <w:tcW w:w="2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12.9%</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Middle East Operations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12.5%</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11.5%</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South Korea</w:t>
            </w:r>
          </w:p>
        </w:tc>
        <w:tc>
          <w:tcPr>
            <w:tcW w:w="320" w:type="dxa"/>
            <w:vAlign w:val="bottom"/>
          </w:tcPr>
          <w:p>
            <w:pPr>
              <w:jc w:val="right"/>
              <w:spacing w:after="0"/>
              <w:rPr>
                <w:sz w:val="20"/>
                <w:szCs w:val="20"/>
                <w:color w:val="auto"/>
              </w:rPr>
            </w:pPr>
            <w:r>
              <w:rPr>
                <w:rFonts w:ascii="Arial" w:cs="Arial" w:eastAsia="Arial" w:hAnsi="Arial"/>
                <w:sz w:val="18"/>
                <w:szCs w:val="18"/>
                <w:color w:val="auto"/>
              </w:rPr>
              <w:t>39</w:t>
            </w: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9.8%</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8.2%</w:t>
            </w:r>
          </w:p>
        </w:tc>
        <w:tc>
          <w:tcPr>
            <w:tcW w:w="460" w:type="dxa"/>
            <w:vAlign w:val="bottom"/>
          </w:tcPr>
          <w:p>
            <w:pPr>
              <w:jc w:val="right"/>
              <w:spacing w:after="0"/>
              <w:rPr>
                <w:sz w:val="20"/>
                <w:szCs w:val="20"/>
                <w:color w:val="auto"/>
              </w:rPr>
            </w:pPr>
            <w:r>
              <w:rPr>
                <w:rFonts w:ascii="Arial" w:cs="Arial" w:eastAsia="Arial" w:hAnsi="Arial"/>
                <w:sz w:val="18"/>
                <w:szCs w:val="18"/>
                <w:color w:val="auto"/>
              </w:rPr>
              <w:t>69</w:t>
            </w: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8.8%</w:t>
            </w:r>
          </w:p>
        </w:tc>
        <w:tc>
          <w:tcPr>
            <w:tcW w:w="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7.7%</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Egypt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26.6%</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26.3%</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27.1%</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Vehicle sales-primarily joint ventures</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China (g)(h)</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588</w:t>
            </w: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13.3%</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586</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1,274</w:t>
            </w: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13.4%</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1,209</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w:t>
            </w:r>
          </w:p>
        </w:tc>
      </w:tr>
      <w:tr>
        <w:trPr>
          <w:trHeight w:val="222"/>
        </w:trPr>
        <w:tc>
          <w:tcPr>
            <w:tcW w:w="5100" w:type="dxa"/>
            <w:vAlign w:val="bottom"/>
          </w:tcPr>
          <w:p>
            <w:pPr>
              <w:spacing w:after="0"/>
              <w:rPr>
                <w:sz w:val="20"/>
                <w:szCs w:val="20"/>
                <w:color w:val="auto"/>
              </w:rPr>
            </w:pPr>
            <w:r>
              <w:rPr>
                <w:rFonts w:ascii="Arial" w:cs="Arial" w:eastAsia="Arial" w:hAnsi="Arial"/>
                <w:sz w:val="18"/>
                <w:szCs w:val="18"/>
                <w:color w:val="auto"/>
              </w:rPr>
              <w:t>India (g)</w:t>
            </w:r>
          </w:p>
        </w:tc>
        <w:tc>
          <w:tcPr>
            <w:tcW w:w="320" w:type="dxa"/>
            <w:vAlign w:val="bottom"/>
          </w:tcPr>
          <w:p>
            <w:pPr>
              <w:jc w:val="right"/>
              <w:spacing w:after="0"/>
              <w:rPr>
                <w:sz w:val="20"/>
                <w:szCs w:val="20"/>
                <w:color w:val="auto"/>
              </w:rPr>
            </w:pPr>
            <w:r>
              <w:rPr>
                <w:rFonts w:ascii="Arial" w:cs="Arial" w:eastAsia="Arial" w:hAnsi="Arial"/>
                <w:sz w:val="18"/>
                <w:szCs w:val="18"/>
                <w:color w:val="auto"/>
              </w:rPr>
              <w:t>27</w:t>
            </w: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3.4%</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4.0%</w:t>
            </w:r>
          </w:p>
        </w:tc>
        <w:tc>
          <w:tcPr>
            <w:tcW w:w="460" w:type="dxa"/>
            <w:vAlign w:val="bottom"/>
          </w:tcPr>
          <w:p>
            <w:pPr>
              <w:jc w:val="right"/>
              <w:spacing w:after="0"/>
              <w:rPr>
                <w:sz w:val="20"/>
                <w:szCs w:val="20"/>
                <w:color w:val="auto"/>
              </w:rPr>
            </w:pPr>
            <w:r>
              <w:rPr>
                <w:rFonts w:ascii="Arial" w:cs="Arial" w:eastAsia="Arial" w:hAnsi="Arial"/>
                <w:sz w:val="18"/>
                <w:szCs w:val="18"/>
                <w:color w:val="auto"/>
              </w:rPr>
              <w:t>55</w:t>
            </w: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Includes HUMMER vehicle sales data.</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vehicle sales include Saab data through February 2010.</w:t>
      </w:r>
    </w:p>
    <w:p>
      <w:pPr>
        <w:spacing w:after="0" w:line="90"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Vehicle sales primarily represent estimated sales to the end customer. In countries where end customer data is not readily available other data sources, such as wholesale volumes, are used to estimate vehicles sales.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Vehicle sales data may include rounding differences.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Certain fleet sales that are accounted for as operating leases are included in vehicle sales at the time of delivery to the daily rental car companies.</w:t>
      </w:r>
    </w:p>
    <w:p>
      <w:pPr>
        <w:spacing w:after="0" w:line="113" w:lineRule="exact"/>
        <w:rPr>
          <w:rFonts w:ascii="Arial" w:cs="Arial" w:eastAsia="Arial" w:hAnsi="Arial"/>
          <w:sz w:val="16"/>
          <w:szCs w:val="16"/>
          <w:color w:val="auto"/>
        </w:rPr>
      </w:pPr>
    </w:p>
    <w:p>
      <w:pPr>
        <w:ind w:left="460" w:right="240" w:hanging="452"/>
        <w:spacing w:after="0" w:line="256"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GMIO records the financial results (primarily Automotive sales and revenue and Automotive cost of sales) of Chevrolet brand vehicles that it distributes and sells in Europe. These Chevrolet brand vehicles, when sold in Europe, are included in GME vehicle sales volume and market share data because vehicle sales volumes are reported in the geographical region in which they are sold, regardless of where they were produced. Chevrolet brand vehicles included in GME vehicle sales volume and market share data were: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6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8"/>
              </w:rPr>
              <w:t>Three Months Ended</w:t>
            </w:r>
          </w:p>
        </w:tc>
        <w:tc>
          <w:tcPr>
            <w:tcW w:w="1560" w:type="dxa"/>
            <w:vAlign w:val="bottom"/>
            <w:gridSpan w:val="4"/>
          </w:tcPr>
          <w:p>
            <w:pPr>
              <w:ind w:left="20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37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6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5"/>
              </w:rPr>
              <w:t>June 30,</w:t>
            </w:r>
          </w:p>
        </w:tc>
        <w:tc>
          <w:tcPr>
            <w:tcW w:w="1560" w:type="dxa"/>
            <w:vAlign w:val="bottom"/>
            <w:gridSpan w:val="4"/>
          </w:tcPr>
          <w:p>
            <w:pPr>
              <w:ind w:left="48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3700" w:type="dxa"/>
            <w:vAlign w:val="bottom"/>
            <w:tcBorders>
              <w:bottom w:val="single" w:sz="8" w:color="CCEEFF"/>
            </w:tcBorders>
          </w:tcPr>
          <w:p>
            <w:pPr>
              <w:spacing w:after="0"/>
              <w:rPr>
                <w:sz w:val="12"/>
                <w:szCs w:val="12"/>
                <w:color w:val="auto"/>
              </w:rPr>
            </w:pPr>
          </w:p>
        </w:tc>
        <w:tc>
          <w:tcPr>
            <w:tcW w:w="448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27"/>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3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Chevrolet brand vehicles</w:t>
            </w:r>
          </w:p>
        </w:tc>
        <w:tc>
          <w:tcPr>
            <w:tcW w:w="44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143,000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128,000</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252,000</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233,000</w:t>
            </w:r>
          </w:p>
        </w:tc>
        <w:tc>
          <w:tcPr>
            <w:tcW w:w="100" w:type="dxa"/>
            <w:vAlign w:val="bottom"/>
            <w:shd w:val="clear" w:color="auto" w:fill="CCEEFF"/>
          </w:tcPr>
          <w:p>
            <w:pPr>
              <w:spacing w:after="0"/>
              <w:rPr>
                <w:sz w:val="18"/>
                <w:szCs w:val="18"/>
                <w:color w:val="auto"/>
              </w:rPr>
            </w:pPr>
          </w:p>
        </w:tc>
      </w:tr>
      <w:tr>
        <w:trPr>
          <w:trHeight w:val="363"/>
        </w:trPr>
        <w:tc>
          <w:tcPr>
            <w:tcW w:w="3700" w:type="dxa"/>
            <w:vAlign w:val="bottom"/>
          </w:tcPr>
          <w:p>
            <w:pPr>
              <w:spacing w:after="0"/>
              <w:rPr>
                <w:sz w:val="24"/>
                <w:szCs w:val="24"/>
                <w:color w:val="auto"/>
              </w:rPr>
            </w:pPr>
          </w:p>
        </w:tc>
        <w:tc>
          <w:tcPr>
            <w:tcW w:w="4480" w:type="dxa"/>
            <w:vAlign w:val="bottom"/>
          </w:tcPr>
          <w:p>
            <w:pPr>
              <w:jc w:val="right"/>
              <w:ind w:right="2292"/>
              <w:spacing w:after="0"/>
              <w:rPr>
                <w:sz w:val="20"/>
                <w:szCs w:val="20"/>
                <w:color w:val="auto"/>
              </w:rPr>
            </w:pPr>
            <w:r>
              <w:rPr>
                <w:rFonts w:ascii="Arial" w:cs="Arial" w:eastAsia="Arial" w:hAnsi="Arial"/>
                <w:sz w:val="18"/>
                <w:szCs w:val="18"/>
                <w:color w:val="auto"/>
              </w:rPr>
              <w:t>77</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Includes the following joint venture vehicle sales: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204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w w:val="98"/>
              </w:rPr>
              <w:t>Three Months Ended</w:t>
            </w:r>
          </w:p>
        </w:tc>
        <w:tc>
          <w:tcPr>
            <w:tcW w:w="14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Six Months Ended</w:t>
            </w:r>
          </w:p>
        </w:tc>
      </w:tr>
      <w:tr>
        <w:trPr>
          <w:trHeight w:val="161"/>
        </w:trPr>
        <w:tc>
          <w:tcPr>
            <w:tcW w:w="7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40" w:type="dxa"/>
            <w:vAlign w:val="bottom"/>
            <w:gridSpan w:val="3"/>
          </w:tcPr>
          <w:p>
            <w:pPr>
              <w:jc w:val="right"/>
              <w:ind w:right="1020"/>
              <w:spacing w:after="0"/>
              <w:rPr>
                <w:sz w:val="20"/>
                <w:szCs w:val="20"/>
                <w:color w:val="auto"/>
              </w:rPr>
            </w:pPr>
            <w:r>
              <w:rPr>
                <w:rFonts w:ascii="Arial" w:cs="Arial" w:eastAsia="Arial" w:hAnsi="Arial"/>
                <w:sz w:val="14"/>
                <w:szCs w:val="14"/>
                <w:b w:val="1"/>
                <w:bCs w:val="1"/>
                <w:color w:val="auto"/>
                <w:w w:val="89"/>
              </w:rPr>
              <w:t>June 30,</w:t>
            </w:r>
          </w:p>
        </w:tc>
        <w:tc>
          <w:tcPr>
            <w:tcW w:w="420" w:type="dxa"/>
            <w:vAlign w:val="bottom"/>
          </w:tcPr>
          <w:p>
            <w:pPr>
              <w:spacing w:after="0"/>
              <w:rPr>
                <w:sz w:val="14"/>
                <w:szCs w:val="14"/>
                <w:color w:val="auto"/>
              </w:rPr>
            </w:pPr>
          </w:p>
        </w:tc>
        <w:tc>
          <w:tcPr>
            <w:tcW w:w="106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9"/>
              </w:rPr>
              <w:t>June 30,</w:t>
            </w:r>
          </w:p>
        </w:tc>
      </w:tr>
      <w:tr>
        <w:trPr>
          <w:trHeight w:val="142"/>
        </w:trPr>
        <w:tc>
          <w:tcPr>
            <w:tcW w:w="7900" w:type="dxa"/>
            <w:vAlign w:val="bottom"/>
          </w:tcPr>
          <w:p>
            <w:pPr>
              <w:spacing w:after="0"/>
              <w:rPr>
                <w:sz w:val="12"/>
                <w:szCs w:val="12"/>
                <w:color w:val="auto"/>
              </w:rPr>
            </w:pPr>
          </w:p>
        </w:tc>
        <w:tc>
          <w:tcPr>
            <w:tcW w:w="500" w:type="dxa"/>
            <w:vAlign w:val="bottom"/>
            <w:tcBorders>
              <w:top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rPr>
              <w:t>2011</w:t>
            </w:r>
          </w:p>
        </w:tc>
        <w:tc>
          <w:tcPr>
            <w:tcW w:w="104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2010</w:t>
            </w:r>
          </w:p>
        </w:tc>
        <w:tc>
          <w:tcPr>
            <w:tcW w:w="50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960" w:type="dxa"/>
            <w:vAlign w:val="bottom"/>
            <w:tcBorders>
              <w:top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96"/>
        </w:trPr>
        <w:tc>
          <w:tcPr>
            <w:tcW w:w="7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Joint venture vehicle sales in China</w:t>
            </w:r>
          </w:p>
        </w:tc>
        <w:tc>
          <w:tcPr>
            <w:tcW w:w="5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SGM</w:t>
            </w:r>
          </w:p>
        </w:tc>
        <w:tc>
          <w:tcPr>
            <w:tcW w:w="500" w:type="dxa"/>
            <w:vAlign w:val="bottom"/>
          </w:tcPr>
          <w:p>
            <w:pPr>
              <w:jc w:val="right"/>
              <w:spacing w:after="0"/>
              <w:rPr>
                <w:sz w:val="20"/>
                <w:szCs w:val="20"/>
                <w:color w:val="auto"/>
              </w:rPr>
            </w:pPr>
            <w:r>
              <w:rPr>
                <w:rFonts w:ascii="Arial" w:cs="Arial" w:eastAsia="Arial" w:hAnsi="Arial"/>
                <w:sz w:val="18"/>
                <w:szCs w:val="18"/>
                <w:color w:val="auto"/>
              </w:rPr>
              <w:t>290</w:t>
            </w:r>
          </w:p>
        </w:tc>
        <w:tc>
          <w:tcPr>
            <w:tcW w:w="1540" w:type="dxa"/>
            <w:vAlign w:val="bottom"/>
            <w:gridSpan w:val="3"/>
          </w:tcPr>
          <w:p>
            <w:pPr>
              <w:jc w:val="right"/>
              <w:ind w:right="500"/>
              <w:spacing w:after="0"/>
              <w:rPr>
                <w:sz w:val="20"/>
                <w:szCs w:val="20"/>
                <w:color w:val="auto"/>
              </w:rPr>
            </w:pPr>
            <w:r>
              <w:rPr>
                <w:rFonts w:ascii="Arial" w:cs="Arial" w:eastAsia="Arial" w:hAnsi="Arial"/>
                <w:sz w:val="18"/>
                <w:szCs w:val="18"/>
                <w:color w:val="auto"/>
              </w:rPr>
              <w:t>245</w:t>
            </w:r>
          </w:p>
        </w:tc>
        <w:tc>
          <w:tcPr>
            <w:tcW w:w="420" w:type="dxa"/>
            <w:vAlign w:val="bottom"/>
          </w:tcPr>
          <w:p>
            <w:pPr>
              <w:jc w:val="right"/>
              <w:spacing w:after="0"/>
              <w:rPr>
                <w:sz w:val="20"/>
                <w:szCs w:val="20"/>
                <w:color w:val="auto"/>
              </w:rPr>
            </w:pPr>
            <w:r>
              <w:rPr>
                <w:rFonts w:ascii="Arial" w:cs="Arial" w:eastAsia="Arial" w:hAnsi="Arial"/>
                <w:sz w:val="18"/>
                <w:szCs w:val="18"/>
                <w:color w:val="auto"/>
              </w:rPr>
              <w:t>600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8"/>
                <w:szCs w:val="18"/>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SGMW and FAW-GM</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5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340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00" w:type="dxa"/>
            <w:vAlign w:val="bottom"/>
            <w:shd w:val="clear" w:color="auto" w:fill="CCEEFF"/>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b w:val="1"/>
                <w:bCs w:val="1"/>
                <w:color w:val="auto"/>
              </w:rPr>
              <w:t>Joint venture vehicle sales in India</w:t>
            </w: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HKJV</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5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28</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r>
    </w:tbl>
    <w:p>
      <w:pPr>
        <w:spacing w:after="0" w:line="73" w:lineRule="exact"/>
        <w:rPr>
          <w:sz w:val="20"/>
          <w:szCs w:val="20"/>
          <w:color w:val="auto"/>
        </w:rPr>
      </w:pPr>
    </w:p>
    <w:p>
      <w:pPr>
        <w:ind w:left="460" w:right="380" w:hanging="452"/>
        <w:spacing w:after="0" w:line="268"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joint venture agreements with SGMW and FAW-GM allow for significant rights as a member as well as the contractual right to report SGMW and FAW-GM joint venture vehicle sales in China as part of our global market share.</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GMIO Total Net Sales and Revenue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9"/>
              </w:rPr>
              <w:t>Three Months Ended</w:t>
            </w: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Six Months Ended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4"/>
          </w:tcPr>
          <w:p>
            <w:pPr>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8"/>
              </w:rPr>
              <w:t>Six Months Ended</w:t>
            </w:r>
          </w:p>
        </w:tc>
      </w:tr>
      <w:tr>
        <w:trPr>
          <w:trHeight w:val="161"/>
        </w:trPr>
        <w:tc>
          <w:tcPr>
            <w:tcW w:w="3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2"/>
              </w:rPr>
              <w:t>June 30,</w:t>
            </w: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280" w:type="dxa"/>
            <w:vAlign w:val="bottom"/>
          </w:tcPr>
          <w:p>
            <w:pPr>
              <w:spacing w:after="0"/>
              <w:rPr>
                <w:sz w:val="14"/>
                <w:szCs w:val="14"/>
                <w:color w:val="auto"/>
              </w:rPr>
            </w:pPr>
          </w:p>
        </w:tc>
        <w:tc>
          <w:tcPr>
            <w:tcW w:w="1700" w:type="dxa"/>
            <w:vAlign w:val="bottom"/>
            <w:gridSpan w:val="5"/>
          </w:tcPr>
          <w:p>
            <w:pPr>
              <w:ind w:left="80"/>
              <w:spacing w:after="0"/>
              <w:rPr>
                <w:sz w:val="20"/>
                <w:szCs w:val="20"/>
                <w:color w:val="auto"/>
              </w:rPr>
            </w:pPr>
            <w:r>
              <w:rPr>
                <w:rFonts w:ascii="Arial" w:cs="Arial" w:eastAsia="Arial" w:hAnsi="Arial"/>
                <w:sz w:val="14"/>
                <w:szCs w:val="14"/>
                <w:b w:val="1"/>
                <w:bCs w:val="1"/>
                <w:color w:val="auto"/>
              </w:rPr>
              <w:t>2011 vs. 2010 Change</w:t>
            </w:r>
          </w:p>
        </w:tc>
        <w:tc>
          <w:tcPr>
            <w:tcW w:w="120" w:type="dxa"/>
            <w:vAlign w:val="bottom"/>
          </w:tcPr>
          <w:p>
            <w:pPr>
              <w:spacing w:after="0"/>
              <w:rPr>
                <w:sz w:val="14"/>
                <w:szCs w:val="14"/>
                <w:color w:val="auto"/>
              </w:rPr>
            </w:pPr>
          </w:p>
        </w:tc>
        <w:tc>
          <w:tcPr>
            <w:tcW w:w="16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8"/>
              </w:rPr>
              <w:t>2011 vs. 2010 Change</w:t>
            </w:r>
          </w:p>
        </w:tc>
      </w:tr>
      <w:tr>
        <w:trPr>
          <w:trHeight w:val="142"/>
        </w:trPr>
        <w:tc>
          <w:tcPr>
            <w:tcW w:w="3240" w:type="dxa"/>
            <w:vAlign w:val="bottom"/>
            <w:tcBorders>
              <w:bottom w:val="single" w:sz="8" w:color="CCEEFF"/>
            </w:tcBorders>
          </w:tcPr>
          <w:p>
            <w:pPr>
              <w:spacing w:after="0"/>
              <w:rPr>
                <w:sz w:val="12"/>
                <w:szCs w:val="12"/>
                <w:color w:val="auto"/>
              </w:rPr>
            </w:pPr>
          </w:p>
        </w:tc>
        <w:tc>
          <w:tcPr>
            <w:tcW w:w="134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7"/>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Amount</w:t>
            </w:r>
          </w:p>
        </w:tc>
        <w:tc>
          <w:tcPr>
            <w:tcW w:w="28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66"/>
              <w:spacing w:after="0" w:line="142" w:lineRule="exact"/>
              <w:rPr>
                <w:sz w:val="20"/>
                <w:szCs w:val="20"/>
                <w:color w:val="auto"/>
              </w:rPr>
            </w:pPr>
            <w:r>
              <w:rPr>
                <w:rFonts w:ascii="Arial" w:cs="Arial" w:eastAsia="Arial" w:hAnsi="Arial"/>
                <w:sz w:val="14"/>
                <w:szCs w:val="14"/>
                <w:b w:val="1"/>
                <w:bCs w:val="1"/>
                <w:color w:val="auto"/>
                <w:w w:val="86"/>
              </w:rPr>
              <w:t>Amount</w:t>
            </w:r>
          </w:p>
        </w:tc>
        <w:tc>
          <w:tcPr>
            <w:tcW w:w="30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r>
      <w:tr>
        <w:trPr>
          <w:trHeight w:val="210"/>
        </w:trPr>
        <w:tc>
          <w:tcPr>
            <w:tcW w:w="3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net sales and revenue</w:t>
            </w:r>
          </w:p>
        </w:tc>
        <w:tc>
          <w:tcPr>
            <w:tcW w:w="13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$ 6,616</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$ 5,331</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$12,043</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$10,316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w:t>
            </w:r>
          </w:p>
        </w:tc>
      </w:tr>
    </w:tbl>
    <w:p>
      <w:pPr>
        <w:spacing w:after="0" w:line="154" w:lineRule="exact"/>
        <w:rPr>
          <w:sz w:val="20"/>
          <w:szCs w:val="20"/>
          <w:color w:val="auto"/>
        </w:rPr>
      </w:pPr>
    </w:p>
    <w:p>
      <w:pPr>
        <w:ind w:right="20" w:firstLine="228"/>
        <w:spacing w:after="0" w:line="283" w:lineRule="auto"/>
        <w:rPr>
          <w:sz w:val="20"/>
          <w:szCs w:val="20"/>
          <w:color w:val="auto"/>
        </w:rPr>
      </w:pPr>
      <w:r>
        <w:rPr>
          <w:rFonts w:ascii="Arial" w:cs="Arial" w:eastAsia="Arial" w:hAnsi="Arial"/>
          <w:sz w:val="16"/>
          <w:szCs w:val="16"/>
          <w:color w:val="auto"/>
        </w:rPr>
        <w:t>In the three months ended June 30, 2011 Total net sales and revenue increased by $1.3 billion (or 24.1%), primarily due to: (1) increased wholesale volumes of $0.6 billion representing 36,000 vehicles (or 12.0%) primarily in GM Korea Company, formerly GM Daewoo Auto &amp; Technology Co. (GM Korea) by 25,000 vehicles (or 13.7%) driven by strong industry growth leading to increased domestic and export demand for medium vehicles such as the Chevrolet Cruze and Chevrolet Orlando, in South Africa by 4,000 vehicles (or 32.0%) driven by industry and market share growth especially on demand for the Chevrolet Cruze and the recent launch of the new generation Chevrolet Captiva and in the Middle East Operations by 7,000 vehicles (or 18.1%) driven by industry growth, partially offset by a decrease in Egypt of 3,000 vehicles (or 26.5%) resulting from the unstable political situation in the country; (2) favorable net foreign currency translation effect of $0.4 billion driven by the strengthening of major currencies such as the Korean Won, Australian Dollar and the Euro against the U.S. Dollar;</w:t>
      </w:r>
    </w:p>
    <w:p>
      <w:pPr>
        <w:ind w:right="40" w:firstLine="8"/>
        <w:spacing w:after="0" w:line="261" w:lineRule="auto"/>
        <w:tabs>
          <w:tab w:leader="none" w:pos="249" w:val="left"/>
        </w:tabs>
        <w:numPr>
          <w:ilvl w:val="0"/>
          <w:numId w:val="60"/>
        </w:numPr>
        <w:rPr>
          <w:rFonts w:ascii="Arial" w:cs="Arial" w:eastAsia="Arial" w:hAnsi="Arial"/>
          <w:sz w:val="18"/>
          <w:szCs w:val="18"/>
          <w:color w:val="auto"/>
        </w:rPr>
      </w:pPr>
      <w:r>
        <w:rPr>
          <w:rFonts w:ascii="Arial" w:cs="Arial" w:eastAsia="Arial" w:hAnsi="Arial"/>
          <w:sz w:val="18"/>
          <w:szCs w:val="18"/>
          <w:color w:val="auto"/>
        </w:rPr>
        <w:t>favorable vehicle mix of $0.2 billion driven by launches of the Alpheon and Chevrolet Orlando; and (4) favorable vehicle pricing effect of $0.1 billion on new vehicle models.</w:t>
      </w:r>
    </w:p>
    <w:p>
      <w:pPr>
        <w:spacing w:after="0" w:line="138" w:lineRule="exact"/>
        <w:rPr>
          <w:sz w:val="20"/>
          <w:szCs w:val="20"/>
          <w:color w:val="auto"/>
        </w:rPr>
      </w:pPr>
    </w:p>
    <w:p>
      <w:pPr>
        <w:ind w:right="40" w:firstLine="228"/>
        <w:spacing w:after="0" w:line="287" w:lineRule="auto"/>
        <w:rPr>
          <w:sz w:val="20"/>
          <w:szCs w:val="20"/>
          <w:color w:val="auto"/>
        </w:rPr>
      </w:pPr>
      <w:r>
        <w:rPr>
          <w:rFonts w:ascii="Arial" w:cs="Arial" w:eastAsia="Arial" w:hAnsi="Arial"/>
          <w:sz w:val="16"/>
          <w:szCs w:val="16"/>
          <w:color w:val="auto"/>
        </w:rPr>
        <w:t>In the six months ended June 30, 2011 Total net sales and revenue increased by $1.7 billion (or 16.7%), primarily due to: (1) increased wholesale volumes of $1.0 billion representing 61,000 vehicles (or 10.5%) primarily in GM Korea by 55,000 vehicles (or 16.9%) driven by strong industry growth leading to increased domestic and export demand for medium and mini vehicles such as the Chevrolet Cruze and Chevrolet Spark, in the Middle East Operations by 17,000 vehicles (or 23.1%) driven by industry growth and in South Africa by 9,000 vehicles (or 39.7%) driven by industry growth and strong performance of Chevrolet sales; partially offset by a decrease in Australia of 12,000 vehicles (or 16.0%) resulting from government incentives expiring in December 2009 driving higher wholesale deliveries in the first half of 2010 and in Egypt by 8,000 vehicles (or 32.2%) driven by the unstable political situation in the country; (2) favorable foreign currency translation of $0.5 billion driven by the strengthening of major currencies such as the Korean Won, Australian Dollar and the Euro against the U.S. Dollar; (3) favorable vehicle pricing effect of $0.1 billion driven by higher pricing for new vehicle models; (4) favorable vehicle mix of $0.1 billion driven by launches of the Alpheon and Chevrolet Orlando; and (5) favorable parts and accessories sales of $0.1 billion in GM Korea and the Middle East; partially offset by (6) decreased revenue of $0.1 billion associated with the sale of certain of our operations in India (GM India) to HKJV in February 2010.</w:t>
      </w:r>
    </w:p>
    <w:p>
      <w:pPr>
        <w:spacing w:after="0" w:line="123" w:lineRule="exact"/>
        <w:rPr>
          <w:sz w:val="20"/>
          <w:szCs w:val="20"/>
          <w:color w:val="auto"/>
        </w:rPr>
      </w:pPr>
    </w:p>
    <w:p>
      <w:pPr>
        <w:ind w:right="660" w:firstLine="228"/>
        <w:spacing w:after="0" w:line="332" w:lineRule="auto"/>
        <w:rPr>
          <w:sz w:val="20"/>
          <w:szCs w:val="20"/>
          <w:color w:val="auto"/>
        </w:rPr>
      </w:pPr>
      <w:r>
        <w:rPr>
          <w:rFonts w:ascii="Arial" w:cs="Arial" w:eastAsia="Arial" w:hAnsi="Arial"/>
          <w:sz w:val="16"/>
          <w:szCs w:val="16"/>
          <w:color w:val="auto"/>
        </w:rPr>
        <w:t>The vehicle sales related to our China and India joint ventures are not reflected in Total net sales and revenue (GM India was deconsolidated effective February 2010). The results of our joint ventures are recorded in Equity income, net of tax and gain on disposal of investments.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GMIO EBIT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6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9"/>
              </w:rPr>
              <w:t>Three Months Ended</w:t>
            </w:r>
          </w:p>
        </w:tc>
        <w:tc>
          <w:tcPr>
            <w:tcW w:w="180" w:type="dxa"/>
            <w:vAlign w:val="bottom"/>
          </w:tcPr>
          <w:p>
            <w:pPr>
              <w:spacing w:after="0"/>
              <w:rPr>
                <w:sz w:val="14"/>
                <w:szCs w:val="14"/>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Six Months Ended</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4"/>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680" w:type="dxa"/>
            <w:vAlign w:val="bottom"/>
            <w:gridSpan w:val="4"/>
          </w:tcPr>
          <w:p>
            <w:pPr>
              <w:ind w:left="12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4100" w:type="dxa"/>
            <w:vAlign w:val="bottom"/>
          </w:tcPr>
          <w:p>
            <w:pPr>
              <w:spacing w:after="0"/>
              <w:rPr>
                <w:sz w:val="14"/>
                <w:szCs w:val="14"/>
                <w:color w:val="auto"/>
              </w:rPr>
            </w:pPr>
          </w:p>
        </w:tc>
        <w:tc>
          <w:tcPr>
            <w:tcW w:w="1020" w:type="dxa"/>
            <w:vAlign w:val="bottom"/>
            <w:gridSpan w:val="3"/>
          </w:tcPr>
          <w:p>
            <w:pPr>
              <w:jc w:val="center"/>
              <w:ind w:left="347"/>
              <w:spacing w:after="0"/>
              <w:rPr>
                <w:sz w:val="20"/>
                <w:szCs w:val="20"/>
                <w:color w:val="auto"/>
              </w:rPr>
            </w:pPr>
            <w:r>
              <w:rPr>
                <w:rFonts w:ascii="Arial" w:cs="Arial" w:eastAsia="Arial" w:hAnsi="Arial"/>
                <w:sz w:val="14"/>
                <w:szCs w:val="14"/>
                <w:b w:val="1"/>
                <w:bCs w:val="1"/>
                <w:color w:val="auto"/>
                <w:w w:val="92"/>
              </w:rPr>
              <w:t>June 30,</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4"/>
          </w:tcPr>
          <w:p>
            <w:pPr>
              <w:ind w:left="80"/>
              <w:spacing w:after="0"/>
              <w:rPr>
                <w:sz w:val="20"/>
                <w:szCs w:val="20"/>
                <w:color w:val="auto"/>
              </w:rPr>
            </w:pPr>
            <w:r>
              <w:rPr>
                <w:rFonts w:ascii="Arial" w:cs="Arial" w:eastAsia="Arial" w:hAnsi="Arial"/>
                <w:sz w:val="14"/>
                <w:szCs w:val="14"/>
                <w:b w:val="1"/>
                <w:bCs w:val="1"/>
                <w:color w:val="auto"/>
              </w:rPr>
              <w:t>2011 vs. 2010 Change</w:t>
            </w:r>
          </w:p>
        </w:tc>
        <w:tc>
          <w:tcPr>
            <w:tcW w:w="120" w:type="dxa"/>
            <w:vAlign w:val="bottom"/>
          </w:tcPr>
          <w:p>
            <w:pPr>
              <w:spacing w:after="0"/>
              <w:rPr>
                <w:sz w:val="14"/>
                <w:szCs w:val="14"/>
                <w:color w:val="auto"/>
              </w:rPr>
            </w:pPr>
          </w:p>
        </w:tc>
        <w:tc>
          <w:tcPr>
            <w:tcW w:w="1680" w:type="dxa"/>
            <w:vAlign w:val="bottom"/>
            <w:gridSpan w:val="4"/>
          </w:tcPr>
          <w:p>
            <w:pPr>
              <w:ind w:left="20"/>
              <w:spacing w:after="0"/>
              <w:rPr>
                <w:sz w:val="20"/>
                <w:szCs w:val="20"/>
                <w:color w:val="auto"/>
              </w:rPr>
            </w:pPr>
            <w:r>
              <w:rPr>
                <w:rFonts w:ascii="Arial" w:cs="Arial" w:eastAsia="Arial" w:hAnsi="Arial"/>
                <w:sz w:val="14"/>
                <w:szCs w:val="14"/>
                <w:b w:val="1"/>
                <w:bCs w:val="1"/>
                <w:color w:val="auto"/>
              </w:rPr>
              <w:t>2011 vs. 2010 Change</w:t>
            </w:r>
          </w:p>
        </w:tc>
      </w:tr>
      <w:tr>
        <w:trPr>
          <w:trHeight w:val="142"/>
        </w:trPr>
        <w:tc>
          <w:tcPr>
            <w:tcW w:w="410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w w:val="89"/>
              </w:rPr>
              <w:t>2010</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27"/>
              <w:spacing w:after="0" w:line="142" w:lineRule="exact"/>
              <w:rPr>
                <w:sz w:val="20"/>
                <w:szCs w:val="20"/>
                <w:color w:val="auto"/>
              </w:rPr>
            </w:pPr>
            <w:r>
              <w:rPr>
                <w:rFonts w:ascii="Arial" w:cs="Arial" w:eastAsia="Arial" w:hAnsi="Arial"/>
                <w:sz w:val="14"/>
                <w:szCs w:val="14"/>
                <w:b w:val="1"/>
                <w:bCs w:val="1"/>
                <w:color w:val="auto"/>
              </w:rPr>
              <w:t>2011</w:t>
            </w:r>
          </w:p>
        </w:tc>
        <w:tc>
          <w:tcPr>
            <w:tcW w:w="38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36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38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r>
      <w:tr>
        <w:trPr>
          <w:trHeight w:val="210"/>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EBIT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573</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$1,053</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$1,412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13.7%</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(25.4)%</w:t>
            </w:r>
          </w:p>
        </w:tc>
      </w:tr>
    </w:tbl>
    <w:p>
      <w:pPr>
        <w:spacing w:after="0" w:line="154" w:lineRule="exact"/>
        <w:rPr>
          <w:sz w:val="20"/>
          <w:szCs w:val="20"/>
          <w:color w:val="auto"/>
        </w:rPr>
      </w:pPr>
    </w:p>
    <w:p>
      <w:pPr>
        <w:ind w:right="300" w:firstLine="228"/>
        <w:spacing w:after="0" w:line="286" w:lineRule="auto"/>
        <w:rPr>
          <w:sz w:val="20"/>
          <w:szCs w:val="20"/>
          <w:color w:val="auto"/>
        </w:rPr>
      </w:pPr>
      <w:r>
        <w:rPr>
          <w:rFonts w:ascii="Arial" w:cs="Arial" w:eastAsia="Arial" w:hAnsi="Arial"/>
          <w:sz w:val="16"/>
          <w:szCs w:val="16"/>
          <w:color w:val="auto"/>
        </w:rPr>
        <w:t>In the three months ended June 30, 2011 EBIT increased by $69 million (or 13.7%), primarily due to: (1) derivative gains of $101 million primarily in GM Korea; (2) favorable net wholesale volumes of $64 million; (3) favorable pricing effect of $54 million driven by the release of new vehicle models; and</w:t>
      </w:r>
    </w:p>
    <w:p>
      <w:pPr>
        <w:ind w:left="260" w:hanging="252"/>
        <w:spacing w:after="0"/>
        <w:tabs>
          <w:tab w:leader="none" w:pos="2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favorable net vehicle mix of $21 million; partially offset by (5) increased engineering expenses of $98 million to support new product development; and</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increased material prices of $48 million.</w:t>
      </w:r>
    </w:p>
    <w:p>
      <w:pPr>
        <w:spacing w:after="0" w:line="165" w:lineRule="exact"/>
        <w:rPr>
          <w:sz w:val="20"/>
          <w:szCs w:val="20"/>
          <w:color w:val="auto"/>
        </w:rPr>
      </w:pPr>
    </w:p>
    <w:p>
      <w:pPr>
        <w:ind w:right="60" w:firstLine="228"/>
        <w:spacing w:after="0" w:line="291" w:lineRule="auto"/>
        <w:rPr>
          <w:sz w:val="20"/>
          <w:szCs w:val="20"/>
          <w:color w:val="auto"/>
        </w:rPr>
      </w:pPr>
      <w:r>
        <w:rPr>
          <w:rFonts w:ascii="Arial" w:cs="Arial" w:eastAsia="Arial" w:hAnsi="Arial"/>
          <w:sz w:val="16"/>
          <w:szCs w:val="16"/>
          <w:color w:val="auto"/>
        </w:rPr>
        <w:t>In the six months ended June 30, 2011 EBIT decreased by $359 million (or 25.4%), primarily due to: (1) increased engineering expenses of $250 million to support new product development; (2) charges at HKJV of $106 million driven by changes in Indian tax regulations which significantly extended the period of time over which we will earn certain incentives; (3) increased material prices of $104 million; (4) increased advertising and sales promotion of $70 million to support media campaigns for launches of new products and the launch of the Chevrolet brand in Korea; and (5) lower derivative gains of $38 million primarily in GM Korea; partially offset by (6) decreased non-controlling interest of $125 million primarily attributable to a decrease of the minority shareholders’ interests of GM Korea; and (7) increased vehicle pricing effect of $68 million driven by the release of new vehicle models.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South America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54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2"/>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5"/>
          </w:tcPr>
          <w:p>
            <w:pPr>
              <w:ind w:left="2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8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w w:val="89"/>
              </w:rPr>
              <w:t>2011</w:t>
            </w:r>
          </w:p>
        </w:tc>
        <w:tc>
          <w:tcPr>
            <w:tcW w:w="3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83"/>
              </w:rPr>
              <w:t>2010</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sales and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4,363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3,608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8,259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6,932</w:t>
            </w:r>
          </w:p>
        </w:tc>
        <w:tc>
          <w:tcPr>
            <w:tcW w:w="100" w:type="dxa"/>
            <w:vAlign w:val="bottom"/>
            <w:shd w:val="clear" w:color="auto" w:fill="CCEEFF"/>
          </w:tcPr>
          <w:p>
            <w:pPr>
              <w:spacing w:after="0"/>
              <w:rPr>
                <w:sz w:val="18"/>
                <w:szCs w:val="18"/>
                <w:color w:val="auto"/>
              </w:rPr>
            </w:pPr>
          </w:p>
        </w:tc>
      </w:tr>
      <w:tr>
        <w:trPr>
          <w:trHeight w:val="228"/>
        </w:trPr>
        <w:tc>
          <w:tcPr>
            <w:tcW w:w="8320" w:type="dxa"/>
            <w:vAlign w:val="bottom"/>
          </w:tcPr>
          <w:p>
            <w:pPr>
              <w:spacing w:after="0"/>
              <w:rPr>
                <w:sz w:val="20"/>
                <w:szCs w:val="20"/>
                <w:color w:val="auto"/>
              </w:rPr>
            </w:pPr>
            <w:r>
              <w:rPr>
                <w:rFonts w:ascii="Arial" w:cs="Arial" w:eastAsia="Arial" w:hAnsi="Arial"/>
                <w:sz w:val="18"/>
                <w:szCs w:val="18"/>
                <w:b w:val="1"/>
                <w:bCs w:val="1"/>
                <w:color w:val="auto"/>
              </w:rPr>
              <w:t>EBIT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57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195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147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19"/>
                <w:szCs w:val="19"/>
                <w:color w:val="auto"/>
              </w:rPr>
            </w:pPr>
          </w:p>
        </w:tc>
      </w:tr>
    </w:tbl>
    <w:p>
      <w:pPr>
        <w:spacing w:after="0" w:line="14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Vehicle Sales and Production Volume</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summarize total production volume and new vehicle sales volume and competitive position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9"/>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gridSpan w:val="8"/>
          </w:tcPr>
          <w:p>
            <w:pPr>
              <w:ind w:left="16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36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2"/>
              </w:rPr>
              <w:t>June 30,</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6"/>
          </w:tcPr>
          <w:p>
            <w:pPr>
              <w:ind w:left="2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36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2011</w:t>
            </w: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top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3"/>
          </w:tcPr>
          <w:p>
            <w:pPr>
              <w:jc w:val="right"/>
              <w:ind w:right="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36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Production volume</w:t>
            </w:r>
          </w:p>
        </w:tc>
        <w:tc>
          <w:tcPr>
            <w:tcW w:w="2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ind w:left="140"/>
              <w:spacing w:after="0"/>
              <w:rPr>
                <w:sz w:val="20"/>
                <w:szCs w:val="20"/>
                <w:color w:val="auto"/>
              </w:rPr>
            </w:pPr>
            <w:r>
              <w:rPr>
                <w:rFonts w:ascii="Arial" w:cs="Arial" w:eastAsia="Arial" w:hAnsi="Arial"/>
                <w:sz w:val="18"/>
                <w:szCs w:val="18"/>
                <w:color w:val="auto"/>
                <w:w w:val="86"/>
              </w:rPr>
              <w:t>478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Borders>
              <w:top w:val="single" w:sz="8" w:color="CCEEFF"/>
            </w:tcBorders>
            <w:shd w:val="clear" w:color="auto" w:fill="CCEEFF"/>
          </w:tcPr>
          <w:p>
            <w:pPr>
              <w:spacing w:after="0"/>
              <w:rPr>
                <w:sz w:val="18"/>
                <w:szCs w:val="18"/>
                <w:color w:val="auto"/>
              </w:rPr>
            </w:pPr>
          </w:p>
        </w:tc>
      </w:tr>
      <w:tr>
        <w:trPr>
          <w:trHeight w:val="338"/>
        </w:trPr>
        <w:tc>
          <w:tcPr>
            <w:tcW w:w="36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80" w:type="dxa"/>
            <w:vAlign w:val="bottom"/>
            <w:gridSpan w:val="8"/>
          </w:tcPr>
          <w:p>
            <w:pPr>
              <w:jc w:val="center"/>
              <w:ind w:right="620"/>
              <w:spacing w:after="0"/>
              <w:rPr>
                <w:sz w:val="20"/>
                <w:szCs w:val="20"/>
                <w:color w:val="auto"/>
              </w:rPr>
            </w:pPr>
            <w:r>
              <w:rPr>
                <w:rFonts w:ascii="Arial" w:cs="Arial" w:eastAsia="Arial" w:hAnsi="Arial"/>
                <w:sz w:val="14"/>
                <w:szCs w:val="14"/>
                <w:b w:val="1"/>
                <w:bCs w:val="1"/>
                <w:color w:val="auto"/>
                <w:w w:val="88"/>
              </w:rPr>
              <w:t>Three Months Ended</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6"/>
          </w:tcPr>
          <w:p>
            <w:pPr>
              <w:ind w:left="20"/>
              <w:spacing w:after="0"/>
              <w:rPr>
                <w:sz w:val="20"/>
                <w:szCs w:val="20"/>
                <w:color w:val="auto"/>
              </w:rPr>
            </w:pPr>
            <w:r>
              <w:rPr>
                <w:rFonts w:ascii="Arial" w:cs="Arial" w:eastAsia="Arial" w:hAnsi="Arial"/>
                <w:sz w:val="14"/>
                <w:szCs w:val="14"/>
                <w:b w:val="1"/>
                <w:bCs w:val="1"/>
                <w:color w:val="auto"/>
                <w:w w:val="88"/>
              </w:rPr>
              <w:t>Six Months Ended</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1"/>
        </w:trPr>
        <w:tc>
          <w:tcPr>
            <w:tcW w:w="36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center"/>
              <w:ind w:left="152"/>
              <w:spacing w:after="0"/>
              <w:rPr>
                <w:sz w:val="20"/>
                <w:szCs w:val="20"/>
                <w:color w:val="auto"/>
              </w:rPr>
            </w:pPr>
            <w:r>
              <w:rPr>
                <w:rFonts w:ascii="Arial" w:cs="Arial" w:eastAsia="Arial" w:hAnsi="Arial"/>
                <w:sz w:val="14"/>
                <w:szCs w:val="14"/>
                <w:b w:val="1"/>
                <w:bCs w:val="1"/>
                <w:color w:val="auto"/>
                <w:w w:val="85"/>
              </w:rPr>
              <w:t>June 30,</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6"/>
          </w:tcPr>
          <w:p>
            <w:pPr>
              <w:ind w:left="320"/>
              <w:spacing w:after="0"/>
              <w:rPr>
                <w:sz w:val="20"/>
                <w:szCs w:val="20"/>
                <w:color w:val="auto"/>
              </w:rPr>
            </w:pPr>
            <w:r>
              <w:rPr>
                <w:rFonts w:ascii="Arial" w:cs="Arial" w:eastAsia="Arial" w:hAnsi="Arial"/>
                <w:sz w:val="14"/>
                <w:szCs w:val="14"/>
                <w:b w:val="1"/>
                <w:bCs w:val="1"/>
                <w:color w:val="auto"/>
              </w:rPr>
              <w:t>June 30,</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6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392"/>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3"/>
          </w:tcPr>
          <w:p>
            <w:pPr>
              <w:jc w:val="right"/>
              <w:ind w:right="387"/>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2010</w:t>
            </w:r>
          </w:p>
        </w:tc>
        <w:tc>
          <w:tcPr>
            <w:tcW w:w="4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9"/>
        </w:trPr>
        <w:tc>
          <w:tcPr>
            <w:tcW w:w="36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jc w:val="right"/>
              <w:ind w:right="92"/>
              <w:spacing w:after="0" w:line="129" w:lineRule="exact"/>
              <w:rPr>
                <w:sz w:val="20"/>
                <w:szCs w:val="20"/>
                <w:color w:val="auto"/>
              </w:rPr>
            </w:pPr>
            <w:r>
              <w:rPr>
                <w:rFonts w:ascii="Arial" w:cs="Arial" w:eastAsia="Arial" w:hAnsi="Arial"/>
                <w:sz w:val="14"/>
                <w:szCs w:val="14"/>
                <w:b w:val="1"/>
                <w:bCs w:val="1"/>
                <w:color w:val="auto"/>
              </w:rPr>
              <w:t>GM</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center"/>
              <w:ind w:right="27"/>
              <w:spacing w:after="0" w:line="129" w:lineRule="exact"/>
              <w:rPr>
                <w:sz w:val="20"/>
                <w:szCs w:val="20"/>
                <w:color w:val="auto"/>
              </w:rPr>
            </w:pPr>
            <w:r>
              <w:rPr>
                <w:rFonts w:ascii="Arial" w:cs="Arial" w:eastAsia="Arial" w:hAnsi="Arial"/>
                <w:sz w:val="14"/>
                <w:szCs w:val="14"/>
                <w:b w:val="1"/>
                <w:bCs w:val="1"/>
                <w:color w:val="auto"/>
                <w:w w:val="97"/>
              </w:rPr>
              <w:t>GM</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gridSpan w:val="2"/>
          </w:tcPr>
          <w:p>
            <w:pPr>
              <w:ind w:left="160"/>
              <w:spacing w:after="0" w:line="129" w:lineRule="exact"/>
              <w:rPr>
                <w:sz w:val="20"/>
                <w:szCs w:val="20"/>
                <w:color w:val="auto"/>
              </w:rPr>
            </w:pPr>
            <w:r>
              <w:rPr>
                <w:rFonts w:ascii="Arial" w:cs="Arial" w:eastAsia="Arial" w:hAnsi="Arial"/>
                <w:sz w:val="14"/>
                <w:szCs w:val="14"/>
                <w:b w:val="1"/>
                <w:bCs w:val="1"/>
                <w:color w:val="auto"/>
              </w:rPr>
              <w:t>GM</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jc w:val="center"/>
              <w:ind w:right="42"/>
              <w:spacing w:after="0" w:line="129" w:lineRule="exact"/>
              <w:rPr>
                <w:sz w:val="20"/>
                <w:szCs w:val="20"/>
                <w:color w:val="auto"/>
              </w:rPr>
            </w:pPr>
            <w:r>
              <w:rPr>
                <w:rFonts w:ascii="Arial" w:cs="Arial" w:eastAsia="Arial" w:hAnsi="Arial"/>
                <w:sz w:val="14"/>
                <w:szCs w:val="14"/>
                <w:b w:val="1"/>
                <w:bCs w:val="1"/>
                <w:color w:val="auto"/>
              </w:rPr>
              <w:t>GM</w:t>
            </w:r>
          </w:p>
        </w:tc>
        <w:tc>
          <w:tcPr>
            <w:tcW w:w="100" w:type="dxa"/>
            <w:vAlign w:val="bottom"/>
          </w:tcPr>
          <w:p>
            <w:pPr>
              <w:spacing w:after="0"/>
              <w:rPr>
                <w:sz w:val="11"/>
                <w:szCs w:val="11"/>
                <w:color w:val="auto"/>
              </w:rPr>
            </w:pPr>
          </w:p>
        </w:tc>
      </w:tr>
      <w:tr>
        <w:trPr>
          <w:trHeight w:val="149"/>
        </w:trPr>
        <w:tc>
          <w:tcPr>
            <w:tcW w:w="36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2"/>
              </w:rPr>
              <w:t>as a % of</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as a % of</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88"/>
              </w:rPr>
              <w:t>as a % of</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as a % of</w:t>
            </w:r>
          </w:p>
        </w:tc>
      </w:tr>
      <w:tr>
        <w:trPr>
          <w:trHeight w:val="161"/>
        </w:trPr>
        <w:tc>
          <w:tcPr>
            <w:tcW w:w="36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GM</w:t>
            </w:r>
          </w:p>
        </w:tc>
        <w:tc>
          <w:tcPr>
            <w:tcW w:w="28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7"/>
              </w:rPr>
              <w:t>Industry</w:t>
            </w:r>
          </w:p>
        </w:tc>
        <w:tc>
          <w:tcPr>
            <w:tcW w:w="380" w:type="dxa"/>
            <w:vAlign w:val="bottom"/>
            <w:gridSpan w:val="2"/>
          </w:tcPr>
          <w:p>
            <w:pPr>
              <w:ind w:left="40"/>
              <w:spacing w:after="0"/>
              <w:rPr>
                <w:sz w:val="20"/>
                <w:szCs w:val="20"/>
                <w:color w:val="auto"/>
              </w:rPr>
            </w:pPr>
            <w:r>
              <w:rPr>
                <w:rFonts w:ascii="Arial" w:cs="Arial" w:eastAsia="Arial" w:hAnsi="Arial"/>
                <w:sz w:val="14"/>
                <w:szCs w:val="14"/>
                <w:b w:val="1"/>
                <w:bCs w:val="1"/>
                <w:color w:val="auto"/>
              </w:rPr>
              <w:t>GM</w:t>
            </w:r>
          </w:p>
        </w:tc>
        <w:tc>
          <w:tcPr>
            <w:tcW w:w="220" w:type="dxa"/>
            <w:vAlign w:val="bottom"/>
          </w:tcPr>
          <w:p>
            <w:pPr>
              <w:spacing w:after="0"/>
              <w:rPr>
                <w:sz w:val="14"/>
                <w:szCs w:val="14"/>
                <w:color w:val="auto"/>
              </w:rPr>
            </w:pPr>
          </w:p>
        </w:tc>
        <w:tc>
          <w:tcPr>
            <w:tcW w:w="6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Industry</w:t>
            </w:r>
          </w:p>
        </w:tc>
        <w:tc>
          <w:tcPr>
            <w:tcW w:w="260" w:type="dxa"/>
            <w:vAlign w:val="bottom"/>
          </w:tcPr>
          <w:p>
            <w:pPr>
              <w:spacing w:after="0"/>
              <w:rPr>
                <w:sz w:val="14"/>
                <w:szCs w:val="14"/>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GM</w:t>
            </w:r>
          </w:p>
        </w:tc>
        <w:tc>
          <w:tcPr>
            <w:tcW w:w="300" w:type="dxa"/>
            <w:vAlign w:val="bottom"/>
          </w:tcPr>
          <w:p>
            <w:pPr>
              <w:spacing w:after="0"/>
              <w:rPr>
                <w:sz w:val="14"/>
                <w:szCs w:val="14"/>
                <w:color w:val="auto"/>
              </w:rPr>
            </w:pPr>
          </w:p>
        </w:tc>
        <w:tc>
          <w:tcPr>
            <w:tcW w:w="660" w:type="dxa"/>
            <w:vAlign w:val="bottom"/>
            <w:gridSpan w:val="3"/>
          </w:tcPr>
          <w:p>
            <w:pPr>
              <w:ind w:left="40"/>
              <w:spacing w:after="0"/>
              <w:rPr>
                <w:sz w:val="20"/>
                <w:szCs w:val="20"/>
                <w:color w:val="auto"/>
              </w:rPr>
            </w:pPr>
            <w:r>
              <w:rPr>
                <w:rFonts w:ascii="Arial" w:cs="Arial" w:eastAsia="Arial" w:hAnsi="Arial"/>
                <w:sz w:val="14"/>
                <w:szCs w:val="14"/>
                <w:b w:val="1"/>
                <w:bCs w:val="1"/>
                <w:color w:val="auto"/>
              </w:rPr>
              <w:t>Industry</w:t>
            </w:r>
          </w:p>
        </w:tc>
        <w:tc>
          <w:tcPr>
            <w:tcW w:w="200" w:type="dxa"/>
            <w:vAlign w:val="bottom"/>
          </w:tcPr>
          <w:p>
            <w:pPr>
              <w:spacing w:after="0"/>
              <w:rPr>
                <w:sz w:val="14"/>
                <w:szCs w:val="14"/>
                <w:color w:val="auto"/>
              </w:rPr>
            </w:pPr>
          </w:p>
        </w:tc>
        <w:tc>
          <w:tcPr>
            <w:tcW w:w="420" w:type="dxa"/>
            <w:vAlign w:val="bottom"/>
            <w:gridSpan w:val="3"/>
          </w:tcPr>
          <w:p>
            <w:pPr>
              <w:ind w:left="40"/>
              <w:spacing w:after="0"/>
              <w:rPr>
                <w:sz w:val="20"/>
                <w:szCs w:val="20"/>
                <w:color w:val="auto"/>
              </w:rPr>
            </w:pPr>
            <w:r>
              <w:rPr>
                <w:rFonts w:ascii="Arial" w:cs="Arial" w:eastAsia="Arial" w:hAnsi="Arial"/>
                <w:sz w:val="14"/>
                <w:szCs w:val="14"/>
                <w:b w:val="1"/>
                <w:bCs w:val="1"/>
                <w:color w:val="auto"/>
              </w:rPr>
              <w:t>GM</w:t>
            </w:r>
          </w:p>
        </w:tc>
        <w:tc>
          <w:tcPr>
            <w:tcW w:w="180" w:type="dxa"/>
            <w:vAlign w:val="bottom"/>
          </w:tcPr>
          <w:p>
            <w:pPr>
              <w:spacing w:after="0"/>
              <w:rPr>
                <w:sz w:val="14"/>
                <w:szCs w:val="14"/>
                <w:color w:val="auto"/>
              </w:rPr>
            </w:pPr>
          </w:p>
        </w:tc>
        <w:tc>
          <w:tcPr>
            <w:tcW w:w="6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Industry</w:t>
            </w:r>
          </w:p>
        </w:tc>
      </w:tr>
      <w:tr>
        <w:trPr>
          <w:trHeight w:val="196"/>
        </w:trPr>
        <w:tc>
          <w:tcPr>
            <w:tcW w:w="3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Vehicle sales (a)(b)(c)</w:t>
            </w:r>
          </w:p>
        </w:tc>
        <w:tc>
          <w:tcPr>
            <w:tcW w:w="2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600" w:type="dxa"/>
            <w:vAlign w:val="bottom"/>
          </w:tcPr>
          <w:p>
            <w:pPr>
              <w:ind w:left="220"/>
              <w:spacing w:after="0"/>
              <w:rPr>
                <w:sz w:val="20"/>
                <w:szCs w:val="20"/>
                <w:color w:val="auto"/>
              </w:rPr>
            </w:pPr>
            <w:r>
              <w:rPr>
                <w:rFonts w:ascii="Arial" w:cs="Arial" w:eastAsia="Arial" w:hAnsi="Arial"/>
                <w:sz w:val="18"/>
                <w:szCs w:val="18"/>
                <w:color w:val="auto"/>
              </w:rPr>
              <w:t>Total GMSA</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273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19.2%</w:t>
            </w:r>
          </w:p>
        </w:tc>
        <w:tc>
          <w:tcPr>
            <w:tcW w:w="30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231</w:t>
            </w:r>
          </w:p>
        </w:tc>
        <w:tc>
          <w:tcPr>
            <w:tcW w:w="800" w:type="dxa"/>
            <w:vAlign w:val="bottom"/>
            <w:gridSpan w:val="3"/>
          </w:tcPr>
          <w:p>
            <w:pPr>
              <w:jc w:val="center"/>
              <w:ind w:left="255"/>
              <w:spacing w:after="0"/>
              <w:rPr>
                <w:sz w:val="20"/>
                <w:szCs w:val="20"/>
                <w:color w:val="auto"/>
              </w:rPr>
            </w:pPr>
            <w:r>
              <w:rPr>
                <w:rFonts w:ascii="Arial" w:cs="Arial" w:eastAsia="Arial" w:hAnsi="Arial"/>
                <w:sz w:val="18"/>
                <w:szCs w:val="18"/>
                <w:color w:val="auto"/>
                <w:w w:val="90"/>
              </w:rPr>
              <w:t>19.5%</w:t>
            </w:r>
          </w:p>
        </w:tc>
        <w:tc>
          <w:tcPr>
            <w:tcW w:w="2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521</w:t>
            </w:r>
          </w:p>
        </w:tc>
        <w:tc>
          <w:tcPr>
            <w:tcW w:w="960" w:type="dxa"/>
            <w:vAlign w:val="bottom"/>
            <w:gridSpan w:val="4"/>
          </w:tcPr>
          <w:p>
            <w:pPr>
              <w:jc w:val="right"/>
              <w:ind w:right="80"/>
              <w:spacing w:after="0"/>
              <w:rPr>
                <w:sz w:val="20"/>
                <w:szCs w:val="20"/>
                <w:color w:val="auto"/>
              </w:rPr>
            </w:pPr>
            <w:r>
              <w:rPr>
                <w:rFonts w:ascii="Arial" w:cs="Arial" w:eastAsia="Arial" w:hAnsi="Arial"/>
                <w:sz w:val="18"/>
                <w:szCs w:val="18"/>
                <w:color w:val="auto"/>
              </w:rPr>
              <w:t>19.0%</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8"/>
                <w:szCs w:val="18"/>
                <w:color w:val="auto"/>
              </w:rPr>
            </w:pPr>
          </w:p>
        </w:tc>
      </w:tr>
      <w:tr>
        <w:trPr>
          <w:trHeight w:val="216"/>
        </w:trPr>
        <w:tc>
          <w:tcPr>
            <w:tcW w:w="3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Brazil</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146</w:t>
            </w:r>
          </w:p>
        </w:tc>
        <w:tc>
          <w:tcPr>
            <w:tcW w:w="800" w:type="dxa"/>
            <w:vAlign w:val="bottom"/>
            <w:gridSpan w:val="3"/>
            <w:shd w:val="clear" w:color="auto" w:fill="CCEEFF"/>
          </w:tcPr>
          <w:p>
            <w:pPr>
              <w:jc w:val="center"/>
              <w:ind w:left="255"/>
              <w:spacing w:after="0"/>
              <w:rPr>
                <w:sz w:val="20"/>
                <w:szCs w:val="20"/>
                <w:color w:val="auto"/>
              </w:rPr>
            </w:pPr>
            <w:r>
              <w:rPr>
                <w:rFonts w:ascii="Arial" w:cs="Arial" w:eastAsia="Arial" w:hAnsi="Arial"/>
                <w:sz w:val="18"/>
                <w:szCs w:val="18"/>
                <w:color w:val="auto"/>
                <w:w w:val="90"/>
              </w:rPr>
              <w:t>18.4%</w:t>
            </w:r>
          </w:p>
        </w:tc>
        <w:tc>
          <w:tcPr>
            <w:tcW w:w="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9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17.5%</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8"/>
                <w:szCs w:val="18"/>
                <w:color w:val="auto"/>
              </w:rPr>
            </w:pPr>
          </w:p>
        </w:tc>
      </w:tr>
      <w:tr>
        <w:trPr>
          <w:trHeight w:val="216"/>
        </w:trPr>
        <w:tc>
          <w:tcPr>
            <w:tcW w:w="3600" w:type="dxa"/>
            <w:vAlign w:val="bottom"/>
          </w:tcPr>
          <w:p>
            <w:pPr>
              <w:ind w:left="220"/>
              <w:spacing w:after="0"/>
              <w:rPr>
                <w:sz w:val="20"/>
                <w:szCs w:val="20"/>
                <w:color w:val="auto"/>
              </w:rPr>
            </w:pPr>
            <w:r>
              <w:rPr>
                <w:rFonts w:ascii="Arial" w:cs="Arial" w:eastAsia="Arial" w:hAnsi="Arial"/>
                <w:sz w:val="18"/>
                <w:szCs w:val="18"/>
                <w:color w:val="auto"/>
              </w:rPr>
              <w:t>Argentina</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15.9%</w:t>
            </w:r>
          </w:p>
        </w:tc>
        <w:tc>
          <w:tcPr>
            <w:tcW w:w="30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800" w:type="dxa"/>
            <w:vAlign w:val="bottom"/>
            <w:gridSpan w:val="3"/>
          </w:tcPr>
          <w:p>
            <w:pPr>
              <w:jc w:val="center"/>
              <w:ind w:left="255"/>
              <w:spacing w:after="0"/>
              <w:rPr>
                <w:sz w:val="20"/>
                <w:szCs w:val="20"/>
                <w:color w:val="auto"/>
              </w:rPr>
            </w:pPr>
            <w:r>
              <w:rPr>
                <w:rFonts w:ascii="Arial" w:cs="Arial" w:eastAsia="Arial" w:hAnsi="Arial"/>
                <w:sz w:val="18"/>
                <w:szCs w:val="18"/>
                <w:color w:val="auto"/>
                <w:w w:val="90"/>
              </w:rPr>
              <w:t>15.8%</w:t>
            </w:r>
          </w:p>
        </w:tc>
        <w:tc>
          <w:tcPr>
            <w:tcW w:w="2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69</w:t>
            </w:r>
          </w:p>
        </w:tc>
        <w:tc>
          <w:tcPr>
            <w:tcW w:w="960" w:type="dxa"/>
            <w:vAlign w:val="bottom"/>
            <w:gridSpan w:val="4"/>
          </w:tcPr>
          <w:p>
            <w:pPr>
              <w:jc w:val="right"/>
              <w:ind w:right="80"/>
              <w:spacing w:after="0"/>
              <w:rPr>
                <w:sz w:val="20"/>
                <w:szCs w:val="20"/>
                <w:color w:val="auto"/>
              </w:rPr>
            </w:pPr>
            <w:r>
              <w:rPr>
                <w:rFonts w:ascii="Arial" w:cs="Arial" w:eastAsia="Arial" w:hAnsi="Arial"/>
                <w:sz w:val="18"/>
                <w:szCs w:val="18"/>
                <w:color w:val="auto"/>
              </w:rPr>
              <w:t>15.6%</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8"/>
                <w:szCs w:val="18"/>
                <w:color w:val="auto"/>
              </w:rPr>
            </w:pPr>
          </w:p>
        </w:tc>
      </w:tr>
      <w:tr>
        <w:trPr>
          <w:trHeight w:val="216"/>
        </w:trPr>
        <w:tc>
          <w:tcPr>
            <w:tcW w:w="3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Colombia</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800" w:type="dxa"/>
            <w:vAlign w:val="bottom"/>
            <w:gridSpan w:val="3"/>
            <w:shd w:val="clear" w:color="auto" w:fill="CCEEFF"/>
          </w:tcPr>
          <w:p>
            <w:pPr>
              <w:jc w:val="center"/>
              <w:ind w:left="255"/>
              <w:spacing w:after="0"/>
              <w:rPr>
                <w:sz w:val="20"/>
                <w:szCs w:val="20"/>
                <w:color w:val="auto"/>
              </w:rPr>
            </w:pPr>
            <w:r>
              <w:rPr>
                <w:rFonts w:ascii="Arial" w:cs="Arial" w:eastAsia="Arial" w:hAnsi="Arial"/>
                <w:sz w:val="18"/>
                <w:szCs w:val="18"/>
                <w:color w:val="auto"/>
                <w:w w:val="90"/>
              </w:rPr>
              <w:t>33.1%</w:t>
            </w:r>
          </w:p>
        </w:tc>
        <w:tc>
          <w:tcPr>
            <w:tcW w:w="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9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33.3%</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18"/>
                <w:szCs w:val="18"/>
                <w:color w:val="auto"/>
              </w:rPr>
            </w:pPr>
          </w:p>
        </w:tc>
      </w:tr>
      <w:tr>
        <w:trPr>
          <w:trHeight w:val="216"/>
        </w:trPr>
        <w:tc>
          <w:tcPr>
            <w:tcW w:w="3600" w:type="dxa"/>
            <w:vAlign w:val="bottom"/>
          </w:tcPr>
          <w:p>
            <w:pPr>
              <w:ind w:left="220"/>
              <w:spacing w:after="0"/>
              <w:rPr>
                <w:sz w:val="20"/>
                <w:szCs w:val="20"/>
                <w:color w:val="auto"/>
              </w:rPr>
            </w:pPr>
            <w:r>
              <w:rPr>
                <w:rFonts w:ascii="Arial" w:cs="Arial" w:eastAsia="Arial" w:hAnsi="Arial"/>
                <w:sz w:val="18"/>
                <w:szCs w:val="18"/>
                <w:color w:val="auto"/>
              </w:rPr>
              <w:t>Ecuador</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42.8%</w:t>
            </w:r>
          </w:p>
        </w:tc>
        <w:tc>
          <w:tcPr>
            <w:tcW w:w="30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800" w:type="dxa"/>
            <w:vAlign w:val="bottom"/>
            <w:gridSpan w:val="3"/>
          </w:tcPr>
          <w:p>
            <w:pPr>
              <w:jc w:val="center"/>
              <w:ind w:left="255"/>
              <w:spacing w:after="0"/>
              <w:rPr>
                <w:sz w:val="20"/>
                <w:szCs w:val="20"/>
                <w:color w:val="auto"/>
              </w:rPr>
            </w:pPr>
            <w:r>
              <w:rPr>
                <w:rFonts w:ascii="Arial" w:cs="Arial" w:eastAsia="Arial" w:hAnsi="Arial"/>
                <w:sz w:val="18"/>
                <w:szCs w:val="18"/>
                <w:color w:val="auto"/>
                <w:w w:val="90"/>
              </w:rPr>
              <w:t>40.6%</w:t>
            </w:r>
          </w:p>
        </w:tc>
        <w:tc>
          <w:tcPr>
            <w:tcW w:w="2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29</w:t>
            </w:r>
          </w:p>
        </w:tc>
        <w:tc>
          <w:tcPr>
            <w:tcW w:w="960" w:type="dxa"/>
            <w:vAlign w:val="bottom"/>
            <w:gridSpan w:val="4"/>
          </w:tcPr>
          <w:p>
            <w:pPr>
              <w:jc w:val="right"/>
              <w:ind w:right="80"/>
              <w:spacing w:after="0"/>
              <w:rPr>
                <w:sz w:val="20"/>
                <w:szCs w:val="20"/>
                <w:color w:val="auto"/>
              </w:rPr>
            </w:pPr>
            <w:r>
              <w:rPr>
                <w:rFonts w:ascii="Arial" w:cs="Arial" w:eastAsia="Arial" w:hAnsi="Arial"/>
                <w:sz w:val="18"/>
                <w:szCs w:val="18"/>
                <w:color w:val="auto"/>
              </w:rPr>
              <w:t>42.0%</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18"/>
                <w:szCs w:val="18"/>
                <w:color w:val="auto"/>
              </w:rPr>
            </w:pPr>
          </w:p>
        </w:tc>
      </w:tr>
      <w:tr>
        <w:trPr>
          <w:trHeight w:val="216"/>
        </w:trPr>
        <w:tc>
          <w:tcPr>
            <w:tcW w:w="3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Chile</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800" w:type="dxa"/>
            <w:vAlign w:val="bottom"/>
            <w:gridSpan w:val="3"/>
            <w:shd w:val="clear" w:color="auto" w:fill="CCEEFF"/>
          </w:tcPr>
          <w:p>
            <w:pPr>
              <w:jc w:val="center"/>
              <w:ind w:left="255"/>
              <w:spacing w:after="0"/>
              <w:rPr>
                <w:sz w:val="20"/>
                <w:szCs w:val="20"/>
                <w:color w:val="auto"/>
              </w:rPr>
            </w:pPr>
            <w:r>
              <w:rPr>
                <w:rFonts w:ascii="Arial" w:cs="Arial" w:eastAsia="Arial" w:hAnsi="Arial"/>
                <w:sz w:val="18"/>
                <w:szCs w:val="18"/>
                <w:color w:val="auto"/>
                <w:w w:val="90"/>
              </w:rPr>
              <w:t>17.2%</w:t>
            </w:r>
          </w:p>
        </w:tc>
        <w:tc>
          <w:tcPr>
            <w:tcW w:w="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9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16.8%</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8"/>
                <w:szCs w:val="18"/>
                <w:color w:val="auto"/>
              </w:rPr>
            </w:pPr>
          </w:p>
        </w:tc>
      </w:tr>
      <w:tr>
        <w:trPr>
          <w:trHeight w:val="222"/>
        </w:trPr>
        <w:tc>
          <w:tcPr>
            <w:tcW w:w="3600" w:type="dxa"/>
            <w:vAlign w:val="bottom"/>
          </w:tcPr>
          <w:p>
            <w:pPr>
              <w:ind w:left="220"/>
              <w:spacing w:after="0"/>
              <w:rPr>
                <w:sz w:val="20"/>
                <w:szCs w:val="20"/>
                <w:color w:val="auto"/>
              </w:rPr>
            </w:pPr>
            <w:r>
              <w:rPr>
                <w:rFonts w:ascii="Arial" w:cs="Arial" w:eastAsia="Arial" w:hAnsi="Arial"/>
                <w:sz w:val="18"/>
                <w:szCs w:val="18"/>
                <w:color w:val="auto"/>
              </w:rPr>
              <w:t>Venezuela</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42.4%</w:t>
            </w:r>
          </w:p>
        </w:tc>
        <w:tc>
          <w:tcPr>
            <w:tcW w:w="300" w:type="dxa"/>
            <w:vAlign w:val="bottom"/>
          </w:tcPr>
          <w:p>
            <w:pPr>
              <w:spacing w:after="0"/>
              <w:rPr>
                <w:sz w:val="19"/>
                <w:szCs w:val="19"/>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800" w:type="dxa"/>
            <w:vAlign w:val="bottom"/>
            <w:gridSpan w:val="3"/>
          </w:tcPr>
          <w:p>
            <w:pPr>
              <w:jc w:val="center"/>
              <w:ind w:left="255"/>
              <w:spacing w:after="0"/>
              <w:rPr>
                <w:sz w:val="20"/>
                <w:szCs w:val="20"/>
                <w:color w:val="auto"/>
              </w:rPr>
            </w:pPr>
            <w:r>
              <w:rPr>
                <w:rFonts w:ascii="Arial" w:cs="Arial" w:eastAsia="Arial" w:hAnsi="Arial"/>
                <w:sz w:val="18"/>
                <w:szCs w:val="18"/>
                <w:color w:val="auto"/>
                <w:w w:val="90"/>
              </w:rPr>
              <w:t>37.7%</w:t>
            </w:r>
          </w:p>
        </w:tc>
        <w:tc>
          <w:tcPr>
            <w:tcW w:w="2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24</w:t>
            </w:r>
          </w:p>
        </w:tc>
        <w:tc>
          <w:tcPr>
            <w:tcW w:w="960" w:type="dxa"/>
            <w:vAlign w:val="bottom"/>
            <w:gridSpan w:val="4"/>
          </w:tcPr>
          <w:p>
            <w:pPr>
              <w:jc w:val="right"/>
              <w:ind w:right="80"/>
              <w:spacing w:after="0"/>
              <w:rPr>
                <w:sz w:val="20"/>
                <w:szCs w:val="20"/>
                <w:color w:val="auto"/>
              </w:rPr>
            </w:pPr>
            <w:r>
              <w:rPr>
                <w:rFonts w:ascii="Arial" w:cs="Arial" w:eastAsia="Arial" w:hAnsi="Arial"/>
                <w:sz w:val="18"/>
                <w:szCs w:val="18"/>
                <w:color w:val="auto"/>
              </w:rPr>
              <w:t>42.3%</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9"/>
                <w:szCs w:val="19"/>
                <w:color w:val="auto"/>
              </w:rPr>
            </w:pPr>
          </w:p>
        </w:tc>
      </w:tr>
      <w:tr>
        <w:trPr>
          <w:trHeight w:val="356"/>
        </w:trPr>
        <w:tc>
          <w:tcPr>
            <w:tcW w:w="3600" w:type="dxa"/>
            <w:vAlign w:val="bottom"/>
          </w:tcPr>
          <w:p>
            <w:pPr>
              <w:spacing w:after="0"/>
              <w:rPr>
                <w:sz w:val="24"/>
                <w:szCs w:val="24"/>
                <w:color w:val="auto"/>
              </w:rPr>
            </w:pPr>
          </w:p>
        </w:tc>
        <w:tc>
          <w:tcPr>
            <w:tcW w:w="2440" w:type="dxa"/>
            <w:vAlign w:val="bottom"/>
            <w:gridSpan w:val="2"/>
          </w:tcPr>
          <w:p>
            <w:pPr>
              <w:jc w:val="right"/>
              <w:ind w:right="172"/>
              <w:spacing w:after="0"/>
              <w:rPr>
                <w:sz w:val="20"/>
                <w:szCs w:val="20"/>
                <w:color w:val="auto"/>
              </w:rPr>
            </w:pPr>
            <w:r>
              <w:rPr>
                <w:rFonts w:ascii="Arial" w:cs="Arial" w:eastAsia="Arial" w:hAnsi="Arial"/>
                <w:sz w:val="18"/>
                <w:szCs w:val="18"/>
                <w:color w:val="auto"/>
              </w:rPr>
              <w:t>79</w:t>
            </w: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89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92" w:lineRule="exact"/>
        <w:rPr>
          <w:sz w:val="20"/>
          <w:szCs w:val="20"/>
          <w:color w:val="auto"/>
        </w:rPr>
      </w:pPr>
    </w:p>
    <w:p>
      <w:pPr>
        <w:ind w:left="460" w:right="80" w:hanging="452"/>
        <w:spacing w:after="0" w:line="268"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Vehicle sales primarily represent estimated sales to the end customer. In countries where end customer data is not readily available other data sources, such as wholesale volumes, are used to estimate vehicles sales.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Vehicle sales data may include rounding differences.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Certain fleet sales that are accounted for as operating leases are included in vehicle sales at the time of delivery to the daily rental car companies.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GMSA Total Net Sales and Revenue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0"/>
              </w:rPr>
              <w:t>Three Months Ended</w:t>
            </w:r>
          </w:p>
        </w:tc>
        <w:tc>
          <w:tcPr>
            <w:tcW w:w="16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0"/>
              </w:rPr>
              <w:t>Six Months Ended</w:t>
            </w:r>
          </w:p>
        </w:tc>
        <w:tc>
          <w:tcPr>
            <w:tcW w:w="190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5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0"/>
              </w:rPr>
              <w:t>Six Months Ended</w:t>
            </w:r>
          </w:p>
        </w:tc>
      </w:tr>
      <w:tr>
        <w:trPr>
          <w:trHeight w:val="161"/>
        </w:trPr>
        <w:tc>
          <w:tcPr>
            <w:tcW w:w="3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60" w:type="dxa"/>
            <w:vAlign w:val="bottom"/>
            <w:gridSpan w:val="3"/>
          </w:tcPr>
          <w:p>
            <w:pPr>
              <w:jc w:val="center"/>
              <w:ind w:left="407"/>
              <w:spacing w:after="0"/>
              <w:rPr>
                <w:sz w:val="20"/>
                <w:szCs w:val="20"/>
                <w:color w:val="auto"/>
              </w:rPr>
            </w:pPr>
            <w:r>
              <w:rPr>
                <w:rFonts w:ascii="Arial" w:cs="Arial" w:eastAsia="Arial" w:hAnsi="Arial"/>
                <w:sz w:val="14"/>
                <w:szCs w:val="14"/>
                <w:b w:val="1"/>
                <w:bCs w:val="1"/>
                <w:color w:val="auto"/>
                <w:w w:val="85"/>
              </w:rPr>
              <w:t>June 30,</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14"/>
                <w:szCs w:val="14"/>
                <w:color w:val="auto"/>
              </w:rPr>
            </w:pPr>
          </w:p>
        </w:tc>
        <w:tc>
          <w:tcPr>
            <w:tcW w:w="1800" w:type="dxa"/>
            <w:vAlign w:val="bottom"/>
            <w:gridSpan w:val="5"/>
          </w:tcPr>
          <w:p>
            <w:pPr>
              <w:spacing w:after="0"/>
              <w:rPr>
                <w:sz w:val="20"/>
                <w:szCs w:val="20"/>
                <w:color w:val="auto"/>
              </w:rPr>
            </w:pPr>
            <w:r>
              <w:rPr>
                <w:rFonts w:ascii="Arial" w:cs="Arial" w:eastAsia="Arial" w:hAnsi="Arial"/>
                <w:sz w:val="14"/>
                <w:szCs w:val="14"/>
                <w:b w:val="1"/>
                <w:bCs w:val="1"/>
                <w:color w:val="auto"/>
              </w:rPr>
              <w:t>2011 vs. 2010 Change</w:t>
            </w:r>
          </w:p>
        </w:tc>
        <w:tc>
          <w:tcPr>
            <w:tcW w:w="15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4"/>
              </w:rPr>
              <w:t>2011 vs. 2010 Change</w:t>
            </w:r>
          </w:p>
        </w:tc>
      </w:tr>
      <w:tr>
        <w:trPr>
          <w:trHeight w:val="142"/>
        </w:trPr>
        <w:tc>
          <w:tcPr>
            <w:tcW w:w="3300" w:type="dxa"/>
            <w:vAlign w:val="bottom"/>
            <w:tcBorders>
              <w:bottom w:val="single" w:sz="8" w:color="CCEEFF"/>
            </w:tcBorders>
          </w:tcPr>
          <w:p>
            <w:pPr>
              <w:spacing w:after="0"/>
              <w:rPr>
                <w:sz w:val="12"/>
                <w:szCs w:val="12"/>
                <w:color w:val="auto"/>
              </w:rPr>
            </w:pPr>
          </w:p>
        </w:tc>
        <w:tc>
          <w:tcPr>
            <w:tcW w:w="140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w w:val="89"/>
              </w:rPr>
              <w:t>2010</w:t>
            </w:r>
          </w:p>
        </w:tc>
        <w:tc>
          <w:tcPr>
            <w:tcW w:w="26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Amount</w:t>
            </w:r>
          </w:p>
        </w:tc>
        <w:tc>
          <w:tcPr>
            <w:tcW w:w="28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w w:val="90"/>
              </w:rPr>
              <w:t>Amount</w:t>
            </w:r>
          </w:p>
        </w:tc>
        <w:tc>
          <w:tcPr>
            <w:tcW w:w="28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r>
      <w:tr>
        <w:trPr>
          <w:trHeight w:val="210"/>
        </w:trPr>
        <w:tc>
          <w:tcPr>
            <w:tcW w:w="3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net sales and revenue</w:t>
            </w:r>
          </w:p>
        </w:tc>
        <w:tc>
          <w:tcPr>
            <w:tcW w:w="14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$ 4,363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3,608</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$ 8,259</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$ 6,932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19.1%</w:t>
            </w:r>
          </w:p>
        </w:tc>
      </w:tr>
    </w:tbl>
    <w:p>
      <w:pPr>
        <w:spacing w:after="0" w:line="154" w:lineRule="exact"/>
        <w:rPr>
          <w:sz w:val="20"/>
          <w:szCs w:val="20"/>
          <w:color w:val="auto"/>
        </w:rPr>
      </w:pPr>
    </w:p>
    <w:p>
      <w:pPr>
        <w:ind w:right="20" w:firstLine="228"/>
        <w:spacing w:after="0" w:line="253" w:lineRule="auto"/>
        <w:rPr>
          <w:sz w:val="20"/>
          <w:szCs w:val="20"/>
          <w:color w:val="auto"/>
        </w:rPr>
      </w:pPr>
      <w:r>
        <w:rPr>
          <w:rFonts w:ascii="Arial" w:cs="Arial" w:eastAsia="Arial" w:hAnsi="Arial"/>
          <w:sz w:val="18"/>
          <w:szCs w:val="18"/>
          <w:color w:val="auto"/>
        </w:rPr>
        <w:t>In the three months ended June 30, 2011 Total net sales and revenue increased by $0.8 billion (or 20.9%), primarily due to: (1) increased wholesale volumes of $0.3 billion representing 25,000 vehicles (or 10.1%), primarily in Argentina by 10,000 vehicles (or 35.1%), in Colombia by 8,000 vehicles (or 41.8%), in Venezuela by 2,000 vehicles (or 21.3%) and in Chile by 2,000 vehicles (or 13.1%) driven by improved macroeconomic conditions and industry growth throughout the region, partially offset by decreased wholesale volumes in Brazil of 1,000 vehicles (or 0.8%) due to deteriorated market share driven by increased competition and aggressive pricing in the market; (2) favorable foreign currency translation effect of $0.3 billion, primarily due to the strengthening of major currencies such as the Brazilian Real and Colombian Peso against the U.S. Dollar; and (3) favorable vehicle pricing effect of $0.1 billion, primarily in Venezuela driven by the hyperinflationary economy.</w:t>
      </w:r>
    </w:p>
    <w:p>
      <w:pPr>
        <w:spacing w:after="0" w:line="147" w:lineRule="exact"/>
        <w:rPr>
          <w:sz w:val="20"/>
          <w:szCs w:val="20"/>
          <w:color w:val="auto"/>
        </w:rPr>
      </w:pPr>
    </w:p>
    <w:p>
      <w:pPr>
        <w:ind w:right="120" w:firstLine="228"/>
        <w:spacing w:after="0" w:line="290" w:lineRule="auto"/>
        <w:rPr>
          <w:sz w:val="20"/>
          <w:szCs w:val="20"/>
          <w:color w:val="auto"/>
        </w:rPr>
      </w:pPr>
      <w:r>
        <w:rPr>
          <w:rFonts w:ascii="Arial" w:cs="Arial" w:eastAsia="Arial" w:hAnsi="Arial"/>
          <w:sz w:val="16"/>
          <w:szCs w:val="16"/>
          <w:color w:val="auto"/>
        </w:rPr>
        <w:t>In the six months ended June 30, 2011 Total net sales and revenue increased by $1.3 billion (or 19.1%), primarily due to: (1) increased wholesale volumes of $0.6 billion representing 49,000 vehicles (or 10.2%) primarily in Colombia by 17,000 vehicles (or 46.8%), in Argentina by 14,000 vehicles (or 29.1%), in Chile by 7,000 vehicles (or 28.5%) and in Venezuela by 3,000 vehicles (or 15.3%) driven by improved macroeconomic conditions and industry growth throughout the region, partially offset by decreased wholesale volumes in Brazil of 4,000 vehicles (or 1.2%) due to deteriorated market share driven by increased competition and aggressive pricing in the market; (2) favorable foreign currency translation effect of $0.5 billion, primarily due to the strengthening of major currencies such as the Brazilian Real and Colombian Peso against the U.S. Dollar; and (3) favorable vehicle pricing effect of $0.3 billion, primarily in Venezuela driven by the hyperinflationary economy.</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GMSA EBIT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89"/>
              </w:rPr>
              <w:t>Three Months Ended</w:t>
            </w:r>
          </w:p>
        </w:tc>
        <w:tc>
          <w:tcPr>
            <w:tcW w:w="190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88"/>
              </w:rPr>
              <w:t>Six Months Ended</w:t>
            </w:r>
          </w:p>
        </w:tc>
        <w:tc>
          <w:tcPr>
            <w:tcW w:w="120" w:type="dxa"/>
            <w:vAlign w:val="bottom"/>
          </w:tcPr>
          <w:p>
            <w:pPr>
              <w:spacing w:after="0"/>
              <w:rPr>
                <w:sz w:val="14"/>
                <w:szCs w:val="14"/>
                <w:color w:val="auto"/>
              </w:rPr>
            </w:pPr>
          </w:p>
        </w:tc>
        <w:tc>
          <w:tcPr>
            <w:tcW w:w="204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74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7"/>
              </w:rPr>
              <w:t>Six Months Ended</w:t>
            </w:r>
          </w:p>
        </w:tc>
      </w:tr>
      <w:tr>
        <w:trPr>
          <w:trHeight w:val="161"/>
        </w:trPr>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gridSpan w:val="3"/>
          </w:tcPr>
          <w:p>
            <w:pPr>
              <w:jc w:val="center"/>
              <w:ind w:left="347"/>
              <w:spacing w:after="0"/>
              <w:rPr>
                <w:sz w:val="20"/>
                <w:szCs w:val="20"/>
                <w:color w:val="auto"/>
              </w:rPr>
            </w:pPr>
            <w:r>
              <w:rPr>
                <w:rFonts w:ascii="Arial" w:cs="Arial" w:eastAsia="Arial" w:hAnsi="Arial"/>
                <w:sz w:val="14"/>
                <w:szCs w:val="14"/>
                <w:b w:val="1"/>
                <w:bCs w:val="1"/>
                <w:color w:val="auto"/>
                <w:w w:val="92"/>
              </w:rPr>
              <w:t>June 30,</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4"/>
          </w:tcPr>
          <w:p>
            <w:pPr>
              <w:ind w:left="60"/>
              <w:spacing w:after="0"/>
              <w:rPr>
                <w:sz w:val="20"/>
                <w:szCs w:val="20"/>
                <w:color w:val="auto"/>
              </w:rPr>
            </w:pPr>
            <w:r>
              <w:rPr>
                <w:rFonts w:ascii="Arial" w:cs="Arial" w:eastAsia="Arial" w:hAnsi="Arial"/>
                <w:sz w:val="14"/>
                <w:szCs w:val="14"/>
                <w:b w:val="1"/>
                <w:bCs w:val="1"/>
                <w:color w:val="auto"/>
              </w:rPr>
              <w:t>2011 vs. 2010 Change</w:t>
            </w:r>
          </w:p>
        </w:tc>
        <w:tc>
          <w:tcPr>
            <w:tcW w:w="120" w:type="dxa"/>
            <w:vAlign w:val="bottom"/>
          </w:tcPr>
          <w:p>
            <w:pPr>
              <w:spacing w:after="0"/>
              <w:rPr>
                <w:sz w:val="14"/>
                <w:szCs w:val="14"/>
                <w:color w:val="auto"/>
              </w:rPr>
            </w:pPr>
          </w:p>
        </w:tc>
        <w:tc>
          <w:tcPr>
            <w:tcW w:w="174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7"/>
              </w:rPr>
              <w:t>2011 vs. 2010 Change</w:t>
            </w:r>
          </w:p>
        </w:tc>
      </w:tr>
      <w:tr>
        <w:trPr>
          <w:trHeight w:val="142"/>
        </w:trPr>
        <w:tc>
          <w:tcPr>
            <w:tcW w:w="36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w w:val="89"/>
              </w:rPr>
              <w:t>2011</w:t>
            </w:r>
          </w:p>
        </w:tc>
        <w:tc>
          <w:tcPr>
            <w:tcW w:w="4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w w:val="89"/>
              </w:rPr>
              <w:t>2010</w:t>
            </w:r>
          </w:p>
        </w:tc>
        <w:tc>
          <w:tcPr>
            <w:tcW w:w="42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w w:val="89"/>
              </w:rPr>
              <w:t>2010</w:t>
            </w:r>
          </w:p>
        </w:tc>
        <w:tc>
          <w:tcPr>
            <w:tcW w:w="4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42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w w:val="90"/>
              </w:rPr>
              <w:t>Amount</w:t>
            </w:r>
          </w:p>
        </w:tc>
        <w:tc>
          <w:tcPr>
            <w:tcW w:w="42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r>
      <w:tr>
        <w:trPr>
          <w:trHeight w:val="210"/>
        </w:trPr>
        <w:tc>
          <w:tcPr>
            <w:tcW w:w="3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EBIT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147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(70.8)%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4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(68.0)%</w:t>
            </w:r>
          </w:p>
        </w:tc>
      </w:tr>
    </w:tbl>
    <w:p>
      <w:pPr>
        <w:spacing w:after="0" w:line="154" w:lineRule="exact"/>
        <w:rPr>
          <w:sz w:val="20"/>
          <w:szCs w:val="20"/>
          <w:color w:val="auto"/>
        </w:rPr>
      </w:pPr>
    </w:p>
    <w:p>
      <w:pPr>
        <w:ind w:right="20" w:firstLine="228"/>
        <w:spacing w:after="0" w:line="294" w:lineRule="auto"/>
        <w:rPr>
          <w:sz w:val="20"/>
          <w:szCs w:val="20"/>
          <w:color w:val="auto"/>
        </w:rPr>
      </w:pPr>
      <w:r>
        <w:rPr>
          <w:rFonts w:ascii="Arial" w:cs="Arial" w:eastAsia="Arial" w:hAnsi="Arial"/>
          <w:sz w:val="16"/>
          <w:szCs w:val="16"/>
          <w:color w:val="auto"/>
        </w:rPr>
        <w:t>In the three months ended June 30, 2011 EBIT decreased by $138 million (or 70.8%), primarily due to: (1) increased material and manufacturing costs of $208 million; (2) foreign currency transaction gains recorded in the corresponding period in 2010 of $110 million due to the preferential foreign currency exchange rates in Venezuela, which CADIVI discontinued in 2011; and (3) unfavorable net vehicle mix of $80 million; partially offset by (4) favorable vehicle pricing effect of $123 million, primarily in Venezuela driven by the hyperinflationary economy; (5) favorable net wholesale volumes of $62 million; (6) decreased engineering expense of $41 million; and (7) favorable net foreign currency translation effect of $21 million.</w:t>
      </w:r>
    </w:p>
    <w:p>
      <w:pPr>
        <w:spacing w:after="0" w:line="116" w:lineRule="exact"/>
        <w:rPr>
          <w:sz w:val="20"/>
          <w:szCs w:val="20"/>
          <w:color w:val="auto"/>
        </w:rPr>
      </w:pPr>
    </w:p>
    <w:p>
      <w:pPr>
        <w:ind w:right="160" w:firstLine="228"/>
        <w:spacing w:after="0" w:line="259" w:lineRule="auto"/>
        <w:rPr>
          <w:sz w:val="20"/>
          <w:szCs w:val="20"/>
          <w:color w:val="auto"/>
        </w:rPr>
      </w:pPr>
      <w:r>
        <w:rPr>
          <w:rFonts w:ascii="Arial" w:cs="Arial" w:eastAsia="Arial" w:hAnsi="Arial"/>
          <w:sz w:val="18"/>
          <w:szCs w:val="18"/>
          <w:color w:val="auto"/>
        </w:rPr>
        <w:t>In the six months ended June 30, 2011 EBIT decreased by $313 million (or 68.0%), primarily due to: (1) increased material and manufacturing costs of $406 million; (2) foreign currency transaction gains recorded in the corresponding period in 2010 of $125 million due to the preferential foreign currency exchange rates in Venezuela, which CADIVI discontinued in 2011;</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40" w:firstLine="8"/>
        <w:spacing w:after="0" w:line="256" w:lineRule="auto"/>
        <w:tabs>
          <w:tab w:leader="none" w:pos="249" w:val="left"/>
        </w:tabs>
        <w:numPr>
          <w:ilvl w:val="0"/>
          <w:numId w:val="64"/>
        </w:numPr>
        <w:rPr>
          <w:rFonts w:ascii="Arial" w:cs="Arial" w:eastAsia="Arial" w:hAnsi="Arial"/>
          <w:sz w:val="18"/>
          <w:szCs w:val="18"/>
          <w:color w:val="auto"/>
        </w:rPr>
      </w:pPr>
      <w:r>
        <w:rPr>
          <w:rFonts w:ascii="Arial" w:cs="Arial" w:eastAsia="Arial" w:hAnsi="Arial"/>
          <w:sz w:val="18"/>
          <w:szCs w:val="18"/>
          <w:color w:val="auto"/>
        </w:rPr>
        <w:t>unfavorable net vehicle mix of $40 million; and (4) increased advertising, sales and promotion and marketing expenses of $39 million to support media campaigns and new product launches; and (5) other cost increases of $37 million associated primarily with taxes and fees; partially offset by (6) favorable vehicle pricing effect of $260 million, primarily in Venezuela driven by the hyperinflationary economy; and (7) favorable net foreign currency translation effect of $45 million.</w:t>
      </w:r>
    </w:p>
    <w:p>
      <w:pPr>
        <w:spacing w:after="0" w:line="143" w:lineRule="exact"/>
        <w:rPr>
          <w:sz w:val="20"/>
          <w:szCs w:val="20"/>
          <w:color w:val="auto"/>
        </w:rPr>
      </w:pPr>
    </w:p>
    <w:p>
      <w:pPr>
        <w:ind w:right="60" w:firstLine="228"/>
        <w:spacing w:after="0" w:line="323" w:lineRule="auto"/>
        <w:rPr>
          <w:sz w:val="20"/>
          <w:szCs w:val="20"/>
          <w:color w:val="auto"/>
        </w:rPr>
      </w:pPr>
      <w:r>
        <w:rPr>
          <w:rFonts w:ascii="Arial" w:cs="Arial" w:eastAsia="Arial" w:hAnsi="Arial"/>
          <w:sz w:val="15"/>
          <w:szCs w:val="15"/>
          <w:color w:val="auto"/>
        </w:rPr>
        <w:t>In January 2010 the Venezuelan government announced that the official fixed exchange rate of 2.15 BsF to $1.00 would be changed to a dual rate system that includes a 2.60 BsF to $1.00 essentials rate for food, technology and heavy machine importers and a 4.30 BsF to $1.00 non-essentials rate for all others. This devaluation required remeasurement of our Venezuelan subsidiaries’ non-U.S. dollar denominated monetary assets and liabilities. We used a rate of 4.30 BsF to $1.00 to determine the remeasurement, which resulted in a charge of $25 million recorded in Automotive cost of sales in the three months ended March 31, 2010.</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Financial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tcPr>
          <w:p>
            <w:pPr>
              <w:spacing w:after="0"/>
              <w:rPr>
                <w:sz w:val="14"/>
                <w:szCs w:val="1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8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Six Months</w:t>
            </w:r>
          </w:p>
        </w:tc>
      </w:tr>
      <w:tr>
        <w:trPr>
          <w:trHeight w:val="149"/>
        </w:trPr>
        <w:tc>
          <w:tcPr>
            <w:tcW w:w="8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Ended</w:t>
            </w:r>
          </w:p>
        </w:tc>
        <w:tc>
          <w:tcPr>
            <w:tcW w:w="14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8820" w:type="dxa"/>
            <w:vAlign w:val="bottom"/>
          </w:tcPr>
          <w:p>
            <w:pPr>
              <w:spacing w:after="0"/>
              <w:rPr>
                <w:sz w:val="14"/>
                <w:szCs w:val="14"/>
                <w:color w:val="auto"/>
              </w:rPr>
            </w:pPr>
          </w:p>
        </w:tc>
        <w:tc>
          <w:tcPr>
            <w:tcW w:w="17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2011</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June 30, 2011</w:t>
            </w:r>
          </w:p>
        </w:tc>
      </w:tr>
      <w:tr>
        <w:trPr>
          <w:trHeight w:val="210"/>
        </w:trPr>
        <w:tc>
          <w:tcPr>
            <w:tcW w:w="8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8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28"/>
        </w:trPr>
        <w:tc>
          <w:tcPr>
            <w:tcW w:w="882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880"/>
              <w:spacing w:after="0"/>
              <w:rPr>
                <w:sz w:val="20"/>
                <w:szCs w:val="20"/>
                <w:color w:val="auto"/>
              </w:rPr>
            </w:pPr>
            <w:r>
              <w:rPr>
                <w:rFonts w:ascii="Arial" w:cs="Arial" w:eastAsia="Arial" w:hAnsi="Arial"/>
                <w:sz w:val="18"/>
                <w:szCs w:val="18"/>
                <w:color w:val="auto"/>
              </w:rPr>
              <w:t>144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9"/>
                <w:szCs w:val="19"/>
                <w:color w:val="auto"/>
              </w:rPr>
            </w:pPr>
          </w:p>
        </w:tc>
      </w:tr>
    </w:tbl>
    <w:p>
      <w:pPr>
        <w:spacing w:after="0" w:line="141" w:lineRule="exact"/>
        <w:rPr>
          <w:sz w:val="20"/>
          <w:szCs w:val="20"/>
          <w:color w:val="auto"/>
        </w:rPr>
      </w:pPr>
    </w:p>
    <w:p>
      <w:pPr>
        <w:jc w:val="both"/>
        <w:ind w:right="180" w:firstLine="228"/>
        <w:spacing w:after="0" w:line="306" w:lineRule="auto"/>
        <w:rPr>
          <w:sz w:val="20"/>
          <w:szCs w:val="20"/>
          <w:color w:val="auto"/>
        </w:rPr>
      </w:pPr>
      <w:r>
        <w:rPr>
          <w:rFonts w:ascii="Arial" w:cs="Arial" w:eastAsia="Arial" w:hAnsi="Arial"/>
          <w:sz w:val="16"/>
          <w:szCs w:val="16"/>
          <w:color w:val="auto"/>
        </w:rPr>
        <w:t>In the three months ended June 30, 2011 Total revenue included finance charge income of $291 million and other income of $39 million. The effective yield on GM Financial’s finance receivables was 13.1% for the three months ended June 30, 2011. The effective yield represents finance charges and fees recorded in earnings and the accretion of the purchase accounting premium during the period as a percentage of average finance receivables.</w:t>
      </w:r>
    </w:p>
    <w:p>
      <w:pPr>
        <w:spacing w:after="0" w:line="107" w:lineRule="exact"/>
        <w:rPr>
          <w:sz w:val="20"/>
          <w:szCs w:val="20"/>
          <w:color w:val="auto"/>
        </w:rPr>
      </w:pPr>
    </w:p>
    <w:p>
      <w:pPr>
        <w:ind w:right="140" w:firstLine="228"/>
        <w:spacing w:after="0" w:line="268" w:lineRule="auto"/>
        <w:rPr>
          <w:sz w:val="20"/>
          <w:szCs w:val="20"/>
          <w:color w:val="auto"/>
        </w:rPr>
      </w:pPr>
      <w:r>
        <w:rPr>
          <w:rFonts w:ascii="Arial" w:cs="Arial" w:eastAsia="Arial" w:hAnsi="Arial"/>
          <w:sz w:val="18"/>
          <w:szCs w:val="18"/>
          <w:color w:val="auto"/>
        </w:rPr>
        <w:t>In the six months ended June 30, 2011 Total revenue included finance charge income of $559 million and other income of $66 million. The effective yield on GM Financial’s finance receivables was 12.8% for the six months ended June 30, 2011.</w:t>
      </w:r>
    </w:p>
    <w:p>
      <w:pPr>
        <w:spacing w:after="0" w:line="132" w:lineRule="exact"/>
        <w:rPr>
          <w:sz w:val="20"/>
          <w:szCs w:val="20"/>
          <w:color w:val="auto"/>
        </w:rPr>
      </w:pPr>
    </w:p>
    <w:p>
      <w:pPr>
        <w:ind w:right="740" w:firstLine="228"/>
        <w:spacing w:after="0" w:line="268" w:lineRule="auto"/>
        <w:rPr>
          <w:sz w:val="20"/>
          <w:szCs w:val="20"/>
          <w:color w:val="auto"/>
        </w:rPr>
      </w:pPr>
      <w:r>
        <w:rPr>
          <w:rFonts w:ascii="Arial" w:cs="Arial" w:eastAsia="Arial" w:hAnsi="Arial"/>
          <w:sz w:val="18"/>
          <w:szCs w:val="18"/>
          <w:color w:val="auto"/>
        </w:rPr>
        <w:t>Net margin is the difference between finance charge income and other income earned on GM Financial’s finance receivables and the cost to fund the receivables as well as the cost of debt incurred for general corporate purposes.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GM Financial’s net margin and as a percentage of average finance receivables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1880" w:type="dxa"/>
            <w:vAlign w:val="bottom"/>
            <w:gridSpan w:val="5"/>
          </w:tcPr>
          <w:p>
            <w:pPr>
              <w:jc w:val="center"/>
              <w:ind w:right="660"/>
              <w:spacing w:after="0"/>
              <w:rPr>
                <w:sz w:val="20"/>
                <w:szCs w:val="20"/>
                <w:color w:val="auto"/>
              </w:rPr>
            </w:pPr>
            <w:r>
              <w:rPr>
                <w:rFonts w:ascii="Arial" w:cs="Arial" w:eastAsia="Arial" w:hAnsi="Arial"/>
                <w:sz w:val="14"/>
                <w:szCs w:val="14"/>
                <w:b w:val="1"/>
                <w:bCs w:val="1"/>
                <w:color w:val="auto"/>
                <w:w w:val="89"/>
              </w:rPr>
              <w:t>Three Months</w:t>
            </w:r>
          </w:p>
        </w:tc>
        <w:tc>
          <w:tcPr>
            <w:tcW w:w="14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8"/>
              </w:rPr>
              <w:t>Six Months</w:t>
            </w:r>
          </w:p>
        </w:tc>
        <w:tc>
          <w:tcPr>
            <w:tcW w:w="0" w:type="dxa"/>
            <w:vAlign w:val="bottom"/>
          </w:tcPr>
          <w:p>
            <w:pPr>
              <w:spacing w:after="0"/>
              <w:rPr>
                <w:sz w:val="1"/>
                <w:szCs w:val="1"/>
                <w:color w:val="auto"/>
              </w:rPr>
            </w:pPr>
          </w:p>
        </w:tc>
      </w:tr>
      <w:tr>
        <w:trPr>
          <w:trHeight w:val="149"/>
        </w:trPr>
        <w:tc>
          <w:tcPr>
            <w:tcW w:w="8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gridSpan w:val="3"/>
          </w:tcPr>
          <w:p>
            <w:pPr>
              <w:jc w:val="center"/>
              <w:ind w:right="1080"/>
              <w:spacing w:after="0" w:line="149" w:lineRule="exact"/>
              <w:rPr>
                <w:sz w:val="20"/>
                <w:szCs w:val="20"/>
                <w:color w:val="auto"/>
              </w:rPr>
            </w:pPr>
            <w:r>
              <w:rPr>
                <w:rFonts w:ascii="Arial" w:cs="Arial" w:eastAsia="Arial" w:hAnsi="Arial"/>
                <w:sz w:val="14"/>
                <w:szCs w:val="14"/>
                <w:b w:val="1"/>
                <w:bCs w:val="1"/>
                <w:color w:val="auto"/>
                <w:w w:val="88"/>
              </w:rPr>
              <w:t>Ended</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61"/>
        </w:trPr>
        <w:tc>
          <w:tcPr>
            <w:tcW w:w="806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June 30, 2011</w:t>
            </w:r>
          </w:p>
        </w:tc>
        <w:tc>
          <w:tcPr>
            <w:tcW w:w="66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June 30, 2011</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Finance charge income</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$291</w:t>
            </w:r>
          </w:p>
        </w:tc>
        <w:tc>
          <w:tcPr>
            <w:tcW w:w="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13.1%</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$559</w:t>
            </w:r>
          </w:p>
        </w:tc>
        <w:tc>
          <w:tcPr>
            <w:tcW w:w="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Other income</w:t>
            </w:r>
          </w:p>
        </w:tc>
        <w:tc>
          <w:tcPr>
            <w:tcW w:w="360" w:type="dxa"/>
            <w:vAlign w:val="bottom"/>
          </w:tcPr>
          <w:p>
            <w:pPr>
              <w:jc w:val="right"/>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18"/>
                <w:szCs w:val="18"/>
                <w:color w:val="auto"/>
              </w:rPr>
            </w:pPr>
          </w:p>
        </w:tc>
        <w:tc>
          <w:tcPr>
            <w:tcW w:w="1460" w:type="dxa"/>
            <w:vAlign w:val="bottom"/>
            <w:gridSpan w:val="3"/>
          </w:tcPr>
          <w:p>
            <w:pPr>
              <w:jc w:val="right"/>
              <w:ind w:right="500"/>
              <w:spacing w:after="0"/>
              <w:rPr>
                <w:sz w:val="20"/>
                <w:szCs w:val="20"/>
                <w:color w:val="auto"/>
              </w:rPr>
            </w:pPr>
            <w:r>
              <w:rPr>
                <w:rFonts w:ascii="Arial" w:cs="Arial" w:eastAsia="Arial" w:hAnsi="Arial"/>
                <w:sz w:val="18"/>
                <w:szCs w:val="18"/>
                <w:color w:val="auto"/>
              </w:rPr>
              <w:t>1.7%</w:t>
            </w:r>
          </w:p>
        </w:tc>
        <w:tc>
          <w:tcPr>
            <w:tcW w:w="360" w:type="dxa"/>
            <w:vAlign w:val="bottom"/>
          </w:tcPr>
          <w:p>
            <w:pPr>
              <w:jc w:val="right"/>
              <w:spacing w:after="0"/>
              <w:rPr>
                <w:sz w:val="20"/>
                <w:szCs w:val="20"/>
                <w:color w:val="auto"/>
              </w:rPr>
            </w:pPr>
            <w:r>
              <w:rPr>
                <w:rFonts w:ascii="Arial" w:cs="Arial" w:eastAsia="Arial" w:hAnsi="Arial"/>
                <w:sz w:val="18"/>
                <w:szCs w:val="18"/>
                <w:color w:val="auto"/>
              </w:rPr>
              <w:t>66</w:t>
            </w:r>
          </w:p>
        </w:tc>
        <w:tc>
          <w:tcPr>
            <w:tcW w:w="60" w:type="dxa"/>
            <w:vAlign w:val="bottom"/>
          </w:tcPr>
          <w:p>
            <w:pPr>
              <w:spacing w:after="0"/>
              <w:rPr>
                <w:sz w:val="18"/>
                <w:szCs w:val="18"/>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4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8060" w:type="dxa"/>
            <w:vAlign w:val="bottom"/>
            <w:vMerge w:val="restart"/>
          </w:tcPr>
          <w:p>
            <w:pPr>
              <w:spacing w:after="0"/>
              <w:rPr>
                <w:sz w:val="20"/>
                <w:szCs w:val="20"/>
                <w:color w:val="auto"/>
              </w:rPr>
            </w:pPr>
            <w:r>
              <w:rPr>
                <w:rFonts w:ascii="Arial" w:cs="Arial" w:eastAsia="Arial" w:hAnsi="Arial"/>
                <w:sz w:val="18"/>
                <w:szCs w:val="18"/>
                <w:color w:val="auto"/>
              </w:rPr>
              <w:t>Net GM Financial margin</w:t>
            </w: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060" w:type="dxa"/>
            <w:vAlign w:val="bottom"/>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287</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w w:val="97"/>
              </w:rPr>
              <w:t>12.9%</w:t>
            </w:r>
          </w:p>
        </w:tc>
        <w:tc>
          <w:tcPr>
            <w:tcW w:w="36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541</w:t>
            </w:r>
          </w:p>
        </w:tc>
        <w:tc>
          <w:tcPr>
            <w:tcW w:w="60" w:type="dxa"/>
            <w:vAlign w:val="bottom"/>
          </w:tcPr>
          <w:p>
            <w:pPr>
              <w:spacing w:after="0"/>
              <w:rPr>
                <w:sz w:val="19"/>
                <w:szCs w:val="19"/>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Before Income Taxes</w:t>
      </w:r>
    </w:p>
    <w:p>
      <w:pPr>
        <w:spacing w:after="0" w:line="171" w:lineRule="exact"/>
        <w:rPr>
          <w:sz w:val="20"/>
          <w:szCs w:val="20"/>
          <w:color w:val="auto"/>
        </w:rPr>
      </w:pPr>
    </w:p>
    <w:p>
      <w:pPr>
        <w:ind w:firstLine="228"/>
        <w:spacing w:after="0" w:line="254" w:lineRule="auto"/>
        <w:rPr>
          <w:sz w:val="20"/>
          <w:szCs w:val="20"/>
          <w:color w:val="auto"/>
        </w:rPr>
      </w:pPr>
      <w:r>
        <w:rPr>
          <w:rFonts w:ascii="Arial" w:cs="Arial" w:eastAsia="Arial" w:hAnsi="Arial"/>
          <w:sz w:val="18"/>
          <w:szCs w:val="18"/>
          <w:color w:val="auto"/>
        </w:rPr>
        <w:t>In the three months ended June 30, 2011 results included: (1) Total revenue of $330 million; partially offset by (2) operating and leased vehicle expenses of $98 million; (3) interest expense of $43 million; and (4) provision for loan losses of $45 million. GM Financial’s operating expenses are primarily related to personnel costs that include base salary and wages, performance incentives and benefits as well as related employment taxes. Provisions for loan losses are charged to income to bring the allowance for loan losses to a level which management considers adequate to absorb probable credit losses inherent in the portfolio of finance receivables originated since October 1, 2010. Interest expense represents interest on GM Financial’s warehouse credit facilities, securitization notes payable and other unsecured debt.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Average debt outstanding in the three months ended June 30, 2011 was $7.5 billion and the effective rate of interest paid was 2.3%.</w:t>
      </w:r>
    </w:p>
    <w:p>
      <w:pPr>
        <w:spacing w:after="0" w:line="171" w:lineRule="exact"/>
        <w:rPr>
          <w:sz w:val="20"/>
          <w:szCs w:val="20"/>
          <w:color w:val="auto"/>
        </w:rPr>
      </w:pPr>
    </w:p>
    <w:p>
      <w:pPr>
        <w:ind w:right="20" w:firstLine="228"/>
        <w:spacing w:after="0" w:line="268" w:lineRule="auto"/>
        <w:rPr>
          <w:sz w:val="20"/>
          <w:szCs w:val="20"/>
          <w:color w:val="auto"/>
        </w:rPr>
      </w:pPr>
      <w:r>
        <w:rPr>
          <w:rFonts w:ascii="Arial" w:cs="Arial" w:eastAsia="Arial" w:hAnsi="Arial"/>
          <w:sz w:val="18"/>
          <w:szCs w:val="18"/>
          <w:color w:val="auto"/>
        </w:rPr>
        <w:t>In the six months ended June 30, 2011 results included: (1) Total revenue of $625 million; partially offset by (2) operating and leased vehicle expenses of $183 million; (3) interest expense of $84 million; and (4) provision for loan losses of $84 million.</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Average debt outstanding in the six months ended June 30, 2011 was $7.3 billion and the effective rate of interest paid was 2.3%.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Results of Operations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8"/>
          </w:tcPr>
          <w:p>
            <w:pPr>
              <w:jc w:val="center"/>
              <w:ind w:right="500"/>
              <w:spacing w:after="0"/>
              <w:rPr>
                <w:sz w:val="20"/>
                <w:szCs w:val="20"/>
                <w:color w:val="auto"/>
              </w:rPr>
            </w:pPr>
            <w:r>
              <w:rPr>
                <w:rFonts w:ascii="Arial" w:cs="Arial" w:eastAsia="Arial" w:hAnsi="Arial"/>
                <w:sz w:val="14"/>
                <w:szCs w:val="14"/>
                <w:b w:val="1"/>
                <w:bCs w:val="1"/>
                <w:color w:val="auto"/>
                <w:w w:val="88"/>
              </w:rPr>
              <w:t>Three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87"/>
              </w:rPr>
              <w:t>Six Months Ended</w:t>
            </w:r>
          </w:p>
        </w:tc>
      </w:tr>
      <w:tr>
        <w:trPr>
          <w:trHeight w:val="161"/>
        </w:trPr>
        <w:tc>
          <w:tcPr>
            <w:tcW w:w="3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5"/>
          </w:tcPr>
          <w:p>
            <w:pPr>
              <w:jc w:val="center"/>
              <w:ind w:left="262"/>
              <w:spacing w:after="0"/>
              <w:rPr>
                <w:sz w:val="20"/>
                <w:szCs w:val="20"/>
                <w:color w:val="auto"/>
              </w:rPr>
            </w:pPr>
            <w:r>
              <w:rPr>
                <w:rFonts w:ascii="Arial" w:cs="Arial" w:eastAsia="Arial" w:hAnsi="Arial"/>
                <w:sz w:val="14"/>
                <w:szCs w:val="14"/>
                <w:b w:val="1"/>
                <w:bCs w:val="1"/>
                <w:color w:val="auto"/>
                <w:w w:val="89"/>
              </w:rPr>
              <w:t>June 30,</w:t>
            </w: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5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w w:val="83"/>
              </w:rPr>
              <w:t>2011</w:t>
            </w:r>
          </w:p>
        </w:tc>
        <w:tc>
          <w:tcPr>
            <w:tcW w:w="6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96"/>
              </w:rPr>
              <w:t>2010</w:t>
            </w:r>
          </w:p>
        </w:tc>
        <w:tc>
          <w:tcPr>
            <w:tcW w:w="3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w w:val="89"/>
              </w:rPr>
              <w:t>2011</w:t>
            </w: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sales and revenue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r>
      <w:tr>
        <w:trPr>
          <w:trHeight w:val="228"/>
        </w:trPr>
        <w:tc>
          <w:tcPr>
            <w:tcW w:w="3580" w:type="dxa"/>
            <w:vAlign w:val="bottom"/>
          </w:tcPr>
          <w:p>
            <w:pPr>
              <w:spacing w:after="0"/>
              <w:rPr>
                <w:sz w:val="20"/>
                <w:szCs w:val="20"/>
                <w:color w:val="auto"/>
              </w:rPr>
            </w:pPr>
            <w:r>
              <w:rPr>
                <w:rFonts w:ascii="Arial" w:cs="Arial" w:eastAsia="Arial" w:hAnsi="Arial"/>
                <w:sz w:val="18"/>
                <w:szCs w:val="18"/>
                <w:b w:val="1"/>
                <w:bCs w:val="1"/>
                <w:color w:val="auto"/>
                <w:w w:val="90"/>
              </w:rPr>
              <w:t>Net income (loss) attributable to stockholders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860" w:type="dxa"/>
            <w:vAlign w:val="bottom"/>
            <w:gridSpan w:val="3"/>
          </w:tcPr>
          <w:p>
            <w:pPr>
              <w:jc w:val="right"/>
              <w:ind w:right="380"/>
              <w:spacing w:after="0"/>
              <w:rPr>
                <w:sz w:val="20"/>
                <w:szCs w:val="20"/>
                <w:color w:val="auto"/>
              </w:rPr>
            </w:pPr>
            <w:r>
              <w:rPr>
                <w:rFonts w:ascii="Arial" w:cs="Arial" w:eastAsia="Arial" w:hAnsi="Arial"/>
                <w:sz w:val="18"/>
                <w:szCs w:val="18"/>
                <w:color w:val="auto"/>
              </w:rPr>
              <w:t>(125)</w:t>
            </w:r>
          </w:p>
        </w:tc>
        <w:tc>
          <w:tcPr>
            <w:tcW w:w="6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3"/>
          </w:tcPr>
          <w:p>
            <w:pPr>
              <w:jc w:val="right"/>
              <w:ind w:right="320"/>
              <w:spacing w:after="0"/>
              <w:rPr>
                <w:sz w:val="20"/>
                <w:szCs w:val="20"/>
                <w:color w:val="auto"/>
              </w:rPr>
            </w:pPr>
            <w:r>
              <w:rPr>
                <w:rFonts w:ascii="Arial" w:cs="Arial" w:eastAsia="Arial" w:hAnsi="Arial"/>
                <w:sz w:val="18"/>
                <w:szCs w:val="18"/>
                <w:color w:val="auto"/>
              </w:rPr>
              <w:t>(528)</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2"/>
              <w:spacing w:after="0"/>
              <w:rPr>
                <w:sz w:val="20"/>
                <w:szCs w:val="20"/>
                <w:color w:val="auto"/>
              </w:rPr>
            </w:pPr>
            <w:r>
              <w:rPr>
                <w:rFonts w:ascii="Arial" w:cs="Arial" w:eastAsia="Arial" w:hAnsi="Arial"/>
                <w:sz w:val="18"/>
                <w:szCs w:val="18"/>
                <w:color w:val="auto"/>
              </w:rPr>
              <w:t>106</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w w:val="87"/>
              </w:rPr>
              <w:t>(1,393)</w:t>
            </w:r>
          </w:p>
        </w:tc>
      </w:tr>
      <w:tr>
        <w:trPr>
          <w:trHeight w:val="364"/>
        </w:trPr>
        <w:tc>
          <w:tcPr>
            <w:tcW w:w="3580" w:type="dxa"/>
            <w:vAlign w:val="bottom"/>
          </w:tcPr>
          <w:p>
            <w:pPr>
              <w:ind w:left="240"/>
              <w:spacing w:after="0"/>
              <w:rPr>
                <w:sz w:val="20"/>
                <w:szCs w:val="20"/>
                <w:color w:val="auto"/>
              </w:rPr>
            </w:pPr>
            <w:r>
              <w:rPr>
                <w:rFonts w:ascii="Arial" w:cs="Arial" w:eastAsia="Arial" w:hAnsi="Arial"/>
                <w:sz w:val="18"/>
                <w:szCs w:val="18"/>
                <w:b w:val="1"/>
                <w:bCs w:val="1"/>
                <w:i w:val="1"/>
                <w:iCs w:val="1"/>
                <w:color w:val="auto"/>
                <w:w w:val="98"/>
              </w:rPr>
              <w:t>Corporate Total Net Sales and Revenue</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0"/>
        </w:trPr>
        <w:tc>
          <w:tcPr>
            <w:tcW w:w="3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4"/>
                <w:szCs w:val="24"/>
                <w:color w:val="auto"/>
              </w:rPr>
            </w:pPr>
          </w:p>
        </w:tc>
        <w:tc>
          <w:tcPr>
            <w:tcW w:w="174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88"/>
              </w:rPr>
              <w:t>Six Months Ended</w:t>
            </w:r>
          </w:p>
        </w:tc>
        <w:tc>
          <w:tcPr>
            <w:tcW w:w="160" w:type="dxa"/>
            <w:vAlign w:val="bottom"/>
          </w:tcPr>
          <w:p>
            <w:pPr>
              <w:spacing w:after="0"/>
              <w:rPr>
                <w:sz w:val="24"/>
                <w:szCs w:val="24"/>
                <w:color w:val="auto"/>
              </w:rPr>
            </w:pPr>
          </w:p>
        </w:tc>
        <w:tc>
          <w:tcPr>
            <w:tcW w:w="1960" w:type="dxa"/>
            <w:vAlign w:val="bottom"/>
            <w:gridSpan w:val="9"/>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8"/>
          </w:tcPr>
          <w:p>
            <w:pPr>
              <w:jc w:val="right"/>
              <w:ind w:right="500"/>
              <w:spacing w:after="0"/>
              <w:rPr>
                <w:sz w:val="20"/>
                <w:szCs w:val="20"/>
                <w:color w:val="auto"/>
              </w:rPr>
            </w:pPr>
            <w:r>
              <w:rPr>
                <w:rFonts w:ascii="Arial" w:cs="Arial" w:eastAsia="Arial" w:hAnsi="Arial"/>
                <w:sz w:val="14"/>
                <w:szCs w:val="14"/>
                <w:b w:val="1"/>
                <w:bCs w:val="1"/>
                <w:color w:val="auto"/>
                <w:w w:val="88"/>
              </w:rPr>
              <w:t>Six Months Ended</w:t>
            </w:r>
          </w:p>
        </w:tc>
      </w:tr>
      <w:tr>
        <w:trPr>
          <w:trHeight w:val="161"/>
        </w:trPr>
        <w:tc>
          <w:tcPr>
            <w:tcW w:w="3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tcPr>
          <w:p>
            <w:pPr>
              <w:ind w:left="380"/>
              <w:spacing w:after="0"/>
              <w:rPr>
                <w:sz w:val="20"/>
                <w:szCs w:val="20"/>
                <w:color w:val="auto"/>
              </w:rPr>
            </w:pPr>
            <w:r>
              <w:rPr>
                <w:rFonts w:ascii="Arial" w:cs="Arial" w:eastAsia="Arial" w:hAnsi="Arial"/>
                <w:sz w:val="14"/>
                <w:szCs w:val="14"/>
                <w:b w:val="1"/>
                <w:bCs w:val="1"/>
                <w:color w:val="auto"/>
                <w:w w:val="96"/>
              </w:rPr>
              <w:t>June 30,</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tcPr>
          <w:p>
            <w:pPr>
              <w:jc w:val="center"/>
              <w:ind w:left="247"/>
              <w:spacing w:after="0"/>
              <w:rPr>
                <w:sz w:val="20"/>
                <w:szCs w:val="20"/>
                <w:color w:val="auto"/>
              </w:rPr>
            </w:pPr>
            <w:r>
              <w:rPr>
                <w:rFonts w:ascii="Arial" w:cs="Arial" w:eastAsia="Arial" w:hAnsi="Arial"/>
                <w:sz w:val="14"/>
                <w:szCs w:val="14"/>
                <w:b w:val="1"/>
                <w:bCs w:val="1"/>
                <w:color w:val="auto"/>
                <w:w w:val="92"/>
              </w:rPr>
              <w:t>June 30,</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gridSpan w:val="9"/>
          </w:tcPr>
          <w:p>
            <w:pPr>
              <w:spacing w:after="0"/>
              <w:rPr>
                <w:sz w:val="20"/>
                <w:szCs w:val="20"/>
                <w:color w:val="auto"/>
              </w:rPr>
            </w:pPr>
            <w:r>
              <w:rPr>
                <w:rFonts w:ascii="Arial" w:cs="Arial" w:eastAsia="Arial" w:hAnsi="Arial"/>
                <w:sz w:val="14"/>
                <w:szCs w:val="14"/>
                <w:b w:val="1"/>
                <w:bCs w:val="1"/>
                <w:color w:val="auto"/>
              </w:rPr>
              <w:t>2011 vs. 2010 Change</w:t>
            </w:r>
          </w:p>
        </w:tc>
        <w:tc>
          <w:tcPr>
            <w:tcW w:w="120" w:type="dxa"/>
            <w:vAlign w:val="bottom"/>
          </w:tcPr>
          <w:p>
            <w:pPr>
              <w:spacing w:after="0"/>
              <w:rPr>
                <w:sz w:val="14"/>
                <w:szCs w:val="14"/>
                <w:color w:val="auto"/>
              </w:rPr>
            </w:pPr>
          </w:p>
        </w:tc>
        <w:tc>
          <w:tcPr>
            <w:tcW w:w="1700" w:type="dxa"/>
            <w:vAlign w:val="bottom"/>
            <w:gridSpan w:val="9"/>
          </w:tcPr>
          <w:p>
            <w:pPr>
              <w:jc w:val="right"/>
              <w:ind w:right="400"/>
              <w:spacing w:after="0"/>
              <w:rPr>
                <w:sz w:val="20"/>
                <w:szCs w:val="20"/>
                <w:color w:val="auto"/>
              </w:rPr>
            </w:pPr>
            <w:r>
              <w:rPr>
                <w:rFonts w:ascii="Arial" w:cs="Arial" w:eastAsia="Arial" w:hAnsi="Arial"/>
                <w:sz w:val="14"/>
                <w:szCs w:val="14"/>
                <w:b w:val="1"/>
                <w:bCs w:val="1"/>
                <w:color w:val="auto"/>
                <w:w w:val="88"/>
              </w:rPr>
              <w:t>2011 vs. 2010 Change</w:t>
            </w:r>
          </w:p>
        </w:tc>
      </w:tr>
      <w:tr>
        <w:trPr>
          <w:trHeight w:val="142"/>
        </w:trPr>
        <w:tc>
          <w:tcPr>
            <w:tcW w:w="35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w w:val="89"/>
              </w:rPr>
              <w:t>2010</w:t>
            </w:r>
          </w:p>
        </w:tc>
        <w:tc>
          <w:tcPr>
            <w:tcW w:w="3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w w:val="83"/>
              </w:rPr>
              <w:t>2011</w:t>
            </w:r>
          </w:p>
        </w:tc>
        <w:tc>
          <w:tcPr>
            <w:tcW w:w="4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w w:val="89"/>
              </w:rPr>
              <w:t>2010</w:t>
            </w:r>
          </w:p>
        </w:tc>
        <w:tc>
          <w:tcPr>
            <w:tcW w:w="38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gridSpan w:val="4"/>
          </w:tcPr>
          <w:p>
            <w:pPr>
              <w:ind w:left="140"/>
              <w:spacing w:after="0" w:line="142" w:lineRule="exact"/>
              <w:rPr>
                <w:sz w:val="20"/>
                <w:szCs w:val="20"/>
                <w:color w:val="auto"/>
              </w:rPr>
            </w:pPr>
            <w:r>
              <w:rPr>
                <w:rFonts w:ascii="Arial" w:cs="Arial" w:eastAsia="Arial" w:hAnsi="Arial"/>
                <w:sz w:val="14"/>
                <w:szCs w:val="14"/>
                <w:b w:val="1"/>
                <w:bCs w:val="1"/>
                <w:color w:val="auto"/>
              </w:rPr>
              <w:t>Amount</w:t>
            </w:r>
          </w:p>
        </w:tc>
        <w:tc>
          <w:tcPr>
            <w:tcW w:w="38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w w:val="96"/>
              </w:rPr>
              <w:t>%</w:t>
            </w:r>
          </w:p>
        </w:tc>
        <w:tc>
          <w:tcPr>
            <w:tcW w:w="16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Amount</w:t>
            </w:r>
          </w:p>
        </w:tc>
        <w:tc>
          <w:tcPr>
            <w:tcW w:w="4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r>
      <w:tr>
        <w:trPr>
          <w:trHeight w:val="210"/>
        </w:trPr>
        <w:tc>
          <w:tcPr>
            <w:tcW w:w="3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net sales and revenue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(56.3)%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1"/>
              </w:rPr>
              <w:t>(61.0)%</w:t>
            </w:r>
          </w:p>
        </w:tc>
      </w:tr>
    </w:tbl>
    <w:p>
      <w:pPr>
        <w:spacing w:after="0" w:line="154" w:lineRule="exact"/>
        <w:rPr>
          <w:sz w:val="20"/>
          <w:szCs w:val="20"/>
          <w:color w:val="auto"/>
        </w:rPr>
      </w:pPr>
    </w:p>
    <w:p>
      <w:pPr>
        <w:ind w:right="540" w:firstLine="228"/>
        <w:spacing w:after="0" w:line="332" w:lineRule="auto"/>
        <w:rPr>
          <w:sz w:val="20"/>
          <w:szCs w:val="20"/>
          <w:color w:val="auto"/>
        </w:rPr>
      </w:pPr>
      <w:r>
        <w:rPr>
          <w:rFonts w:ascii="Arial" w:cs="Arial" w:eastAsia="Arial" w:hAnsi="Arial"/>
          <w:sz w:val="16"/>
          <w:szCs w:val="16"/>
          <w:color w:val="auto"/>
        </w:rPr>
        <w:t>In the three months ended June 30, 2011 Total net sales and revenue decreased by $18 million (or 56.3%) primarily due to decreased revenue earned on portfolio management services performed for third parties due to the planned reduction of third party assets managed.</w:t>
      </w:r>
    </w:p>
    <w:p>
      <w:pPr>
        <w:spacing w:after="0" w:line="85" w:lineRule="exact"/>
        <w:rPr>
          <w:sz w:val="20"/>
          <w:szCs w:val="20"/>
          <w:color w:val="auto"/>
        </w:rPr>
      </w:pPr>
    </w:p>
    <w:p>
      <w:pPr>
        <w:ind w:right="20" w:firstLine="228"/>
        <w:spacing w:after="0" w:line="256" w:lineRule="auto"/>
        <w:rPr>
          <w:sz w:val="20"/>
          <w:szCs w:val="20"/>
          <w:color w:val="auto"/>
        </w:rPr>
      </w:pPr>
      <w:r>
        <w:rPr>
          <w:rFonts w:ascii="Arial" w:cs="Arial" w:eastAsia="Arial" w:hAnsi="Arial"/>
          <w:sz w:val="18"/>
          <w:szCs w:val="18"/>
          <w:color w:val="auto"/>
        </w:rPr>
        <w:t>In the six months ended June 30, 2011 Total net sales and revenue decreased by $47 million (or 61.0%) primarily due to decreased revenue earned on portfolio management services performed for third parties due to the planned reduction of third party assets managed, and decreased lease financing revenues related to the liquidation of the portfolio of automotive retail leases. Average outstanding retail leases on-hand decreased to a de minimus amount for the six months ended June 30, 2011 compared to 13,000 for the six months ended June 30, 2010.</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 Net Income (Loss) Attributable to Stockholders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6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9"/>
              </w:rPr>
              <w:t>Three Months Ended</w:t>
            </w:r>
          </w:p>
        </w:tc>
        <w:tc>
          <w:tcPr>
            <w:tcW w:w="160" w:type="dxa"/>
            <w:vAlign w:val="bottom"/>
          </w:tcPr>
          <w:p>
            <w:pPr>
              <w:spacing w:after="0"/>
              <w:rPr>
                <w:sz w:val="14"/>
                <w:szCs w:val="14"/>
                <w:color w:val="auto"/>
              </w:rPr>
            </w:pPr>
          </w:p>
        </w:tc>
        <w:tc>
          <w:tcPr>
            <w:tcW w:w="182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8"/>
              </w:rPr>
              <w:t>Six Months Ended</w:t>
            </w:r>
          </w:p>
        </w:tc>
        <w:tc>
          <w:tcPr>
            <w:tcW w:w="120" w:type="dxa"/>
            <w:vAlign w:val="bottom"/>
          </w:tcPr>
          <w:p>
            <w:pPr>
              <w:spacing w:after="0"/>
              <w:rPr>
                <w:sz w:val="14"/>
                <w:szCs w:val="14"/>
                <w:color w:val="auto"/>
              </w:rPr>
            </w:pPr>
          </w:p>
        </w:tc>
        <w:tc>
          <w:tcPr>
            <w:tcW w:w="188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500" w:type="dxa"/>
            <w:vAlign w:val="bottom"/>
            <w:gridSpan w:val="4"/>
          </w:tcPr>
          <w:p>
            <w:pPr>
              <w:ind w:left="12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4160" w:type="dxa"/>
            <w:vAlign w:val="bottom"/>
          </w:tcPr>
          <w:p>
            <w:pPr>
              <w:spacing w:after="0"/>
              <w:rPr>
                <w:sz w:val="14"/>
                <w:szCs w:val="14"/>
                <w:color w:val="auto"/>
              </w:rPr>
            </w:pPr>
          </w:p>
        </w:tc>
        <w:tc>
          <w:tcPr>
            <w:tcW w:w="1020" w:type="dxa"/>
            <w:vAlign w:val="bottom"/>
            <w:gridSpan w:val="3"/>
          </w:tcPr>
          <w:p>
            <w:pPr>
              <w:jc w:val="center"/>
              <w:ind w:left="347"/>
              <w:spacing w:after="0"/>
              <w:rPr>
                <w:sz w:val="20"/>
                <w:szCs w:val="20"/>
                <w:color w:val="auto"/>
              </w:rPr>
            </w:pPr>
            <w:r>
              <w:rPr>
                <w:rFonts w:ascii="Arial" w:cs="Arial" w:eastAsia="Arial" w:hAnsi="Arial"/>
                <w:sz w:val="14"/>
                <w:szCs w:val="14"/>
                <w:b w:val="1"/>
                <w:bCs w:val="1"/>
                <w:color w:val="auto"/>
                <w:w w:val="92"/>
              </w:rPr>
              <w:t>June 30,</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5"/>
              </w:rPr>
              <w:t>June 30,</w:t>
            </w:r>
          </w:p>
        </w:tc>
        <w:tc>
          <w:tcPr>
            <w:tcW w:w="120" w:type="dxa"/>
            <w:vAlign w:val="bottom"/>
          </w:tcPr>
          <w:p>
            <w:pPr>
              <w:spacing w:after="0"/>
              <w:rPr>
                <w:sz w:val="14"/>
                <w:szCs w:val="14"/>
                <w:color w:val="auto"/>
              </w:rPr>
            </w:pPr>
          </w:p>
        </w:tc>
        <w:tc>
          <w:tcPr>
            <w:tcW w:w="1880" w:type="dxa"/>
            <w:vAlign w:val="bottom"/>
            <w:gridSpan w:val="4"/>
          </w:tcPr>
          <w:p>
            <w:pPr>
              <w:ind w:left="60"/>
              <w:spacing w:after="0"/>
              <w:rPr>
                <w:sz w:val="20"/>
                <w:szCs w:val="20"/>
                <w:color w:val="auto"/>
              </w:rPr>
            </w:pPr>
            <w:r>
              <w:rPr>
                <w:rFonts w:ascii="Arial" w:cs="Arial" w:eastAsia="Arial" w:hAnsi="Arial"/>
                <w:sz w:val="14"/>
                <w:szCs w:val="14"/>
                <w:b w:val="1"/>
                <w:bCs w:val="1"/>
                <w:color w:val="auto"/>
              </w:rPr>
              <w:t>2011 vs. 2010 Change</w:t>
            </w:r>
          </w:p>
        </w:tc>
        <w:tc>
          <w:tcPr>
            <w:tcW w:w="100" w:type="dxa"/>
            <w:vAlign w:val="bottom"/>
          </w:tcPr>
          <w:p>
            <w:pPr>
              <w:spacing w:after="0"/>
              <w:rPr>
                <w:sz w:val="14"/>
                <w:szCs w:val="14"/>
                <w:color w:val="auto"/>
              </w:rPr>
            </w:pPr>
          </w:p>
        </w:tc>
        <w:tc>
          <w:tcPr>
            <w:tcW w:w="1500" w:type="dxa"/>
            <w:vAlign w:val="bottom"/>
            <w:gridSpan w:val="4"/>
          </w:tcPr>
          <w:p>
            <w:pPr>
              <w:ind w:left="20"/>
              <w:spacing w:after="0"/>
              <w:rPr>
                <w:sz w:val="20"/>
                <w:szCs w:val="20"/>
                <w:color w:val="auto"/>
              </w:rPr>
            </w:pPr>
            <w:r>
              <w:rPr>
                <w:rFonts w:ascii="Arial" w:cs="Arial" w:eastAsia="Arial" w:hAnsi="Arial"/>
                <w:sz w:val="14"/>
                <w:szCs w:val="14"/>
                <w:b w:val="1"/>
                <w:bCs w:val="1"/>
                <w:color w:val="auto"/>
              </w:rPr>
              <w:t>2011 vs. 2010 Change</w:t>
            </w:r>
          </w:p>
        </w:tc>
      </w:tr>
      <w:tr>
        <w:trPr>
          <w:trHeight w:val="142"/>
        </w:trPr>
        <w:tc>
          <w:tcPr>
            <w:tcW w:w="4160" w:type="dxa"/>
            <w:vAlign w:val="bottom"/>
          </w:tcPr>
          <w:p>
            <w:pPr>
              <w:spacing w:after="0"/>
              <w:rPr>
                <w:sz w:val="12"/>
                <w:szCs w:val="12"/>
                <w:color w:val="auto"/>
              </w:rPr>
            </w:pPr>
          </w:p>
        </w:tc>
        <w:tc>
          <w:tcPr>
            <w:tcW w:w="540" w:type="dxa"/>
            <w:vAlign w:val="bottom"/>
            <w:tcBorders>
              <w:top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2011</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w w:val="89"/>
              </w:rPr>
              <w:t>2010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Borders>
              <w:top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2010</w:t>
            </w:r>
          </w:p>
        </w:tc>
        <w:tc>
          <w:tcPr>
            <w:tcW w:w="3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500" w:type="dxa"/>
            <w:vAlign w:val="bottom"/>
            <w:tcBorders>
              <w:top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400" w:type="dxa"/>
            <w:vAlign w:val="bottom"/>
            <w:tcBorders>
              <w:top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r>
      <w:tr>
        <w:trPr>
          <w:trHeight w:val="210"/>
        </w:trPr>
        <w:tc>
          <w:tcPr>
            <w:tcW w:w="4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 (loss) attributable to stockholders</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(125)</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(528)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106</w:t>
            </w:r>
          </w:p>
        </w:tc>
        <w:tc>
          <w:tcPr>
            <w:tcW w:w="3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$(1,393)</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3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76.3%</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3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71" w:lineRule="exact"/>
        <w:rPr>
          <w:sz w:val="20"/>
          <w:szCs w:val="20"/>
          <w:color w:val="auto"/>
        </w:rPr>
      </w:pPr>
    </w:p>
    <w:p>
      <w:pPr>
        <w:ind w:right="40" w:firstLine="228"/>
        <w:spacing w:after="0" w:line="298" w:lineRule="auto"/>
        <w:rPr>
          <w:sz w:val="20"/>
          <w:szCs w:val="20"/>
          <w:color w:val="auto"/>
        </w:rPr>
      </w:pPr>
      <w:r>
        <w:rPr>
          <w:rFonts w:ascii="Arial" w:cs="Arial" w:eastAsia="Arial" w:hAnsi="Arial"/>
          <w:sz w:val="16"/>
          <w:szCs w:val="16"/>
          <w:color w:val="auto"/>
        </w:rPr>
        <w:t>In the three months ended June 30, 2011 Net loss attributable to stockholders decreased by $0.4 billion (or 76.3%) primarily due to: (1) decrease in income tax expense of $0.4 billion primarily due to the recognition of previously unrecognized tax benefits of $0.3 billion which included reductions to interest expense of $0.1 billion and to valuation allowances of $0.1 billion related to these previously unrecognized tax benefits; and (2) decrease in interest expense of $0.1 billion driven by the repayment of the UST Loan, Canadian Loan, and VEBA Notes in 2010.</w:t>
      </w:r>
    </w:p>
    <w:p>
      <w:pPr>
        <w:spacing w:after="0" w:line="113" w:lineRule="exact"/>
        <w:rPr>
          <w:sz w:val="20"/>
          <w:szCs w:val="20"/>
          <w:color w:val="auto"/>
        </w:rPr>
      </w:pPr>
    </w:p>
    <w:p>
      <w:pPr>
        <w:ind w:right="480" w:firstLine="228"/>
        <w:spacing w:after="0" w:line="259" w:lineRule="auto"/>
        <w:rPr>
          <w:sz w:val="20"/>
          <w:szCs w:val="20"/>
          <w:color w:val="auto"/>
        </w:rPr>
      </w:pPr>
      <w:r>
        <w:rPr>
          <w:rFonts w:ascii="Arial" w:cs="Arial" w:eastAsia="Arial" w:hAnsi="Arial"/>
          <w:sz w:val="18"/>
          <w:szCs w:val="18"/>
          <w:color w:val="auto"/>
        </w:rPr>
        <w:t>In the six months ended June 30, 2011 Net income attributable to stockholders was $0.1 billion compared to Net loss attributable to stockholders of $1.4 billion in the corresponding period in 2010, primarily due to: (1) decrease in income tax expense of $0.8 billion primarily due to a decrease in tax expense attributable to entities included in our effective tax rate calculation of $0.3 billion,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recognition of previously unrecognized tax benefits of $0.3 billion which included reductions to interest expense of $0.1 billion and to valuation allowances of</w:t>
      </w:r>
    </w:p>
    <w:p>
      <w:pPr>
        <w:spacing w:after="0" w:line="3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$0.1 billion related to these previously unrecognized tax benefits and a decrease in tax expense attributable to a taxable foreign currency gain in Venezuela of $0.1 billion recorded in the six months ended June 30, 2010; (2) a gain of $0.3 billion related to the sale of our Ally Financial preferred stock; and (3) decrease in interest expense of $0.3 billion driven by the repayment of the UST Loan, Canadian Loan, and VEBA Notes in 2010.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7" w:lineRule="exact"/>
        <w:rPr>
          <w:sz w:val="20"/>
          <w:szCs w:val="20"/>
          <w:color w:val="auto"/>
        </w:rPr>
      </w:pPr>
    </w:p>
    <w:p>
      <w:pPr>
        <w:ind w:right="80" w:firstLine="228"/>
        <w:spacing w:after="0" w:line="259" w:lineRule="auto"/>
        <w:rPr>
          <w:sz w:val="20"/>
          <w:szCs w:val="20"/>
          <w:color w:val="auto"/>
        </w:rPr>
      </w:pPr>
      <w:r>
        <w:rPr>
          <w:rFonts w:ascii="Arial" w:cs="Arial" w:eastAsia="Arial" w:hAnsi="Arial"/>
          <w:sz w:val="18"/>
          <w:szCs w:val="18"/>
          <w:color w:val="auto"/>
        </w:rPr>
        <w:t>Our liquidity plans are subject to a number of risks and uncertainties, including those described in the “Risk Factors” section of this report and our 2010 Form 10-K, some of which are outside our control. Macroeconomic conditions could limit our ability to successfully execute our business plans and, therefore, adversely affect our liquidity plans.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Liquidity Overview</w:t>
      </w:r>
    </w:p>
    <w:p>
      <w:pPr>
        <w:spacing w:after="0" w:line="171" w:lineRule="exact"/>
        <w:rPr>
          <w:sz w:val="20"/>
          <w:szCs w:val="20"/>
          <w:color w:val="auto"/>
        </w:rPr>
      </w:pPr>
    </w:p>
    <w:p>
      <w:pPr>
        <w:ind w:right="40" w:firstLine="228"/>
        <w:spacing w:after="0" w:line="284" w:lineRule="auto"/>
        <w:rPr>
          <w:sz w:val="20"/>
          <w:szCs w:val="20"/>
          <w:color w:val="auto"/>
        </w:rPr>
      </w:pPr>
      <w:r>
        <w:rPr>
          <w:rFonts w:ascii="Arial" w:cs="Arial" w:eastAsia="Arial" w:hAnsi="Arial"/>
          <w:sz w:val="16"/>
          <w:szCs w:val="16"/>
          <w:color w:val="auto"/>
        </w:rPr>
        <w:t>We believe that our current level of cash and cash equivalents, marketable securities and availability under our secured revolving credit facility will be sufficient to meet our liquidity needs. However, we expect to have substantial cash requirements going forward, which we plan to fund through available liquidity and cash flow from operations. Our known material future uses of cash include, among other possible demands: (1) pension contributions and OPEB payments;</w:t>
      </w:r>
    </w:p>
    <w:p>
      <w:pPr>
        <w:spacing w:after="0" w:line="1" w:lineRule="exact"/>
        <w:rPr>
          <w:sz w:val="20"/>
          <w:szCs w:val="20"/>
          <w:color w:val="auto"/>
        </w:rPr>
      </w:pPr>
    </w:p>
    <w:p>
      <w:pPr>
        <w:jc w:val="both"/>
        <w:ind w:right="600" w:firstLine="8"/>
        <w:spacing w:after="0" w:line="302" w:lineRule="auto"/>
        <w:tabs>
          <w:tab w:leader="none" w:pos="249" w:val="left"/>
        </w:tabs>
        <w:numPr>
          <w:ilvl w:val="0"/>
          <w:numId w:val="65"/>
        </w:numPr>
        <w:rPr>
          <w:rFonts w:ascii="Arial" w:cs="Arial" w:eastAsia="Arial" w:hAnsi="Arial"/>
          <w:sz w:val="16"/>
          <w:szCs w:val="16"/>
          <w:color w:val="auto"/>
        </w:rPr>
      </w:pPr>
      <w:r>
        <w:rPr>
          <w:rFonts w:ascii="Arial" w:cs="Arial" w:eastAsia="Arial" w:hAnsi="Arial"/>
          <w:sz w:val="16"/>
          <w:szCs w:val="16"/>
          <w:color w:val="auto"/>
        </w:rPr>
        <w:t>capital expenditures; (3) spending to implement long-term cost savings and restructuring plans such as restructuring our Opel/Vauxhall operations and potential capacity reduction programs; (4) reducing our overall debt levels; and (5) certain South American income and indirect tax-related administrative proceedings may require that we deposit funds in escrow or make payments which may range up to $1.0 billion.</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Management Initiatives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We continue to monitor and evaluate opportunities to optimize our liquidity position and capital structure in order to strengthen our balance sheet.</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Repayment of Debt and Reduction of Financial Leverage</w:t>
      </w:r>
    </w:p>
    <w:p>
      <w:pPr>
        <w:spacing w:after="0" w:line="171" w:lineRule="exact"/>
        <w:rPr>
          <w:sz w:val="20"/>
          <w:szCs w:val="20"/>
          <w:color w:val="auto"/>
        </w:rPr>
      </w:pPr>
    </w:p>
    <w:p>
      <w:pPr>
        <w:ind w:right="480" w:firstLine="228"/>
        <w:spacing w:after="0" w:line="268" w:lineRule="auto"/>
        <w:rPr>
          <w:sz w:val="20"/>
          <w:szCs w:val="20"/>
          <w:color w:val="auto"/>
        </w:rPr>
      </w:pPr>
      <w:r>
        <w:rPr>
          <w:rFonts w:ascii="Arial" w:cs="Arial" w:eastAsia="Arial" w:hAnsi="Arial"/>
          <w:sz w:val="18"/>
          <w:szCs w:val="18"/>
          <w:color w:val="auto"/>
        </w:rPr>
        <w:t>The repayment of debt remains a key strategic initiative. We continue to evaluate potential debt repayments prior to maturity. Any such repayments may negatively affect our liquidity in the short-term.</w:t>
      </w:r>
    </w:p>
    <w:p>
      <w:pPr>
        <w:spacing w:after="0" w:line="132" w:lineRule="exact"/>
        <w:rPr>
          <w:sz w:val="20"/>
          <w:szCs w:val="20"/>
          <w:color w:val="auto"/>
        </w:rPr>
      </w:pPr>
    </w:p>
    <w:p>
      <w:pPr>
        <w:ind w:right="100" w:firstLine="228"/>
        <w:spacing w:after="0" w:line="254" w:lineRule="auto"/>
        <w:rPr>
          <w:sz w:val="20"/>
          <w:szCs w:val="20"/>
          <w:color w:val="auto"/>
        </w:rPr>
      </w:pPr>
      <w:r>
        <w:rPr>
          <w:rFonts w:ascii="Arial" w:cs="Arial" w:eastAsia="Arial" w:hAnsi="Arial"/>
          <w:sz w:val="18"/>
          <w:szCs w:val="18"/>
          <w:color w:val="auto"/>
        </w:rPr>
        <w:t>In the six months ended June 30, 2011 we prepaid and retired in full debt facilities of $0.5 billion held by certain of our foreign subsidiaries, primarily in GMSA. We recorded a loss on extinguishment of these debt facilities of $10 million. Our overall debt balances have not significantly changed during the six months ended June 30, 2011 as a result of these repayments due to increases in other debt facilities which fluctuate with sales volume. In July 2011 we made additional early payments to retire debt facilities of $0.4 billion related to our operations in GMNA. We recorded a loss on extinguishment of debt of $35 million in July 2011 relating to these payments. The $0.4 billion carrying amount of these GMNA obligations was classified as Short-term debt and current portion of long-term debt at June 30, 2011.</w:t>
      </w:r>
    </w:p>
    <w:p>
      <w:pPr>
        <w:spacing w:after="0" w:line="144" w:lineRule="exact"/>
        <w:rPr>
          <w:sz w:val="20"/>
          <w:szCs w:val="20"/>
          <w:color w:val="auto"/>
        </w:rPr>
      </w:pPr>
    </w:p>
    <w:p>
      <w:pPr>
        <w:ind w:right="120" w:firstLine="228"/>
        <w:spacing w:after="0" w:line="256" w:lineRule="auto"/>
        <w:rPr>
          <w:sz w:val="20"/>
          <w:szCs w:val="20"/>
          <w:color w:val="auto"/>
        </w:rPr>
      </w:pPr>
      <w:r>
        <w:rPr>
          <w:rFonts w:ascii="Arial" w:cs="Arial" w:eastAsia="Arial" w:hAnsi="Arial"/>
          <w:sz w:val="18"/>
          <w:szCs w:val="18"/>
          <w:color w:val="auto"/>
        </w:rPr>
        <w:t>We made a voluntary contribution in January 2011 to our U.S. hourly and salaried defined benefit pension plans of 61 million shares of our common stock, valued at $2.2 billion for funding purposes at the time of contribution. The contributed shares qualified as a plan asset for funding purposes at the time of contribution and as a plan asset for accounting purposes in July 2011. This contribution was made as part of our continuing efforts to mitigate risk in our balance sheet and fully fund long-term obligations.</w:t>
      </w:r>
    </w:p>
    <w:p>
      <w:pPr>
        <w:spacing w:after="0" w:line="143" w:lineRule="exact"/>
        <w:rPr>
          <w:sz w:val="20"/>
          <w:szCs w:val="20"/>
          <w:color w:val="auto"/>
        </w:rPr>
      </w:pPr>
    </w:p>
    <w:p>
      <w:pPr>
        <w:ind w:right="240" w:firstLine="228"/>
        <w:spacing w:after="0" w:line="259" w:lineRule="auto"/>
        <w:rPr>
          <w:sz w:val="20"/>
          <w:szCs w:val="20"/>
          <w:color w:val="auto"/>
        </w:rPr>
      </w:pPr>
      <w:r>
        <w:rPr>
          <w:rFonts w:ascii="Arial" w:cs="Arial" w:eastAsia="Arial" w:hAnsi="Arial"/>
          <w:sz w:val="18"/>
          <w:szCs w:val="18"/>
          <w:color w:val="auto"/>
        </w:rPr>
        <w:t>Under wholesale financing arrangements, our U.S. dealers typically borrow money from financial institutions to fund their vehicle purchases from us. Effective January 2011 we terminated a wholesale advance agreement which provided for accelerated receipt of payments made by Ally Financial on behalf of our U.S. dealers pursuant to Ally Financial’s wholesale financing arrangements with</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dealers. Similar modifications were made in Canada and we continue to evaluate making modifications in other countries. The wholesale advance agreements cover the period for which vehicles are in transit between assembly plants and dealerships. We no longer receive payments in advance of the date vehicles purchased by dealers are scheduled to be delivered in the U.S. and Canada, resulting in an increase to our accounts receivable balance of $2.4 billion at June 30, 2011. The amount of the increase to our accounts receivable balance depends on sales volumes, seasonal fluctuations and certain other factors. We expect the increase to our accounts receivable balances to moderate slightly over the remainder of 2011 and average approximately $2.1 billion for 2011.</w:t>
      </w:r>
    </w:p>
    <w:p>
      <w:pPr>
        <w:spacing w:after="0" w:line="116" w:lineRule="exact"/>
        <w:rPr>
          <w:sz w:val="20"/>
          <w:szCs w:val="20"/>
          <w:color w:val="auto"/>
        </w:rPr>
      </w:pPr>
    </w:p>
    <w:p>
      <w:pPr>
        <w:ind w:right="620" w:firstLine="228"/>
        <w:spacing w:after="0" w:line="268" w:lineRule="auto"/>
        <w:rPr>
          <w:sz w:val="20"/>
          <w:szCs w:val="20"/>
          <w:color w:val="auto"/>
        </w:rPr>
      </w:pPr>
      <w:r>
        <w:rPr>
          <w:rFonts w:ascii="Arial" w:cs="Arial" w:eastAsia="Arial" w:hAnsi="Arial"/>
          <w:sz w:val="18"/>
          <w:szCs w:val="18"/>
          <w:color w:val="auto"/>
        </w:rPr>
        <w:t>In January 2011 we withdrew our application for loans available under Section 136 of the Energy Independence Security Act of 2007. This decision is consistent with our stated goal to minimize our outstanding debt.</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Reduction in Non-core Assets and Strategic Alliances</w:t>
      </w:r>
    </w:p>
    <w:p>
      <w:pPr>
        <w:spacing w:after="0" w:line="171" w:lineRule="exact"/>
        <w:rPr>
          <w:sz w:val="20"/>
          <w:szCs w:val="20"/>
          <w:color w:val="auto"/>
        </w:rPr>
      </w:pPr>
    </w:p>
    <w:p>
      <w:pPr>
        <w:ind w:right="20" w:firstLine="228"/>
        <w:spacing w:after="0" w:line="256" w:lineRule="auto"/>
        <w:rPr>
          <w:sz w:val="20"/>
          <w:szCs w:val="20"/>
          <w:color w:val="auto"/>
        </w:rPr>
      </w:pPr>
      <w:r>
        <w:rPr>
          <w:rFonts w:ascii="Arial" w:cs="Arial" w:eastAsia="Arial" w:hAnsi="Arial"/>
          <w:sz w:val="18"/>
          <w:szCs w:val="18"/>
          <w:color w:val="auto"/>
        </w:rPr>
        <w:t>In March 2011 we sold our Class A Membership Interests in New Delphi to New Delphi for $3.8 billion and recognized a gain of $1.6 billion. We had acquired our stake in October 2009 in conjunction with the creation of New Delphi. Also in March 2011 we sold our Ally Financial preferred stock for $1.0 billion and recognized a gain of $0.3 billion. Proceeds from these asset sales were used to strengthen liquidity and will be used for general corporate purposes. We continue to monitor and explore the sale of other non-core assets.</w:t>
      </w:r>
    </w:p>
    <w:p>
      <w:pPr>
        <w:spacing w:after="0" w:line="143" w:lineRule="exact"/>
        <w:rPr>
          <w:sz w:val="20"/>
          <w:szCs w:val="20"/>
          <w:color w:val="auto"/>
        </w:rPr>
      </w:pPr>
    </w:p>
    <w:p>
      <w:pPr>
        <w:ind w:right="260" w:firstLine="228"/>
        <w:spacing w:after="0" w:line="268" w:lineRule="auto"/>
        <w:rPr>
          <w:sz w:val="20"/>
          <w:szCs w:val="20"/>
          <w:color w:val="auto"/>
        </w:rPr>
      </w:pPr>
      <w:r>
        <w:rPr>
          <w:rFonts w:ascii="Arial" w:cs="Arial" w:eastAsia="Arial" w:hAnsi="Arial"/>
          <w:sz w:val="18"/>
          <w:szCs w:val="18"/>
          <w:color w:val="auto"/>
        </w:rPr>
        <w:t>From time to time we consider the possibility of acquisitions, dispositions and strategic alliances that we believe would generate significant advantages and substantially strengthen our business.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Available Liquidity</w:t>
      </w:r>
    </w:p>
    <w:p>
      <w:pPr>
        <w:spacing w:after="0" w:line="171" w:lineRule="exact"/>
        <w:rPr>
          <w:sz w:val="20"/>
          <w:szCs w:val="20"/>
          <w:color w:val="auto"/>
        </w:rPr>
      </w:pPr>
    </w:p>
    <w:p>
      <w:pPr>
        <w:jc w:val="both"/>
        <w:ind w:right="20" w:firstLine="228"/>
        <w:spacing w:after="0" w:line="306" w:lineRule="auto"/>
        <w:rPr>
          <w:sz w:val="20"/>
          <w:szCs w:val="20"/>
          <w:color w:val="auto"/>
        </w:rPr>
      </w:pPr>
      <w:r>
        <w:rPr>
          <w:rFonts w:ascii="Arial" w:cs="Arial" w:eastAsia="Arial" w:hAnsi="Arial"/>
          <w:sz w:val="16"/>
          <w:szCs w:val="16"/>
          <w:color w:val="auto"/>
        </w:rPr>
        <w:t>Available liquidity includes cash, cash equivalents and marketable securities balances. At June 30, 2011 our available liquidity was $32.8 billion, not including funds available under credit facilities of $5.9 billion or in the HCT escrow account of $1.0 billion. The amount of available liquidity is subject to intra-month and seasonal fluctuations and includes balances held by various business units and subsidiaries worldwide that are needed to fund their operations.</w:t>
      </w:r>
    </w:p>
    <w:p>
      <w:pPr>
        <w:spacing w:after="0" w:line="107" w:lineRule="exact"/>
        <w:rPr>
          <w:sz w:val="20"/>
          <w:szCs w:val="20"/>
          <w:color w:val="auto"/>
        </w:rPr>
      </w:pPr>
    </w:p>
    <w:p>
      <w:pPr>
        <w:ind w:firstLine="228"/>
        <w:spacing w:after="0" w:line="253" w:lineRule="auto"/>
        <w:rPr>
          <w:sz w:val="20"/>
          <w:szCs w:val="20"/>
          <w:color w:val="auto"/>
        </w:rPr>
      </w:pPr>
      <w:r>
        <w:rPr>
          <w:rFonts w:ascii="Arial" w:cs="Arial" w:eastAsia="Arial" w:hAnsi="Arial"/>
          <w:sz w:val="18"/>
          <w:szCs w:val="18"/>
          <w:color w:val="auto"/>
        </w:rPr>
        <w:t>We manage our liquidity primarily at our U.S. and international treasury centers as well as at certain of our significant consolidated overseas subsidiaries. Our cash equivalents and marketable securities balances primarily include investments in U.S. government and agency obligations, time deposits and certificates of deposits, commercial paper, corporate debt securities and foreign government securities, and is primarily denominated in U.S. dollars. We maintain cash balances in certain foreign currencies to fund future payments on foreign currency denominated obligations thereby reducing a portion of the related foreign currency exposure. A portion of our total liquidity includes amounts deemed indefinitely reinvested in our foreign subsidiaries. We have used and will continue to use other methods, including inter-company loans, to utilize these funds across our global operations as needed. The following table summarizes our liquidity (dollars in millions):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June 30, 2011</w:t>
            </w:r>
          </w:p>
        </w:tc>
        <w:tc>
          <w:tcPr>
            <w:tcW w:w="36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1"/>
              </w:rPr>
              <w:t>December 31, 2010</w:t>
            </w:r>
          </w:p>
        </w:tc>
      </w:tr>
      <w:tr>
        <w:trPr>
          <w:trHeight w:val="210"/>
        </w:trPr>
        <w:tc>
          <w:tcPr>
            <w:tcW w:w="20" w:type="dxa"/>
            <w:vAlign w:val="bottom"/>
          </w:tcPr>
          <w:p>
            <w:pPr>
              <w:spacing w:after="0"/>
              <w:rPr>
                <w:sz w:val="18"/>
                <w:szCs w:val="18"/>
                <w:color w:val="auto"/>
              </w:rPr>
            </w:pPr>
          </w:p>
        </w:tc>
        <w:tc>
          <w:tcPr>
            <w:tcW w:w="61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26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20,471</w:t>
            </w: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21,061</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100" w:type="dxa"/>
            <w:vAlign w:val="bottom"/>
            <w:gridSpan w:val="2"/>
          </w:tcPr>
          <w:p>
            <w:pPr>
              <w:spacing w:after="0"/>
              <w:rPr>
                <w:sz w:val="20"/>
                <w:szCs w:val="20"/>
                <w:color w:val="auto"/>
              </w:rPr>
            </w:pPr>
            <w:r>
              <w:rPr>
                <w:rFonts w:ascii="Arial" w:cs="Arial" w:eastAsia="Arial" w:hAnsi="Arial"/>
                <w:sz w:val="18"/>
                <w:szCs w:val="18"/>
                <w:color w:val="auto"/>
              </w:rPr>
              <w:t>Marketable securities</w:t>
            </w:r>
          </w:p>
        </w:tc>
        <w:tc>
          <w:tcPr>
            <w:tcW w:w="2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12,298</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Available liquidity</w:t>
            </w:r>
          </w:p>
        </w:tc>
        <w:tc>
          <w:tcPr>
            <w:tcW w:w="2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32,769</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100" w:type="dxa"/>
            <w:vAlign w:val="bottom"/>
            <w:gridSpan w:val="2"/>
          </w:tcPr>
          <w:p>
            <w:pPr>
              <w:spacing w:after="0"/>
              <w:rPr>
                <w:sz w:val="20"/>
                <w:szCs w:val="20"/>
                <w:color w:val="auto"/>
              </w:rPr>
            </w:pPr>
            <w:r>
              <w:rPr>
                <w:rFonts w:ascii="Arial" w:cs="Arial" w:eastAsia="Arial" w:hAnsi="Arial"/>
                <w:sz w:val="18"/>
                <w:szCs w:val="18"/>
                <w:color w:val="auto"/>
              </w:rPr>
              <w:t>Available under credit facilities</w:t>
            </w:r>
          </w:p>
        </w:tc>
        <w:tc>
          <w:tcPr>
            <w:tcW w:w="2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5,897</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available liquidity</w:t>
            </w:r>
          </w:p>
        </w:tc>
        <w:tc>
          <w:tcPr>
            <w:tcW w:w="2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38,666</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100" w:type="dxa"/>
            <w:vAlign w:val="bottom"/>
            <w:gridSpan w:val="2"/>
          </w:tcPr>
          <w:p>
            <w:pPr>
              <w:spacing w:after="0"/>
              <w:rPr>
                <w:sz w:val="20"/>
                <w:szCs w:val="20"/>
                <w:color w:val="auto"/>
              </w:rPr>
            </w:pPr>
            <w:r>
              <w:rPr>
                <w:rFonts w:ascii="Arial" w:cs="Arial" w:eastAsia="Arial" w:hAnsi="Arial"/>
                <w:sz w:val="18"/>
                <w:szCs w:val="18"/>
                <w:color w:val="auto"/>
              </w:rPr>
              <w:t>HCT escrow account (a)</w:t>
            </w:r>
          </w:p>
        </w:tc>
        <w:tc>
          <w:tcPr>
            <w:tcW w:w="2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liquidity including the HCT escrow account</w:t>
            </w:r>
          </w:p>
        </w:tc>
        <w:tc>
          <w:tcPr>
            <w:tcW w:w="28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39,706</w:t>
            </w:r>
          </w:p>
        </w:tc>
        <w:tc>
          <w:tcPr>
            <w:tcW w:w="7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33,543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96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Classified as restricted cash and marketable securities which is recorded in Other current assets and deferred income taxes.</w:t>
      </w:r>
    </w:p>
    <w:p>
      <w:pPr>
        <w:spacing w:after="0" w:line="171" w:lineRule="exact"/>
        <w:rPr>
          <w:sz w:val="20"/>
          <w:szCs w:val="20"/>
          <w:color w:val="auto"/>
        </w:rPr>
      </w:pPr>
    </w:p>
    <w:p>
      <w:pPr>
        <w:ind w:right="360" w:firstLine="228"/>
        <w:spacing w:after="0" w:line="268" w:lineRule="auto"/>
        <w:rPr>
          <w:sz w:val="20"/>
          <w:szCs w:val="20"/>
          <w:color w:val="auto"/>
        </w:rPr>
      </w:pPr>
      <w:r>
        <w:rPr>
          <w:rFonts w:ascii="Arial" w:cs="Arial" w:eastAsia="Arial" w:hAnsi="Arial"/>
          <w:sz w:val="18"/>
          <w:szCs w:val="18"/>
          <w:color w:val="auto"/>
        </w:rPr>
        <w:t>Total available liquidity increased by $6.1 billion in the six months ended June 30, 2011 primarily due to positive cash flows from operating activities and proceeds from the sale of non-core assets partially offset by planned capital expenditures.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71" w:lineRule="exact"/>
        <w:rPr>
          <w:sz w:val="20"/>
          <w:szCs w:val="20"/>
          <w:color w:val="auto"/>
        </w:rPr>
      </w:pPr>
    </w:p>
    <w:p>
      <w:pPr>
        <w:ind w:right="220" w:firstLine="228"/>
        <w:spacing w:after="0" w:line="259" w:lineRule="auto"/>
        <w:rPr>
          <w:sz w:val="20"/>
          <w:szCs w:val="20"/>
          <w:color w:val="auto"/>
        </w:rPr>
      </w:pPr>
      <w:r>
        <w:rPr>
          <w:rFonts w:ascii="Arial" w:cs="Arial" w:eastAsia="Arial" w:hAnsi="Arial"/>
          <w:sz w:val="18"/>
          <w:szCs w:val="18"/>
          <w:color w:val="auto"/>
        </w:rPr>
        <w:t>We use credit facilities as a mechanism to provide additional flexibility in managing our global liquidity. Our primary borrowing capacity under these credit facilities comes from our $5.0 billion secured revolving credit facility. The balance of our credit facilities are geographically dispersed across all regions. The following tables summarize our committed and uncommitted credit facilities (dollars in millions):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87"/>
              </w:rPr>
              <w:t>Amounts Available</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0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Total Credit Facilities</w:t>
            </w:r>
          </w:p>
        </w:tc>
        <w:tc>
          <w:tcPr>
            <w:tcW w:w="240" w:type="dxa"/>
            <w:vAlign w:val="bottom"/>
          </w:tcPr>
          <w:p>
            <w:pPr>
              <w:spacing w:after="0"/>
              <w:rPr>
                <w:sz w:val="14"/>
                <w:szCs w:val="14"/>
                <w:color w:val="auto"/>
              </w:rPr>
            </w:pPr>
          </w:p>
        </w:tc>
        <w:tc>
          <w:tcPr>
            <w:tcW w:w="190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0"/>
              </w:rPr>
              <w:t>Under Credit Facilities</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6080" w:type="dxa"/>
            <w:vAlign w:val="bottom"/>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June 30,</w:t>
            </w:r>
          </w:p>
        </w:tc>
        <w:tc>
          <w:tcPr>
            <w:tcW w:w="5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December 31,</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Borders>
              <w:top w:val="single" w:sz="8" w:color="auto"/>
            </w:tcBorders>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5"/>
              </w:rPr>
              <w:t>June 30,</w:t>
            </w:r>
          </w:p>
        </w:tc>
        <w:tc>
          <w:tcPr>
            <w:tcW w:w="2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3"/>
              </w:rPr>
              <w:t>2011</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4"/>
                <w:szCs w:val="14"/>
                <w:color w:val="auto"/>
              </w:rPr>
            </w:pPr>
          </w:p>
        </w:tc>
        <w:tc>
          <w:tcPr>
            <w:tcW w:w="740" w:type="dxa"/>
            <w:vAlign w:val="bottom"/>
            <w:gridSpan w:val="2"/>
          </w:tcPr>
          <w:p>
            <w:pPr>
              <w:jc w:val="center"/>
              <w:ind w:left="177"/>
              <w:spacing w:after="0"/>
              <w:rPr>
                <w:sz w:val="20"/>
                <w:szCs w:val="20"/>
                <w:color w:val="auto"/>
              </w:rPr>
            </w:pPr>
            <w:r>
              <w:rPr>
                <w:rFonts w:ascii="Arial" w:cs="Arial" w:eastAsia="Arial" w:hAnsi="Arial"/>
                <w:sz w:val="14"/>
                <w:szCs w:val="14"/>
                <w:b w:val="1"/>
                <w:bCs w:val="1"/>
                <w:color w:val="auto"/>
                <w:w w:val="89"/>
              </w:rPr>
              <w:t>2011</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2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Credit Facilities</w:t>
            </w:r>
          </w:p>
        </w:tc>
        <w:tc>
          <w:tcPr>
            <w:tcW w:w="5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Committed</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$5,685</w:t>
            </w:r>
          </w:p>
        </w:tc>
        <w:tc>
          <w:tcPr>
            <w:tcW w:w="6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6,142</w:t>
            </w: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$5,480</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5,475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Uncommitted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490</w:t>
            </w: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417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40" w:type="dxa"/>
            <w:vAlign w:val="bottom"/>
            <w:gridSpan w:val="2"/>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6,170</w:t>
            </w:r>
          </w:p>
        </w:tc>
        <w:tc>
          <w:tcPr>
            <w:tcW w:w="6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6,632</w:t>
            </w:r>
          </w:p>
        </w:tc>
        <w:tc>
          <w:tcPr>
            <w:tcW w:w="1000" w:type="dxa"/>
            <w:vAlign w:val="bottom"/>
            <w:gridSpan w:val="3"/>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5,897</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5,919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116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87"/>
              </w:rPr>
              <w:t>Amounts Available</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0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Total Credit Facilities</w:t>
            </w:r>
          </w:p>
        </w:tc>
        <w:tc>
          <w:tcPr>
            <w:tcW w:w="240" w:type="dxa"/>
            <w:vAlign w:val="bottom"/>
          </w:tcPr>
          <w:p>
            <w:pPr>
              <w:spacing w:after="0"/>
              <w:rPr>
                <w:sz w:val="14"/>
                <w:szCs w:val="14"/>
                <w:color w:val="auto"/>
              </w:rPr>
            </w:pPr>
          </w:p>
        </w:tc>
        <w:tc>
          <w:tcPr>
            <w:tcW w:w="190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0"/>
              </w:rPr>
              <w:t>Under Credit Facilities</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6080" w:type="dxa"/>
            <w:vAlign w:val="bottom"/>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June 30,</w:t>
            </w:r>
          </w:p>
        </w:tc>
        <w:tc>
          <w:tcPr>
            <w:tcW w:w="5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December 31,</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Borders>
              <w:top w:val="single" w:sz="8" w:color="auto"/>
            </w:tcBorders>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5"/>
              </w:rPr>
              <w:t>June 30,</w:t>
            </w:r>
          </w:p>
        </w:tc>
        <w:tc>
          <w:tcPr>
            <w:tcW w:w="2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3"/>
              </w:rPr>
              <w:t>2011</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4"/>
                <w:szCs w:val="14"/>
                <w:color w:val="auto"/>
              </w:rPr>
            </w:pPr>
          </w:p>
        </w:tc>
        <w:tc>
          <w:tcPr>
            <w:tcW w:w="740" w:type="dxa"/>
            <w:vAlign w:val="bottom"/>
            <w:gridSpan w:val="2"/>
          </w:tcPr>
          <w:p>
            <w:pPr>
              <w:jc w:val="center"/>
              <w:ind w:left="177"/>
              <w:spacing w:after="0"/>
              <w:rPr>
                <w:sz w:val="20"/>
                <w:szCs w:val="20"/>
                <w:color w:val="auto"/>
              </w:rPr>
            </w:pPr>
            <w:r>
              <w:rPr>
                <w:rFonts w:ascii="Arial" w:cs="Arial" w:eastAsia="Arial" w:hAnsi="Arial"/>
                <w:sz w:val="14"/>
                <w:szCs w:val="14"/>
                <w:b w:val="1"/>
                <w:bCs w:val="1"/>
                <w:color w:val="auto"/>
                <w:w w:val="89"/>
              </w:rPr>
              <w:t>2011</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2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Credit Facilities</w:t>
            </w:r>
          </w:p>
        </w:tc>
        <w:tc>
          <w:tcPr>
            <w:tcW w:w="5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Secured Revolving Credit Facility</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$5,000</w:t>
            </w:r>
          </w:p>
        </w:tc>
        <w:tc>
          <w:tcPr>
            <w:tcW w:w="6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5,000</w:t>
            </w: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$5,000</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Brazil</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466</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GM Hong Kong (a)</w:t>
            </w:r>
          </w:p>
        </w:tc>
        <w:tc>
          <w:tcPr>
            <w:tcW w:w="500" w:type="dxa"/>
            <w:vAlign w:val="bottom"/>
          </w:tcPr>
          <w:p>
            <w:pPr>
              <w:jc w:val="right"/>
              <w:spacing w:after="0"/>
              <w:rPr>
                <w:sz w:val="20"/>
                <w:szCs w:val="20"/>
                <w:color w:val="auto"/>
              </w:rPr>
            </w:pPr>
            <w:r>
              <w:rPr>
                <w:rFonts w:ascii="Arial" w:cs="Arial" w:eastAsia="Arial" w:hAnsi="Arial"/>
                <w:sz w:val="18"/>
                <w:szCs w:val="18"/>
                <w:color w:val="auto"/>
              </w:rPr>
              <w:t>400</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400</w:t>
            </w: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370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(b)</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766</w:t>
            </w: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527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40" w:type="dxa"/>
            <w:vAlign w:val="bottom"/>
            <w:gridSpan w:val="2"/>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6,170</w:t>
            </w:r>
          </w:p>
        </w:tc>
        <w:tc>
          <w:tcPr>
            <w:tcW w:w="6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6,632</w:t>
            </w:r>
          </w:p>
        </w:tc>
        <w:tc>
          <w:tcPr>
            <w:tcW w:w="1000" w:type="dxa"/>
            <w:vAlign w:val="bottom"/>
            <w:gridSpan w:val="3"/>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5,897</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5,919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0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68"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Includes credit facilities of $200 million which we terminated in July 2011 following the repayment of $30 million which was outstanding under the facility at June 30, 2011.</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Consists of credit facilities available primarily at our foreign subsidiaries that are not individually significant.</w:t>
      </w:r>
    </w:p>
    <w:p>
      <w:pPr>
        <w:spacing w:after="0" w:line="171" w:lineRule="exact"/>
        <w:rPr>
          <w:sz w:val="20"/>
          <w:szCs w:val="20"/>
          <w:color w:val="auto"/>
        </w:rPr>
      </w:pPr>
    </w:p>
    <w:p>
      <w:pPr>
        <w:ind w:right="640" w:firstLine="228"/>
        <w:spacing w:after="0" w:line="268" w:lineRule="auto"/>
        <w:rPr>
          <w:sz w:val="20"/>
          <w:szCs w:val="20"/>
          <w:color w:val="auto"/>
        </w:rPr>
      </w:pPr>
      <w:r>
        <w:rPr>
          <w:rFonts w:ascii="Arial" w:cs="Arial" w:eastAsia="Arial" w:hAnsi="Arial"/>
          <w:sz w:val="18"/>
          <w:szCs w:val="18"/>
          <w:color w:val="auto"/>
        </w:rPr>
        <w:t>At June 30, 2011 and December 31, 2010 our secured revolving credit facility comprised $5.0 billion of the amounts available under committed credit facilities and other committed credit facilities had $480 million and $475 million available.</w:t>
      </w:r>
    </w:p>
    <w:p>
      <w:pPr>
        <w:spacing w:after="0" w:line="132" w:lineRule="exact"/>
        <w:rPr>
          <w:sz w:val="20"/>
          <w:szCs w:val="20"/>
          <w:color w:val="auto"/>
        </w:rPr>
      </w:pPr>
    </w:p>
    <w:p>
      <w:pPr>
        <w:ind w:firstLine="228"/>
        <w:spacing w:after="0" w:line="288" w:lineRule="auto"/>
        <w:rPr>
          <w:sz w:val="20"/>
          <w:szCs w:val="20"/>
          <w:color w:val="auto"/>
        </w:rPr>
      </w:pPr>
      <w:r>
        <w:rPr>
          <w:rFonts w:ascii="Arial" w:cs="Arial" w:eastAsia="Arial" w:hAnsi="Arial"/>
          <w:sz w:val="16"/>
          <w:szCs w:val="16"/>
          <w:color w:val="auto"/>
        </w:rPr>
        <w:t>While we do not believe that we will draw on the secured revolving credit facility to fund operating activities, the facility provides additional liquidity and financing flexibility. Availability under the secured revolving credit facility is subject to borrowing base restrictions. Our obligations under the secured revolving credit facility are guaranteed by certain of our domestic subsidiaries and secured by a substantial portion of our domestic assets, including accounts receivable, inventory, property, plants, and equipment, real estate, intercompany loans, intellectual property, trademarks and direct investments in Ally Financial. Obligations are also secured by the equity interests in certain of our direct domestic subsidiaries, as well as up to 65% of the voting equity interests in certain of our direct foreign subsidiaries, in each case, subject to certain exceptions. The collateral securing the secured revolving credit facility does not include, among other assets, cash, cash equivalents, marketable securities, as well as our investment in GM Financial and our equity interests in our China JVs and in GM Korea. If we receive an investment grade corporate rating from two or more of the credit rating agencies (Fitch, Moody’s and S&amp;P), we may no longer have to post collateral under the terms of the facility.</w:t>
      </w:r>
    </w:p>
    <w:p>
      <w:pPr>
        <w:spacing w:after="0" w:line="120" w:lineRule="exact"/>
        <w:rPr>
          <w:sz w:val="20"/>
          <w:szCs w:val="20"/>
          <w:color w:val="auto"/>
        </w:rPr>
      </w:pPr>
    </w:p>
    <w:p>
      <w:pPr>
        <w:ind w:right="240" w:firstLine="228"/>
        <w:spacing w:after="0" w:line="259" w:lineRule="auto"/>
        <w:rPr>
          <w:sz w:val="20"/>
          <w:szCs w:val="20"/>
          <w:color w:val="auto"/>
        </w:rPr>
      </w:pPr>
      <w:r>
        <w:rPr>
          <w:rFonts w:ascii="Arial" w:cs="Arial" w:eastAsia="Arial" w:hAnsi="Arial"/>
          <w:sz w:val="18"/>
          <w:szCs w:val="18"/>
          <w:color w:val="auto"/>
        </w:rPr>
        <w:t>Uncommitted credit facilities include lines of credit which are available to us, but under which the lenders have no legal obligation to provide funding upon our request. We and our subsidiaries use credit facilities to fund working capital needs, product programs, facilities development and other general corporate purposes.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Cash and Marketable Securities</w:t>
      </w:r>
    </w:p>
    <w:p>
      <w:pPr>
        <w:spacing w:after="0" w:line="171" w:lineRule="exact"/>
        <w:rPr>
          <w:sz w:val="20"/>
          <w:szCs w:val="20"/>
          <w:color w:val="auto"/>
        </w:rPr>
      </w:pPr>
    </w:p>
    <w:p>
      <w:pPr>
        <w:ind w:right="20" w:firstLine="228"/>
        <w:spacing w:after="0" w:line="332" w:lineRule="auto"/>
        <w:rPr>
          <w:sz w:val="20"/>
          <w:szCs w:val="20"/>
          <w:color w:val="auto"/>
        </w:rPr>
      </w:pPr>
      <w:r>
        <w:rPr>
          <w:rFonts w:ascii="Arial" w:cs="Arial" w:eastAsia="Arial" w:hAnsi="Arial"/>
          <w:sz w:val="16"/>
          <w:szCs w:val="16"/>
          <w:color w:val="auto"/>
        </w:rPr>
        <w:t>Pursuant to an agreement among GMCL, Export Development of Canada and an escrow agent we had $1.0 billion remaining in an escrow account at June 30, 2011 to fund certain of GMCL’s healthcare obligations pending the satisfaction of certain preconditions which have not yet been achieved.</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Flow</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Activities</w:t>
      </w:r>
    </w:p>
    <w:p>
      <w:pPr>
        <w:spacing w:after="0" w:line="171" w:lineRule="exact"/>
        <w:rPr>
          <w:sz w:val="20"/>
          <w:szCs w:val="20"/>
          <w:color w:val="auto"/>
        </w:rPr>
      </w:pPr>
    </w:p>
    <w:p>
      <w:pPr>
        <w:ind w:right="20" w:firstLine="228"/>
        <w:spacing w:after="0" w:line="290" w:lineRule="auto"/>
        <w:rPr>
          <w:sz w:val="20"/>
          <w:szCs w:val="20"/>
          <w:color w:val="auto"/>
        </w:rPr>
      </w:pPr>
      <w:r>
        <w:rPr>
          <w:rFonts w:ascii="Arial" w:cs="Arial" w:eastAsia="Arial" w:hAnsi="Arial"/>
          <w:sz w:val="16"/>
          <w:szCs w:val="16"/>
          <w:color w:val="auto"/>
        </w:rPr>
        <w:t>In the six months ended June 30, 2011 we had positive cash flows from operating activities of $4.4 billion primarily due to: (1) net income of $6.2 billion which included non-cash charges of $3.7 billion resulting from depreciation, impairment and amortization expense (including amortization of debt issuance costs and discounts) and which also included gains of $1.9 billion related to the sale of our Class A Membership Interests in New Delphi and our Ally Financial preferred stock; and (2) net dividends received of $1.0 billion primarily related to our China JVs; partially offset by (3) unfavorable changes in working capital of $2.8 billion primarily driven by an increase in accounts receivable related to the termination of the wholesale advance agreements and an increase in inventory partially offset by increases in accounts payable balances related to increased production; (4) unfavorable changes in other operating assets of $0.9 billion; and (5) pension contributions and OPEB payments of $0.8 billion.</w:t>
      </w:r>
    </w:p>
    <w:p>
      <w:pPr>
        <w:spacing w:after="0" w:line="118" w:lineRule="exact"/>
        <w:rPr>
          <w:sz w:val="20"/>
          <w:szCs w:val="20"/>
          <w:color w:val="auto"/>
        </w:rPr>
      </w:pPr>
    </w:p>
    <w:p>
      <w:pPr>
        <w:ind w:right="40" w:firstLine="228"/>
        <w:spacing w:after="0" w:line="294" w:lineRule="auto"/>
        <w:rPr>
          <w:sz w:val="20"/>
          <w:szCs w:val="20"/>
          <w:color w:val="auto"/>
        </w:rPr>
      </w:pPr>
      <w:r>
        <w:rPr>
          <w:rFonts w:ascii="Arial" w:cs="Arial" w:eastAsia="Arial" w:hAnsi="Arial"/>
          <w:sz w:val="16"/>
          <w:szCs w:val="16"/>
          <w:color w:val="auto"/>
        </w:rPr>
        <w:t>In the six months ended June 30, 2010 we had positive cash flows from operating activities of $5.7 billion primarily due to: (1) net income of $2.8 billion, which included non-cash charges of $3.5 billion resulting from depreciation, impairment and amortization expense (including amortization of debt issuance costs and discounts); (2) increase in income tax related balances of $0.6 billion; partially offset by (3) pension contributions and OPEB cash payments of $0.9 billion; and (4) unfavorable changes in working capital of $0.8 billion. The unfavorable changes in working capital were related to increases in accounts receivables and inventories, partially offset by an increase in accounts payable as a result of increased production.</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Investing Activities</w:t>
      </w:r>
    </w:p>
    <w:p>
      <w:pPr>
        <w:spacing w:after="0" w:line="171" w:lineRule="exact"/>
        <w:rPr>
          <w:sz w:val="20"/>
          <w:szCs w:val="20"/>
          <w:color w:val="auto"/>
        </w:rPr>
      </w:pPr>
    </w:p>
    <w:p>
      <w:pPr>
        <w:ind w:right="60" w:firstLine="228"/>
        <w:spacing w:after="0" w:line="306" w:lineRule="auto"/>
        <w:rPr>
          <w:sz w:val="20"/>
          <w:szCs w:val="20"/>
          <w:color w:val="auto"/>
        </w:rPr>
      </w:pPr>
      <w:r>
        <w:rPr>
          <w:rFonts w:ascii="Arial" w:cs="Arial" w:eastAsia="Arial" w:hAnsi="Arial"/>
          <w:sz w:val="16"/>
          <w:szCs w:val="16"/>
          <w:color w:val="auto"/>
        </w:rPr>
        <w:t>In the six months ended June 30, 2011 we had negative cash flows from investing activities of $4.2 billion primarily due to: (1) net investments in marketable securities of $6.7 billion; (2) capital expenditures of $2.5 billion; partially offset by (3) proceeds received from the sale of our Class A Membership Interests in New Delphi and our Ally Financial preferred stock of $4.8 billion; and (4) a net decrease in restricted cash and marketable securities of $0.2 billion.</w:t>
      </w:r>
    </w:p>
    <w:p>
      <w:pPr>
        <w:spacing w:after="0" w:line="107" w:lineRule="exact"/>
        <w:rPr>
          <w:sz w:val="20"/>
          <w:szCs w:val="20"/>
          <w:color w:val="auto"/>
        </w:rPr>
      </w:pPr>
    </w:p>
    <w:p>
      <w:pPr>
        <w:ind w:right="100" w:firstLine="228"/>
        <w:spacing w:after="0" w:line="286" w:lineRule="auto"/>
        <w:rPr>
          <w:sz w:val="20"/>
          <w:szCs w:val="20"/>
          <w:color w:val="auto"/>
        </w:rPr>
      </w:pPr>
      <w:r>
        <w:rPr>
          <w:rFonts w:ascii="Arial" w:cs="Arial" w:eastAsia="Arial" w:hAnsi="Arial"/>
          <w:sz w:val="16"/>
          <w:szCs w:val="16"/>
          <w:color w:val="auto"/>
        </w:rPr>
        <w:t>In the six months ended June 30, 2010 we had positive cash flows from investing activities of $6.4 billion primarily due to: (1) net decrease in restricted cash and marketable securities of $12.6 billion primarily due to withdrawals from the escrow account related to the secured credit agreement with the UST;</w:t>
      </w:r>
    </w:p>
    <w:p>
      <w:pPr>
        <w:ind w:right="160" w:firstLine="8"/>
        <w:spacing w:after="0" w:line="261" w:lineRule="auto"/>
        <w:tabs>
          <w:tab w:leader="none" w:pos="249" w:val="left"/>
        </w:tabs>
        <w:numPr>
          <w:ilvl w:val="0"/>
          <w:numId w:val="68"/>
        </w:numPr>
        <w:rPr>
          <w:rFonts w:ascii="Arial" w:cs="Arial" w:eastAsia="Arial" w:hAnsi="Arial"/>
          <w:sz w:val="18"/>
          <w:szCs w:val="18"/>
          <w:color w:val="auto"/>
        </w:rPr>
      </w:pPr>
      <w:r>
        <w:rPr>
          <w:rFonts w:ascii="Arial" w:cs="Arial" w:eastAsia="Arial" w:hAnsi="Arial"/>
          <w:sz w:val="18"/>
          <w:szCs w:val="18"/>
          <w:color w:val="auto"/>
        </w:rPr>
        <w:t>liquidations of operating leases of $0.3 billion; partially offset by (3) net investments in marketable securities of $4.6 billion due to investments in securities with maturities greater than 90 days; and (4) capital expenditures of $1.9 billion.</w:t>
      </w:r>
    </w:p>
    <w:p>
      <w:pPr>
        <w:spacing w:after="0" w:line="13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 Activities</w:t>
      </w:r>
    </w:p>
    <w:p>
      <w:pPr>
        <w:spacing w:after="0" w:line="171" w:lineRule="exact"/>
        <w:rPr>
          <w:sz w:val="20"/>
          <w:szCs w:val="20"/>
          <w:color w:val="auto"/>
        </w:rPr>
      </w:pPr>
    </w:p>
    <w:p>
      <w:pPr>
        <w:ind w:right="100" w:firstLine="228"/>
        <w:spacing w:after="0" w:line="298" w:lineRule="auto"/>
        <w:rPr>
          <w:sz w:val="20"/>
          <w:szCs w:val="20"/>
          <w:color w:val="auto"/>
        </w:rPr>
      </w:pPr>
      <w:r>
        <w:rPr>
          <w:rFonts w:ascii="Arial" w:cs="Arial" w:eastAsia="Arial" w:hAnsi="Arial"/>
          <w:sz w:val="16"/>
          <w:szCs w:val="16"/>
          <w:color w:val="auto"/>
        </w:rPr>
        <w:t>In the six months ended June 30, 2011 we had negative cash flows from financing activities of $0.9 billion primarily related to: (1) dividend payments on our Series A and Series B Preferred Stock of $0.4 billion; (2) net debt payments of $0.4 billion primarily related to our early payments to retire debt facilities in GMSA partially offset by increases in other debt facility balances; and (3) payment to acquire additional interest in GM Korea of $0.1 billion. Refer to Note 3 to the condensed consolidated financial statements for additional information on the acquisition of additional interest in GM Korea.</w:t>
      </w:r>
    </w:p>
    <w:p>
      <w:pPr>
        <w:spacing w:after="0" w:line="113" w:lineRule="exact"/>
        <w:rPr>
          <w:sz w:val="20"/>
          <w:szCs w:val="20"/>
          <w:color w:val="auto"/>
        </w:rPr>
      </w:pPr>
    </w:p>
    <w:p>
      <w:pPr>
        <w:ind w:firstLine="228"/>
        <w:spacing w:after="0" w:line="306" w:lineRule="auto"/>
        <w:rPr>
          <w:sz w:val="20"/>
          <w:szCs w:val="20"/>
          <w:color w:val="auto"/>
        </w:rPr>
      </w:pPr>
      <w:r>
        <w:rPr>
          <w:rFonts w:ascii="Arial" w:cs="Arial" w:eastAsia="Arial" w:hAnsi="Arial"/>
          <w:sz w:val="16"/>
          <w:szCs w:val="16"/>
          <w:color w:val="auto"/>
        </w:rPr>
        <w:t>In the six months ended June 30, 2010 we had negative cash flows from financing activities of $7.8 billion primarily due to: (1) repayments on the UST Loans of $5.7 billion, Canadian Loan of $1.3 billion and the program announced by the UST in March 2009 to provide financial assistance to automotive suppliers of $0.2 billion; (2) dividend payments on our Series A Preferred Stock of $0.4 billion; and (3) a net decrease in short-term debt of $0.2 billion.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80"/>
          </w:cols>
          <w:pgMar w:left="240" w:top="459" w:right="2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Financing — GM Financial</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Liquidity Overview</w:t>
      </w:r>
    </w:p>
    <w:p>
      <w:pPr>
        <w:spacing w:after="0" w:line="171" w:lineRule="exact"/>
        <w:rPr>
          <w:sz w:val="20"/>
          <w:szCs w:val="20"/>
          <w:color w:val="auto"/>
        </w:rPr>
      </w:pPr>
    </w:p>
    <w:p>
      <w:pPr>
        <w:ind w:right="60" w:firstLine="228"/>
        <w:spacing w:after="0" w:line="323" w:lineRule="auto"/>
        <w:rPr>
          <w:sz w:val="20"/>
          <w:szCs w:val="20"/>
          <w:color w:val="auto"/>
        </w:rPr>
      </w:pPr>
      <w:r>
        <w:rPr>
          <w:rFonts w:ascii="Arial" w:cs="Arial" w:eastAsia="Arial" w:hAnsi="Arial"/>
          <w:sz w:val="15"/>
          <w:szCs w:val="15"/>
          <w:color w:val="auto"/>
        </w:rPr>
        <w:t>GM Financial’s primary sources of cash are finance charge income, rental income, servicing fees, distributions from securitization trusts, borrowings under credit facilities, transfers of finance receivables to trusts in securitization transactions and collections, recoveries on finance receivables and net proceeds from senior notes transactions. GM Financial’s primary uses of cash are purchases of finance receivables and leased assets, repayment of credit facilities, securitization notes payable and other indebtedness, funding credit enhancement requirements for securitization transactions and credit facilities and operating expenses.</w:t>
      </w:r>
    </w:p>
    <w:p>
      <w:pPr>
        <w:spacing w:after="0" w:line="98" w:lineRule="exact"/>
        <w:rPr>
          <w:sz w:val="20"/>
          <w:szCs w:val="20"/>
          <w:color w:val="auto"/>
        </w:rPr>
      </w:pPr>
    </w:p>
    <w:p>
      <w:pPr>
        <w:jc w:val="both"/>
        <w:ind w:right="280" w:firstLine="228"/>
        <w:spacing w:after="0" w:line="306" w:lineRule="auto"/>
        <w:rPr>
          <w:sz w:val="20"/>
          <w:szCs w:val="20"/>
          <w:color w:val="auto"/>
        </w:rPr>
      </w:pPr>
      <w:r>
        <w:rPr>
          <w:rFonts w:ascii="Arial" w:cs="Arial" w:eastAsia="Arial" w:hAnsi="Arial"/>
          <w:sz w:val="16"/>
          <w:szCs w:val="16"/>
          <w:color w:val="auto"/>
        </w:rPr>
        <w:t>GM Financial used cash of $2.4 billion for the purchase of finance receivables and $0.4 billion for the purchase of operating leases in the six months ended June 30, 2011. Generally, these purchases were funded initially utilizing cash and borrowings under credit facilities and subsequently funded in securitization transactions. GM Financial received cash of $1.9 billion from collections and recoveries on receivables in the six months ended June 30, 2011.</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Available Liquidity</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GM Financial’s available liquidity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83"/>
              </w:rPr>
              <w:t>June 30, 2011</w:t>
            </w:r>
          </w:p>
        </w:tc>
        <w:tc>
          <w:tcPr>
            <w:tcW w:w="880" w:type="dxa"/>
            <w:vAlign w:val="bottom"/>
          </w:tcPr>
          <w:p>
            <w:pPr>
              <w:spacing w:after="0"/>
              <w:rPr>
                <w:sz w:val="14"/>
                <w:szCs w:val="14"/>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4"/>
              </w:rPr>
              <w:t>December 31, 2010</w:t>
            </w:r>
          </w:p>
        </w:tc>
        <w:tc>
          <w:tcPr>
            <w:tcW w:w="0" w:type="dxa"/>
            <w:vAlign w:val="bottom"/>
          </w:tcPr>
          <w:p>
            <w:pPr>
              <w:spacing w:after="0"/>
              <w:rPr>
                <w:sz w:val="1"/>
                <w:szCs w:val="1"/>
                <w:color w:val="auto"/>
              </w:rPr>
            </w:pPr>
          </w:p>
        </w:tc>
      </w:tr>
      <w:tr>
        <w:trPr>
          <w:trHeight w:val="210"/>
        </w:trPr>
        <w:tc>
          <w:tcPr>
            <w:tcW w:w="8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8"/>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Borrowing capacity on unpledged eligible receivables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470</w:t>
            </w: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Borrowing capacity on unpledged eligible leased assets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560" w:type="dxa"/>
            <w:vAlign w:val="bottom"/>
            <w:vMerge w:val="restart"/>
          </w:tcPr>
          <w:p>
            <w:pPr>
              <w:spacing w:after="0"/>
              <w:rPr>
                <w:sz w:val="20"/>
                <w:szCs w:val="20"/>
                <w:color w:val="auto"/>
              </w:rPr>
            </w:pPr>
            <w:r>
              <w:rPr>
                <w:rFonts w:ascii="Arial" w:cs="Arial" w:eastAsia="Arial" w:hAnsi="Arial"/>
                <w:sz w:val="18"/>
                <w:szCs w:val="18"/>
                <w:color w:val="auto"/>
              </w:rPr>
              <w:t>Available liquidity</w:t>
            </w: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560" w:type="dxa"/>
            <w:vAlign w:val="bottom"/>
            <w:vMerge w:val="continue"/>
          </w:tcPr>
          <w:p>
            <w:pPr>
              <w:spacing w:after="0"/>
              <w:rPr>
                <w:sz w:val="19"/>
                <w:szCs w:val="19"/>
                <w:color w:val="auto"/>
              </w:rPr>
            </w:pP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1,201</w:t>
            </w:r>
          </w:p>
        </w:tc>
        <w:tc>
          <w:tcPr>
            <w:tcW w:w="1340" w:type="dxa"/>
            <w:vAlign w:val="bottom"/>
            <w:gridSpan w:val="2"/>
          </w:tcPr>
          <w:p>
            <w:pPr>
              <w:jc w:val="right"/>
              <w:ind w:right="308"/>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Senior Notes</w:t>
      </w:r>
    </w:p>
    <w:p>
      <w:pPr>
        <w:spacing w:after="0" w:line="171" w:lineRule="exact"/>
        <w:rPr>
          <w:sz w:val="20"/>
          <w:szCs w:val="20"/>
          <w:color w:val="auto"/>
        </w:rPr>
      </w:pPr>
    </w:p>
    <w:p>
      <w:pPr>
        <w:ind w:right="180" w:firstLine="228"/>
        <w:spacing w:after="0" w:line="259" w:lineRule="auto"/>
        <w:rPr>
          <w:sz w:val="20"/>
          <w:szCs w:val="20"/>
          <w:color w:val="auto"/>
        </w:rPr>
      </w:pPr>
      <w:r>
        <w:rPr>
          <w:rFonts w:ascii="Arial" w:cs="Arial" w:eastAsia="Arial" w:hAnsi="Arial"/>
          <w:sz w:val="18"/>
          <w:szCs w:val="18"/>
          <w:color w:val="auto"/>
        </w:rPr>
        <w:t>In June 2011 GM Financial issued 6.75% senior notes of $500 million which are due in June 2018 with interest payable semiannually. On July 1, 2011 proceeds of $71 million from this offering were used to redeem all of GM Financial’s outstanding 8.50% senior notes due in 2015. The remaining proceeds will be used for general corporate purposes.</w:t>
      </w:r>
    </w:p>
    <w:p>
      <w:pPr>
        <w:spacing w:after="0" w:line="140" w:lineRule="exact"/>
        <w:rPr>
          <w:sz w:val="20"/>
          <w:szCs w:val="20"/>
          <w:color w:val="auto"/>
        </w:rPr>
      </w:pPr>
    </w:p>
    <w:p>
      <w:pPr>
        <w:jc w:val="both"/>
        <w:ind w:right="100" w:firstLine="228"/>
        <w:spacing w:after="0" w:line="303" w:lineRule="auto"/>
        <w:rPr>
          <w:sz w:val="20"/>
          <w:szCs w:val="20"/>
          <w:color w:val="auto"/>
        </w:rPr>
      </w:pPr>
      <w:r>
        <w:rPr>
          <w:rFonts w:ascii="Arial" w:cs="Arial" w:eastAsia="Arial" w:hAnsi="Arial"/>
          <w:sz w:val="15"/>
          <w:szCs w:val="15"/>
          <w:color w:val="auto"/>
        </w:rPr>
        <w:t>In connection with the issuance of the 6.75% senior notes, GM Financial entered into a registration rights agreement that requires GM Financial to file a shelf registration statement relating to the registration with the SEC of the 6.75% senior notes and the subsidiary guarantees. If the registration statement has not been declared effective by the SEC within 210 days from the original issuance of the notes or ceases to remain effective, GM Financial will be required to pay the</w:t>
      </w:r>
    </w:p>
    <w:p>
      <w:pPr>
        <w:spacing w:after="0" w:line="1"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6.75% senior note holders a maximum of $0.50 per week of additional interest per $1,000 of principal during the time the registration statement is not effective.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71" w:lineRule="exact"/>
        <w:rPr>
          <w:sz w:val="20"/>
          <w:szCs w:val="20"/>
          <w:color w:val="auto"/>
        </w:rPr>
      </w:pPr>
    </w:p>
    <w:p>
      <w:pPr>
        <w:ind w:right="200" w:firstLine="228"/>
        <w:spacing w:after="0" w:line="259" w:lineRule="auto"/>
        <w:rPr>
          <w:sz w:val="20"/>
          <w:szCs w:val="20"/>
          <w:color w:val="auto"/>
        </w:rPr>
      </w:pPr>
      <w:r>
        <w:rPr>
          <w:rFonts w:ascii="Arial" w:cs="Arial" w:eastAsia="Arial" w:hAnsi="Arial"/>
          <w:sz w:val="18"/>
          <w:szCs w:val="18"/>
          <w:color w:val="auto"/>
        </w:rPr>
        <w:t>In the normal course of business, in addition to using available cash, GM Financial pledges receivables to and borrows under credit facilities to fund operations and repays these borrowings as appropriate under GM Financial’s cash management strategy. The following table summarizes GM Financial’s credit facilities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4"/>
          </w:tcPr>
          <w:p>
            <w:pPr>
              <w:jc w:val="right"/>
              <w:ind w:right="376"/>
              <w:spacing w:after="0"/>
              <w:rPr>
                <w:sz w:val="20"/>
                <w:szCs w:val="20"/>
                <w:color w:val="auto"/>
              </w:rPr>
            </w:pPr>
            <w:r>
              <w:rPr>
                <w:rFonts w:ascii="Arial" w:cs="Arial" w:eastAsia="Arial" w:hAnsi="Arial"/>
                <w:sz w:val="14"/>
                <w:szCs w:val="14"/>
                <w:b w:val="1"/>
                <w:bCs w:val="1"/>
                <w:color w:val="auto"/>
              </w:rPr>
              <w:t>June 30, 2011</w:t>
            </w:r>
          </w:p>
        </w:tc>
        <w:tc>
          <w:tcPr>
            <w:tcW w:w="500" w:type="dxa"/>
            <w:vAlign w:val="bottom"/>
          </w:tcPr>
          <w:p>
            <w:pPr>
              <w:spacing w:after="0"/>
              <w:rPr>
                <w:sz w:val="14"/>
                <w:szCs w:val="14"/>
                <w:color w:val="auto"/>
              </w:rPr>
            </w:pPr>
          </w:p>
        </w:tc>
        <w:tc>
          <w:tcPr>
            <w:tcW w:w="18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December 31, 2010</w:t>
            </w: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40" w:type="dxa"/>
            <w:vAlign w:val="bottom"/>
          </w:tcPr>
          <w:p>
            <w:pPr>
              <w:spacing w:after="0"/>
              <w:rPr>
                <w:sz w:val="11"/>
                <w:szCs w:val="11"/>
                <w:color w:val="auto"/>
              </w:rPr>
            </w:pPr>
          </w:p>
        </w:tc>
        <w:tc>
          <w:tcPr>
            <w:tcW w:w="1000" w:type="dxa"/>
            <w:vAlign w:val="bottom"/>
            <w:tcBorders>
              <w:top w:val="single" w:sz="8" w:color="auto"/>
            </w:tcBorders>
            <w:gridSpan w:val="3"/>
          </w:tcPr>
          <w:p>
            <w:pPr>
              <w:ind w:left="40"/>
              <w:spacing w:after="0" w:line="129" w:lineRule="exact"/>
              <w:rPr>
                <w:sz w:val="20"/>
                <w:szCs w:val="20"/>
                <w:color w:val="auto"/>
              </w:rPr>
            </w:pPr>
            <w:r>
              <w:rPr>
                <w:rFonts w:ascii="Arial" w:cs="Arial" w:eastAsia="Arial" w:hAnsi="Arial"/>
                <w:sz w:val="14"/>
                <w:szCs w:val="14"/>
                <w:b w:val="1"/>
                <w:bCs w:val="1"/>
                <w:color w:val="auto"/>
              </w:rPr>
              <w:t>Facility</w:t>
            </w: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1"/>
              </w:rPr>
              <w:t>Advances</w:t>
            </w:r>
          </w:p>
        </w:tc>
        <w:tc>
          <w:tcPr>
            <w:tcW w:w="500" w:type="dxa"/>
            <w:vAlign w:val="bottom"/>
          </w:tcPr>
          <w:p>
            <w:pPr>
              <w:spacing w:after="0"/>
              <w:rPr>
                <w:sz w:val="11"/>
                <w:szCs w:val="11"/>
                <w:color w:val="auto"/>
              </w:rPr>
            </w:pPr>
          </w:p>
        </w:tc>
        <w:tc>
          <w:tcPr>
            <w:tcW w:w="980" w:type="dxa"/>
            <w:vAlign w:val="bottom"/>
            <w:tcBorders>
              <w:top w:val="single" w:sz="8" w:color="auto"/>
            </w:tcBorders>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91"/>
              </w:rPr>
              <w:t>Facility</w:t>
            </w: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1"/>
              </w:rPr>
              <w:t>Advances</w:t>
            </w: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4"/>
              </w:rPr>
              <w:t>Outstanding</w:t>
            </w:r>
          </w:p>
        </w:tc>
        <w:tc>
          <w:tcPr>
            <w:tcW w:w="500" w:type="dxa"/>
            <w:vAlign w:val="bottom"/>
          </w:tcPr>
          <w:p>
            <w:pPr>
              <w:spacing w:after="0"/>
              <w:rPr>
                <w:sz w:val="14"/>
                <w:szCs w:val="14"/>
                <w:color w:val="auto"/>
              </w:rPr>
            </w:pPr>
          </w:p>
        </w:tc>
        <w:tc>
          <w:tcPr>
            <w:tcW w:w="9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Amount</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6"/>
              </w:rPr>
              <w:t>Outstanding</w:t>
            </w:r>
          </w:p>
        </w:tc>
      </w:tr>
      <w:tr>
        <w:trPr>
          <w:trHeight w:val="210"/>
        </w:trPr>
        <w:tc>
          <w:tcPr>
            <w:tcW w:w="20" w:type="dxa"/>
            <w:vAlign w:val="bottom"/>
          </w:tcPr>
          <w:p>
            <w:pPr>
              <w:spacing w:after="0"/>
              <w:rPr>
                <w:sz w:val="18"/>
                <w:szCs w:val="18"/>
                <w:color w:val="auto"/>
              </w:rPr>
            </w:pPr>
          </w:p>
        </w:tc>
        <w:tc>
          <w:tcPr>
            <w:tcW w:w="73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Syndicated warehouse facility (a)</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2,000</w:t>
            </w: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$1,300</w:t>
            </w: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Lease warehouse facility (b)</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600</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Medium-term note facility (c)</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Bank funding facilities (d)</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100" w:hanging="452"/>
        <w:spacing w:after="0" w:line="268"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February 2011 GM Financial extended the maturity date of the syndicated warehouse facility to May 2012 and increased the borrowing capacity to $2.0 billion from $1.3 billion.</w:t>
      </w:r>
    </w:p>
    <w:p>
      <w:pPr>
        <w:spacing w:after="0" w:line="50" w:lineRule="exact"/>
        <w:rPr>
          <w:rFonts w:ascii="Arial" w:cs="Arial" w:eastAsia="Arial" w:hAnsi="Arial"/>
          <w:sz w:val="18"/>
          <w:szCs w:val="18"/>
          <w:color w:val="auto"/>
        </w:rPr>
      </w:pPr>
    </w:p>
    <w:p>
      <w:pPr>
        <w:ind w:left="460" w:right="400" w:hanging="452"/>
        <w:spacing w:after="0" w:line="268"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January 2011 GM Financial entered into a lease warehouse facility for lease originations in the U.S. Borrowings on the facility are collateralized by leased assets.</w:t>
      </w:r>
    </w:p>
    <w:p>
      <w:pPr>
        <w:spacing w:after="0" w:line="50" w:lineRule="exact"/>
        <w:rPr>
          <w:rFonts w:ascii="Arial" w:cs="Arial" w:eastAsia="Arial" w:hAnsi="Arial"/>
          <w:sz w:val="18"/>
          <w:szCs w:val="18"/>
          <w:color w:val="auto"/>
        </w:rPr>
      </w:pPr>
    </w:p>
    <w:p>
      <w:pPr>
        <w:ind w:left="460" w:right="260" w:hanging="452"/>
        <w:spacing w:after="0" w:line="268"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revolving period under this facility has ended and the outstanding debt balance will be repaid over time based on the amortization of the receivables pledged until October 2016 when any remaining amount outstanding will be due and payable.</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outstanding debt balance under the bank funding facilities is secured by asset-backed securities of $39 million.</w:t>
      </w:r>
    </w:p>
    <w:p>
      <w:pPr>
        <w:spacing w:after="0" w:line="171" w:lineRule="exact"/>
        <w:rPr>
          <w:sz w:val="20"/>
          <w:szCs w:val="20"/>
          <w:color w:val="auto"/>
        </w:rPr>
      </w:pPr>
    </w:p>
    <w:p>
      <w:pPr>
        <w:ind w:right="380" w:firstLine="228"/>
        <w:spacing w:after="0" w:line="259" w:lineRule="auto"/>
        <w:rPr>
          <w:sz w:val="20"/>
          <w:szCs w:val="20"/>
          <w:color w:val="auto"/>
        </w:rPr>
      </w:pPr>
      <w:r>
        <w:rPr>
          <w:rFonts w:ascii="Arial" w:cs="Arial" w:eastAsia="Arial" w:hAnsi="Arial"/>
          <w:sz w:val="18"/>
          <w:szCs w:val="18"/>
          <w:color w:val="auto"/>
        </w:rPr>
        <w:t>In July 2011 GM Financial Canada Leasing Ltd. (GM Financial Canada Leasing), a subsidiary of GM Financial, established a revolving warehouse credit facility under which GM Financial Canada Leasing may borrow up to CAD $600 million, which is secured by certain automobile lease agreements and the related lease vehicles. The commitment termination date is July 13, 2012.</w:t>
      </w:r>
    </w:p>
    <w:p>
      <w:pPr>
        <w:spacing w:after="0" w:line="140" w:lineRule="exact"/>
        <w:rPr>
          <w:sz w:val="20"/>
          <w:szCs w:val="20"/>
          <w:color w:val="auto"/>
        </w:rPr>
      </w:pPr>
    </w:p>
    <w:p>
      <w:pPr>
        <w:ind w:right="140" w:firstLine="228"/>
        <w:spacing w:after="0" w:line="291" w:lineRule="auto"/>
        <w:rPr>
          <w:sz w:val="20"/>
          <w:szCs w:val="20"/>
          <w:color w:val="auto"/>
        </w:rPr>
      </w:pPr>
      <w:r>
        <w:rPr>
          <w:rFonts w:ascii="Arial" w:cs="Arial" w:eastAsia="Arial" w:hAnsi="Arial"/>
          <w:sz w:val="16"/>
          <w:szCs w:val="16"/>
          <w:color w:val="auto"/>
        </w:rPr>
        <w:t>GM Financial is required to hold certain funds in restricted cash accounts to provide additional collateral for borrowings under the credit facilities and securitization notes payable. GM Financial’s funding agreements contain various covenants requiring minimum financial ratios, asset quality and portfolio performance ratios (portfolio net loss and delinquency ratios, and pool level cumulative net loss ratios) as well as limits on deferment levels. Failure to meet any of these covenants could result in an event of default under these agreements. If an event of default occurs under these agreements, the lenders could elect to declare all amounts outstanding under these agreements to be immediately due and payable, enforce their interests against collateral pledged under these agreements or, with respect to the syndicated warehouse facility, restrict GM Financial’s ability to obtain additional borrowings.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Charges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significant non-cash charges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46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89"/>
              </w:rPr>
              <w:t>Three Months</w:t>
            </w:r>
          </w:p>
        </w:tc>
        <w:tc>
          <w:tcPr>
            <w:tcW w:w="100" w:type="dxa"/>
            <w:vAlign w:val="bottom"/>
          </w:tcPr>
          <w:p>
            <w:pPr>
              <w:spacing w:after="0"/>
              <w:rPr>
                <w:sz w:val="14"/>
                <w:szCs w:val="14"/>
                <w:color w:val="auto"/>
              </w:rPr>
            </w:pPr>
          </w:p>
        </w:tc>
        <w:tc>
          <w:tcPr>
            <w:tcW w:w="10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8"/>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2"/>
          </w:tcPr>
          <w:p>
            <w:pPr>
              <w:jc w:val="center"/>
              <w:ind w:right="63"/>
              <w:spacing w:after="0" w:line="149" w:lineRule="exact"/>
              <w:rPr>
                <w:sz w:val="20"/>
                <w:szCs w:val="20"/>
                <w:color w:val="auto"/>
              </w:rPr>
            </w:pPr>
            <w:r>
              <w:rPr>
                <w:rFonts w:ascii="Arial" w:cs="Arial" w:eastAsia="Arial" w:hAnsi="Arial"/>
                <w:sz w:val="14"/>
                <w:szCs w:val="14"/>
                <w:b w:val="1"/>
                <w:bCs w:val="1"/>
                <w:color w:val="auto"/>
                <w:w w:val="88"/>
              </w:rPr>
              <w:t>Ended</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left="100"/>
              <w:spacing w:after="0" w:line="149" w:lineRule="exact"/>
              <w:rPr>
                <w:sz w:val="20"/>
                <w:szCs w:val="20"/>
                <w:color w:val="auto"/>
              </w:rPr>
            </w:pPr>
            <w:r>
              <w:rPr>
                <w:rFonts w:ascii="Arial" w:cs="Arial" w:eastAsia="Arial" w:hAnsi="Arial"/>
                <w:sz w:val="14"/>
                <w:szCs w:val="14"/>
                <w:b w:val="1"/>
                <w:bCs w:val="1"/>
                <w:color w:val="auto"/>
                <w:w w:val="88"/>
              </w:rPr>
              <w:t>Ended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860" w:type="dxa"/>
            <w:vAlign w:val="bottom"/>
            <w:tcBorders>
              <w:bottom w:val="single" w:sz="8" w:color="auto"/>
            </w:tcBorders>
            <w:gridSpan w:val="4"/>
          </w:tcPr>
          <w:p>
            <w:pPr>
              <w:jc w:val="center"/>
              <w:ind w:left="141"/>
              <w:spacing w:after="0"/>
              <w:rPr>
                <w:sz w:val="20"/>
                <w:szCs w:val="20"/>
                <w:color w:val="auto"/>
              </w:rPr>
            </w:pPr>
            <w:r>
              <w:rPr>
                <w:rFonts w:ascii="Arial" w:cs="Arial" w:eastAsia="Arial" w:hAnsi="Arial"/>
                <w:sz w:val="14"/>
                <w:szCs w:val="14"/>
                <w:b w:val="1"/>
                <w:bCs w:val="1"/>
                <w:color w:val="auto"/>
                <w:w w:val="85"/>
              </w:rPr>
              <w:t>June 30,</w:t>
            </w:r>
          </w:p>
        </w:tc>
        <w:tc>
          <w:tcPr>
            <w:tcW w:w="2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center"/>
              <w:ind w:left="80"/>
              <w:spacing w:after="0"/>
              <w:rPr>
                <w:sz w:val="20"/>
                <w:szCs w:val="20"/>
                <w:color w:val="auto"/>
              </w:rPr>
            </w:pPr>
            <w:r>
              <w:rPr>
                <w:rFonts w:ascii="Arial" w:cs="Arial" w:eastAsia="Arial" w:hAnsi="Arial"/>
                <w:sz w:val="14"/>
                <w:szCs w:val="14"/>
                <w:b w:val="1"/>
                <w:bCs w:val="1"/>
                <w:color w:val="auto"/>
                <w:w w:val="85"/>
              </w:rPr>
              <w:t>June 30,</w:t>
            </w:r>
          </w:p>
        </w:tc>
        <w:tc>
          <w:tcPr>
            <w:tcW w:w="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2011</w:t>
            </w:r>
          </w:p>
        </w:tc>
        <w:tc>
          <w:tcPr>
            <w:tcW w:w="20" w:type="dxa"/>
            <w:vAlign w:val="bottom"/>
          </w:tcPr>
          <w:p>
            <w:pPr>
              <w:spacing w:after="0"/>
              <w:rPr>
                <w:sz w:val="12"/>
                <w:szCs w:val="12"/>
                <w:color w:val="auto"/>
              </w:rPr>
            </w:pPr>
          </w:p>
        </w:tc>
        <w:tc>
          <w:tcPr>
            <w:tcW w:w="7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400" w:type="dxa"/>
            <w:vAlign w:val="bottom"/>
          </w:tcPr>
          <w:p>
            <w:pPr>
              <w:spacing w:after="0"/>
              <w:rPr>
                <w:sz w:val="12"/>
                <w:szCs w:val="12"/>
                <w:color w:val="auto"/>
              </w:rPr>
            </w:pPr>
          </w:p>
        </w:tc>
        <w:tc>
          <w:tcPr>
            <w:tcW w:w="3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400" w:type="dxa"/>
            <w:vAlign w:val="bottom"/>
          </w:tcPr>
          <w:p>
            <w:pPr>
              <w:spacing w:after="0"/>
              <w:rPr>
                <w:sz w:val="12"/>
                <w:szCs w:val="12"/>
                <w:color w:val="auto"/>
              </w:rPr>
            </w:pPr>
          </w:p>
        </w:tc>
        <w:tc>
          <w:tcPr>
            <w:tcW w:w="2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6"/>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Impairment charges related to investment in HKJV</w:t>
            </w:r>
          </w:p>
        </w:tc>
        <w:tc>
          <w:tcPr>
            <w:tcW w:w="36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Impairment charges related to goodwill</w:t>
            </w:r>
          </w:p>
        </w:tc>
        <w:tc>
          <w:tcPr>
            <w:tcW w:w="366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395</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w w:val="94"/>
              </w:rPr>
              <w:t>Impairment charges related vehicles leased to rental car companies</w:t>
            </w:r>
          </w:p>
        </w:tc>
        <w:tc>
          <w:tcPr>
            <w:tcW w:w="4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113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Impairment charges related to product-specific tooling assets</w:t>
            </w:r>
          </w:p>
        </w:tc>
        <w:tc>
          <w:tcPr>
            <w:tcW w:w="36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44</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 significant non-cash charges</w:t>
            </w:r>
          </w:p>
        </w:tc>
        <w:tc>
          <w:tcPr>
            <w:tcW w:w="36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$ 92</w:t>
            </w:r>
          </w:p>
        </w:tc>
        <w:tc>
          <w:tcPr>
            <w:tcW w:w="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591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3660" w:type="dxa"/>
            <w:vAlign w:val="bottom"/>
            <w:vMerge w:val="restart"/>
          </w:tcPr>
          <w:p>
            <w:pPr>
              <w:jc w:val="right"/>
              <w:ind w:right="2932"/>
              <w:spacing w:after="0"/>
              <w:rPr>
                <w:sz w:val="20"/>
                <w:szCs w:val="20"/>
                <w:color w:val="auto"/>
              </w:rPr>
            </w:pPr>
            <w:r>
              <w:rPr>
                <w:rFonts w:ascii="Arial" w:cs="Arial" w:eastAsia="Arial" w:hAnsi="Arial"/>
                <w:sz w:val="18"/>
                <w:szCs w:val="18"/>
                <w:color w:val="auto"/>
              </w:rPr>
              <w:t>88</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Benefit Pension Plan Contributions</w:t>
      </w:r>
    </w:p>
    <w:p>
      <w:pPr>
        <w:spacing w:after="0" w:line="177" w:lineRule="exact"/>
        <w:rPr>
          <w:sz w:val="20"/>
          <w:szCs w:val="20"/>
          <w:color w:val="auto"/>
        </w:rPr>
      </w:pPr>
    </w:p>
    <w:p>
      <w:pPr>
        <w:ind w:right="280" w:firstLine="228"/>
        <w:spacing w:after="0" w:line="259" w:lineRule="auto"/>
        <w:rPr>
          <w:sz w:val="20"/>
          <w:szCs w:val="20"/>
          <w:color w:val="auto"/>
        </w:rPr>
      </w:pPr>
      <w:r>
        <w:rPr>
          <w:rFonts w:ascii="Arial" w:cs="Arial" w:eastAsia="Arial" w:hAnsi="Arial"/>
          <w:sz w:val="18"/>
          <w:szCs w:val="18"/>
          <w:color w:val="auto"/>
        </w:rPr>
        <w:t>We made a voluntary contribution in January 2011 to our U.S. hourly and salaried defined benefit pension plans of 61 million shares of our common stock, valued at $2.2 billion for funding purposes at the time of contribution. The contributed shares qualified as a plan asset for funding purposes at the time of contribution and as a plan asset for accounting purposes in July 2011.</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Provided to Third Parties</w:t>
      </w:r>
    </w:p>
    <w:p>
      <w:pPr>
        <w:spacing w:after="0" w:line="177" w:lineRule="exact"/>
        <w:rPr>
          <w:sz w:val="20"/>
          <w:szCs w:val="20"/>
          <w:color w:val="auto"/>
        </w:rPr>
      </w:pPr>
    </w:p>
    <w:p>
      <w:pPr>
        <w:jc w:val="both"/>
        <w:ind w:right="40" w:firstLine="228"/>
        <w:spacing w:after="0" w:line="306" w:lineRule="auto"/>
        <w:rPr>
          <w:sz w:val="20"/>
          <w:szCs w:val="20"/>
          <w:color w:val="auto"/>
        </w:rPr>
      </w:pPr>
      <w:r>
        <w:rPr>
          <w:rFonts w:ascii="Arial" w:cs="Arial" w:eastAsia="Arial" w:hAnsi="Arial"/>
          <w:sz w:val="16"/>
          <w:szCs w:val="16"/>
          <w:color w:val="auto"/>
        </w:rPr>
        <w:t>We have provided guarantees related to the residual value of operating leases, certain suppliers’ commitments, certain product-related claims and commercial loans made by Ally Financial and outstanding with certain third parties excluding vehicle repurchase obligations, residual support and risk sharing related to Ally Financial. The maximum potential obligation under these commitments was $1.1 billion and $1.0 billion at June 30, 2011 and December 31, 2010.</w:t>
      </w:r>
    </w:p>
    <w:p>
      <w:pPr>
        <w:spacing w:after="0" w:line="107" w:lineRule="exact"/>
        <w:rPr>
          <w:sz w:val="20"/>
          <w:szCs w:val="20"/>
          <w:color w:val="auto"/>
        </w:rPr>
      </w:pPr>
    </w:p>
    <w:p>
      <w:pPr>
        <w:ind w:right="60" w:firstLine="228"/>
        <w:spacing w:after="0" w:line="298" w:lineRule="auto"/>
        <w:rPr>
          <w:sz w:val="20"/>
          <w:szCs w:val="20"/>
          <w:color w:val="auto"/>
        </w:rPr>
      </w:pPr>
      <w:r>
        <w:rPr>
          <w:rFonts w:ascii="Arial" w:cs="Arial" w:eastAsia="Arial" w:hAnsi="Arial"/>
          <w:sz w:val="16"/>
          <w:szCs w:val="16"/>
          <w:color w:val="auto"/>
        </w:rPr>
        <w:t>Our agreement with Ally Financial requires the repurchase of Ally Financial financed inventory invoiced to dealers after September 1, 2008, with limited exclusions, in the event of a qualifying voluntary or involuntary termination of the dealer’s sales and service agreement. Repurchase obligations exclude vehicles which are damaged, have excessive mileage or have been altered. The repurchase obligation ended in August 2010 for vehicles invoiced through August 2009, ends in August 2011 for vehicles invoiced through August 2010 and ends in August 2012 for vehicles invoiced through August 2011.</w:t>
      </w:r>
    </w:p>
    <w:p>
      <w:pPr>
        <w:spacing w:after="0" w:line="113" w:lineRule="exact"/>
        <w:rPr>
          <w:sz w:val="20"/>
          <w:szCs w:val="20"/>
          <w:color w:val="auto"/>
        </w:rPr>
      </w:pPr>
    </w:p>
    <w:p>
      <w:pPr>
        <w:ind w:firstLine="228"/>
        <w:spacing w:after="0" w:line="294" w:lineRule="auto"/>
        <w:rPr>
          <w:sz w:val="20"/>
          <w:szCs w:val="20"/>
          <w:color w:val="auto"/>
        </w:rPr>
      </w:pPr>
      <w:r>
        <w:rPr>
          <w:rFonts w:ascii="Arial" w:cs="Arial" w:eastAsia="Arial" w:hAnsi="Arial"/>
          <w:sz w:val="16"/>
          <w:szCs w:val="16"/>
          <w:color w:val="auto"/>
        </w:rPr>
        <w:t>The maximum potential amount of future payments required to be made to Ally Financial under this guarantee would be based on the repurchase value of total eligible vehicles financed by Ally Financial in dealer stock and was estimated to be $20.9 billion and $18.8 billion at June 30, 2011 and December 31, 2010. If vehicles are required to be repurchased under this arrangement, the total exposure would be reduced to the extent vehicles are able to be resold to another dealer or at auction. The fair value of the guarantee was $18 million and $21 million at June 30, 2011 and December 31, 2010 which considers the likelihood of dealers terminating and the estimated loss exposure for the ultimate disposition of vehicles.</w:t>
      </w:r>
    </w:p>
    <w:p>
      <w:pPr>
        <w:spacing w:after="0" w:line="116" w:lineRule="exact"/>
        <w:rPr>
          <w:sz w:val="20"/>
          <w:szCs w:val="20"/>
          <w:color w:val="auto"/>
        </w:rPr>
      </w:pPr>
    </w:p>
    <w:p>
      <w:pPr>
        <w:ind w:right="1560" w:firstLine="228"/>
        <w:spacing w:after="0" w:line="438" w:lineRule="auto"/>
        <w:rPr>
          <w:sz w:val="20"/>
          <w:szCs w:val="20"/>
          <w:color w:val="auto"/>
        </w:rPr>
      </w:pPr>
      <w:r>
        <w:rPr>
          <w:rFonts w:ascii="Arial" w:cs="Arial" w:eastAsia="Arial" w:hAnsi="Arial"/>
          <w:sz w:val="18"/>
          <w:szCs w:val="18"/>
          <w:color w:val="auto"/>
        </w:rPr>
        <w:t xml:space="preserve">Refer to Notes 17 and 24 to our condensed consolidated financial statements for additional information on guarantees we have provided. </w:t>
      </w:r>
      <w:r>
        <w:rPr>
          <w:rFonts w:ascii="Arial" w:cs="Arial" w:eastAsia="Arial" w:hAnsi="Arial"/>
          <w:sz w:val="18"/>
          <w:szCs w:val="18"/>
          <w:b w:val="1"/>
          <w:bCs w:val="1"/>
          <w:color w:val="auto"/>
        </w:rPr>
        <w:t>Required Pension Funding Obligations</w:t>
      </w:r>
    </w:p>
    <w:p>
      <w:pPr>
        <w:spacing w:after="0" w:line="1" w:lineRule="exact"/>
        <w:rPr>
          <w:sz w:val="20"/>
          <w:szCs w:val="20"/>
          <w:color w:val="auto"/>
        </w:rPr>
      </w:pPr>
    </w:p>
    <w:p>
      <w:pPr>
        <w:ind w:right="20" w:firstLine="228"/>
        <w:spacing w:after="0" w:line="286" w:lineRule="auto"/>
        <w:rPr>
          <w:sz w:val="20"/>
          <w:szCs w:val="20"/>
          <w:color w:val="auto"/>
        </w:rPr>
      </w:pPr>
      <w:r>
        <w:rPr>
          <w:rFonts w:ascii="Arial" w:cs="Arial" w:eastAsia="Arial" w:hAnsi="Arial"/>
          <w:sz w:val="16"/>
          <w:szCs w:val="16"/>
          <w:color w:val="auto"/>
        </w:rPr>
        <w:t>We do not have any required contributions due to our U.S. qualified plans in 2011. The next pension funding valuation to be prepared based on the requirements of the Pension Protection Act of 2006 (PPA) will be as of October 1, 2011. Based on the PPA, we have the option to select a funding interest rate for the valuation based on either the Full Yield Curve method or the 3-Segment method, both of which are considered to be acceptable methods. For a hypothetical valuation at June 30, 2011, we have chosen the 3-Segment rate at May 31, 2011 as the funding interest rate that we could use for the actual funding valuation. Since this hypothetical election does not limit us to only using the 3-Segment rate beyond 2011, we have assumed that we retain the flexibility of selecting a funding interest rate based on either the Full Yield Curve method or the 3-Segment method. A hypothetical funding valuation at June 30, 2011, using the 3-Segment rate at May 31, 2011 and assuming for the plan year beginning October 1, 2011 funding valuation, the Full Yield Curve funding interest rate for all future valuations projects contributions of $2.2 billion and $1.8 billion in 2015 and 2016 and additional contributions may be required thereafter. Alternatively, a hypothetical funding valuation at June 30, 2011 using the 3-Segment rate at May 31, 2011 for the plan year beginning October 1, 2011 funding valuation, and assuming the June 30, 2011 3-Segment rate for all future valuations projects contributions of $0.8 billion and $0.8 billion in 2015 and 2016 and additional contributions may be required thereafter.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jc w:val="both"/>
        <w:ind w:right="380" w:firstLine="228"/>
        <w:spacing w:after="0" w:line="306" w:lineRule="auto"/>
        <w:rPr>
          <w:sz w:val="20"/>
          <w:szCs w:val="20"/>
          <w:color w:val="auto"/>
        </w:rPr>
      </w:pPr>
      <w:r>
        <w:rPr>
          <w:rFonts w:ascii="Arial" w:cs="Arial" w:eastAsia="Arial" w:hAnsi="Arial"/>
          <w:sz w:val="16"/>
          <w:szCs w:val="16"/>
          <w:color w:val="auto"/>
        </w:rPr>
        <w:t>In both cases, we have assumed that the pension plans earn the expected return of 8.0% in the future and no further changes in funding interest rates. U.S. pension funding interest rate and return on assets rate sensitivity are shown below, assuming the 3-Segment rate at May 31, 2011 for plan year beginning on October 1, 2011 funding valuation and the Full Yield Curve funding interest rate for all future valuations (in billions):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80" w:type="dxa"/>
            <w:vAlign w:val="bottom"/>
            <w:gridSpan w:val="8"/>
            <w:vMerge w:val="restart"/>
          </w:tcPr>
          <w:p>
            <w:pPr>
              <w:ind w:left="60"/>
              <w:spacing w:after="0"/>
              <w:rPr>
                <w:sz w:val="20"/>
                <w:szCs w:val="20"/>
                <w:color w:val="auto"/>
              </w:rPr>
            </w:pPr>
            <w:r>
              <w:rPr>
                <w:rFonts w:ascii="Arial" w:cs="Arial" w:eastAsia="Arial" w:hAnsi="Arial"/>
                <w:sz w:val="14"/>
                <w:szCs w:val="14"/>
                <w:b w:val="1"/>
                <w:bCs w:val="1"/>
                <w:color w:val="auto"/>
              </w:rPr>
              <w:t>Funding Interest Rate Sensitivity Table</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Estimated</w:t>
            </w:r>
          </w:p>
        </w:tc>
        <w:tc>
          <w:tcPr>
            <w:tcW w:w="0" w:type="dxa"/>
            <w:vAlign w:val="bottom"/>
          </w:tcPr>
          <w:p>
            <w:pPr>
              <w:spacing w:after="0"/>
              <w:rPr>
                <w:sz w:val="1"/>
                <w:szCs w:val="1"/>
                <w:color w:val="auto"/>
              </w:rPr>
            </w:pPr>
          </w:p>
        </w:tc>
      </w:tr>
      <w:tr>
        <w:trPr>
          <w:trHeight w:val="107"/>
        </w:trPr>
        <w:tc>
          <w:tcPr>
            <w:tcW w:w="240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180" w:type="dxa"/>
            <w:vAlign w:val="bottom"/>
            <w:tcBorders>
              <w:bottom w:val="single" w:sz="8" w:color="auto"/>
            </w:tcBorders>
            <w:gridSpan w:val="8"/>
            <w:vMerge w:val="continue"/>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gridSpan w:val="3"/>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Return on</w:t>
            </w:r>
          </w:p>
        </w:tc>
        <w:tc>
          <w:tcPr>
            <w:tcW w:w="0" w:type="dxa"/>
            <w:vAlign w:val="bottom"/>
          </w:tcPr>
          <w:p>
            <w:pPr>
              <w:spacing w:after="0"/>
              <w:rPr>
                <w:sz w:val="1"/>
                <w:szCs w:val="1"/>
                <w:color w:val="auto"/>
              </w:rPr>
            </w:pPr>
          </w:p>
        </w:tc>
      </w:tr>
      <w:tr>
        <w:trPr>
          <w:trHeight w:val="21"/>
        </w:trPr>
        <w:tc>
          <w:tcPr>
            <w:tcW w:w="24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4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78"/>
              </w:rPr>
              <w:t>Assets–</w:t>
            </w: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0" w:type="dxa"/>
            <w:vAlign w:val="bottom"/>
            <w:gridSpan w:val="3"/>
          </w:tcPr>
          <w:p>
            <w:pPr>
              <w:jc w:val="center"/>
              <w:ind w:left="516"/>
              <w:spacing w:after="0" w:line="149" w:lineRule="exact"/>
              <w:rPr>
                <w:sz w:val="20"/>
                <w:szCs w:val="20"/>
                <w:color w:val="auto"/>
              </w:rPr>
            </w:pPr>
            <w:r>
              <w:rPr>
                <w:rFonts w:ascii="Arial" w:cs="Arial" w:eastAsia="Arial" w:hAnsi="Arial"/>
                <w:sz w:val="14"/>
                <w:szCs w:val="14"/>
                <w:b w:val="1"/>
                <w:bCs w:val="1"/>
                <w:color w:val="auto"/>
                <w:w w:val="92"/>
              </w:rPr>
              <w:t>7% - 100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1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50 Basis</w:t>
            </w:r>
          </w:p>
        </w:tc>
        <w:tc>
          <w:tcPr>
            <w:tcW w:w="5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25 Basis</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0"/>
              </w:rPr>
              <w:t>Basis</w:t>
            </w: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1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Point</w:t>
            </w:r>
          </w:p>
        </w:tc>
        <w:tc>
          <w:tcPr>
            <w:tcW w:w="5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Point</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25 Basis</w:t>
            </w:r>
          </w:p>
        </w:tc>
        <w:tc>
          <w:tcPr>
            <w:tcW w:w="140" w:type="dxa"/>
            <w:vAlign w:val="bottom"/>
          </w:tcPr>
          <w:p>
            <w:pPr>
              <w:spacing w:after="0"/>
              <w:rPr>
                <w:sz w:val="12"/>
                <w:szCs w:val="12"/>
                <w:color w:val="auto"/>
              </w:rPr>
            </w:pPr>
          </w:p>
        </w:tc>
        <w:tc>
          <w:tcPr>
            <w:tcW w:w="720" w:type="dxa"/>
            <w:vAlign w:val="bottom"/>
          </w:tcPr>
          <w:p>
            <w:pPr>
              <w:jc w:val="right"/>
              <w:ind w:right="115"/>
              <w:spacing w:after="0" w:line="149" w:lineRule="exact"/>
              <w:rPr>
                <w:sz w:val="20"/>
                <w:szCs w:val="20"/>
                <w:color w:val="auto"/>
              </w:rPr>
            </w:pPr>
            <w:r>
              <w:rPr>
                <w:rFonts w:ascii="Arial" w:cs="Arial" w:eastAsia="Arial" w:hAnsi="Arial"/>
                <w:sz w:val="14"/>
                <w:szCs w:val="14"/>
                <w:b w:val="1"/>
                <w:bCs w:val="1"/>
                <w:color w:val="auto"/>
                <w:w w:val="87"/>
              </w:rPr>
              <w:t>50 Basis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Point</w:t>
            </w:r>
          </w:p>
        </w:tc>
        <w:tc>
          <w:tcPr>
            <w:tcW w:w="0" w:type="dxa"/>
            <w:vAlign w:val="bottom"/>
          </w:tcPr>
          <w:p>
            <w:pPr>
              <w:spacing w:after="0"/>
              <w:rPr>
                <w:sz w:val="1"/>
                <w:szCs w:val="1"/>
                <w:color w:val="auto"/>
              </w:rPr>
            </w:pPr>
          </w:p>
        </w:tc>
      </w:tr>
      <w:tr>
        <w:trPr>
          <w:trHeight w:val="161"/>
        </w:trPr>
        <w:tc>
          <w:tcPr>
            <w:tcW w:w="24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Increase</w:t>
            </w: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w w:val="94"/>
              </w:rPr>
              <w:t>Increase</w:t>
            </w:r>
          </w:p>
        </w:tc>
        <w:tc>
          <w:tcPr>
            <w:tcW w:w="54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Base Line</w:t>
            </w:r>
          </w:p>
        </w:tc>
        <w:tc>
          <w:tcPr>
            <w:tcW w:w="300" w:type="dxa"/>
            <w:vAlign w:val="bottom"/>
          </w:tcPr>
          <w:p>
            <w:pPr>
              <w:spacing w:after="0"/>
              <w:rPr>
                <w:sz w:val="14"/>
                <w:szCs w:val="14"/>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Point Decrease</w:t>
            </w: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82"/>
              </w:rPr>
              <w:t>Point Decrease</w:t>
            </w:r>
          </w:p>
        </w:tc>
        <w:tc>
          <w:tcPr>
            <w:tcW w:w="620" w:type="dxa"/>
            <w:vAlign w:val="bottom"/>
          </w:tcPr>
          <w:p>
            <w:pPr>
              <w:spacing w:after="0"/>
              <w:rPr>
                <w:sz w:val="14"/>
                <w:szCs w:val="14"/>
                <w:color w:val="auto"/>
              </w:rPr>
            </w:pPr>
          </w:p>
        </w:tc>
        <w:tc>
          <w:tcPr>
            <w:tcW w:w="6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0"/>
              </w:rPr>
              <w:t>Decrease</w:t>
            </w:r>
          </w:p>
        </w:tc>
        <w:tc>
          <w:tcPr>
            <w:tcW w:w="0" w:type="dxa"/>
            <w:vAlign w:val="bottom"/>
          </w:tcPr>
          <w:p>
            <w:pPr>
              <w:spacing w:after="0"/>
              <w:rPr>
                <w:sz w:val="1"/>
                <w:szCs w:val="1"/>
                <w:color w:val="auto"/>
              </w:rPr>
            </w:pPr>
          </w:p>
        </w:tc>
      </w:tr>
      <w:tr>
        <w:trPr>
          <w:trHeight w:val="210"/>
        </w:trPr>
        <w:tc>
          <w:tcPr>
            <w:tcW w:w="2400" w:type="dxa"/>
            <w:vAlign w:val="bottom"/>
            <w:tcBorders>
              <w:top w:val="single" w:sz="8" w:color="CCEEFF"/>
            </w:tcBorders>
            <w:shd w:val="clear" w:color="auto" w:fill="CCEEFF"/>
          </w:tcPr>
          <w:p>
            <w:pPr>
              <w:jc w:val="right"/>
              <w:ind w:right="1952"/>
              <w:spacing w:after="0" w:line="202" w:lineRule="exact"/>
              <w:rPr>
                <w:sz w:val="20"/>
                <w:szCs w:val="20"/>
                <w:color w:val="auto"/>
              </w:rPr>
            </w:pPr>
            <w:r>
              <w:rPr>
                <w:rFonts w:ascii="Arial" w:cs="Arial" w:eastAsia="Arial" w:hAnsi="Arial"/>
                <w:sz w:val="18"/>
                <w:szCs w:val="18"/>
                <w:color w:val="auto"/>
                <w:w w:val="84"/>
              </w:rPr>
              <w:t>2011</w:t>
            </w:r>
          </w:p>
        </w:tc>
        <w:tc>
          <w:tcPr>
            <w:tcW w:w="20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jc w:val="right"/>
              <w:ind w:right="1952"/>
              <w:spacing w:after="0"/>
              <w:rPr>
                <w:sz w:val="20"/>
                <w:szCs w:val="20"/>
                <w:color w:val="auto"/>
              </w:rPr>
            </w:pPr>
            <w:r>
              <w:rPr>
                <w:rFonts w:ascii="Arial" w:cs="Arial" w:eastAsia="Arial" w:hAnsi="Arial"/>
                <w:sz w:val="18"/>
                <w:szCs w:val="18"/>
                <w:color w:val="auto"/>
                <w:w w:val="84"/>
              </w:rPr>
              <w:t>2012</w:t>
            </w:r>
          </w:p>
        </w:tc>
        <w:tc>
          <w:tcPr>
            <w:tcW w:w="2200" w:type="dxa"/>
            <w:vAlign w:val="bottom"/>
            <w:gridSpan w:val="2"/>
          </w:tcPr>
          <w:p>
            <w:pPr>
              <w:ind w:left="20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jc w:val="right"/>
              <w:ind w:right="1952"/>
              <w:spacing w:after="0"/>
              <w:rPr>
                <w:sz w:val="20"/>
                <w:szCs w:val="20"/>
                <w:color w:val="auto"/>
              </w:rPr>
            </w:pPr>
            <w:r>
              <w:rPr>
                <w:rFonts w:ascii="Arial" w:cs="Arial" w:eastAsia="Arial" w:hAnsi="Arial"/>
                <w:sz w:val="18"/>
                <w:szCs w:val="18"/>
                <w:color w:val="auto"/>
                <w:w w:val="84"/>
              </w:rPr>
              <w:t>2013</w:t>
            </w:r>
          </w:p>
        </w:tc>
        <w:tc>
          <w:tcPr>
            <w:tcW w:w="2200" w:type="dxa"/>
            <w:vAlign w:val="bottom"/>
            <w:gridSpan w:val="2"/>
            <w:shd w:val="clear" w:color="auto" w:fill="CCEEFF"/>
          </w:tcPr>
          <w:p>
            <w:pPr>
              <w:ind w:left="20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0" w:type="dxa"/>
            <w:vAlign w:val="bottom"/>
          </w:tcPr>
          <w:p>
            <w:pPr>
              <w:jc w:val="right"/>
              <w:ind w:right="1952"/>
              <w:spacing w:after="0"/>
              <w:rPr>
                <w:sz w:val="20"/>
                <w:szCs w:val="20"/>
                <w:color w:val="auto"/>
              </w:rPr>
            </w:pPr>
            <w:r>
              <w:rPr>
                <w:rFonts w:ascii="Arial" w:cs="Arial" w:eastAsia="Arial" w:hAnsi="Arial"/>
                <w:sz w:val="18"/>
                <w:szCs w:val="18"/>
                <w:color w:val="auto"/>
                <w:w w:val="84"/>
              </w:rPr>
              <w:t>2014</w:t>
            </w:r>
          </w:p>
        </w:tc>
        <w:tc>
          <w:tcPr>
            <w:tcW w:w="2200" w:type="dxa"/>
            <w:vAlign w:val="bottom"/>
            <w:gridSpan w:val="2"/>
          </w:tcPr>
          <w:p>
            <w:pPr>
              <w:ind w:left="20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jc w:val="right"/>
              <w:ind w:right="1952"/>
              <w:spacing w:after="0"/>
              <w:rPr>
                <w:sz w:val="20"/>
                <w:szCs w:val="20"/>
                <w:color w:val="auto"/>
              </w:rPr>
            </w:pPr>
            <w:r>
              <w:rPr>
                <w:rFonts w:ascii="Arial" w:cs="Arial" w:eastAsia="Arial" w:hAnsi="Arial"/>
                <w:sz w:val="18"/>
                <w:szCs w:val="18"/>
                <w:color w:val="auto"/>
                <w:w w:val="84"/>
              </w:rPr>
              <w:t>2015</w:t>
            </w:r>
          </w:p>
        </w:tc>
        <w:tc>
          <w:tcPr>
            <w:tcW w:w="2200" w:type="dxa"/>
            <w:vAlign w:val="bottom"/>
            <w:gridSpan w:val="2"/>
            <w:shd w:val="clear" w:color="auto" w:fill="CCEEFF"/>
          </w:tcPr>
          <w:p>
            <w:pPr>
              <w:ind w:left="20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w:t>
            </w:r>
          </w:p>
        </w:tc>
        <w:tc>
          <w:tcPr>
            <w:tcW w:w="7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00" w:type="dxa"/>
            <w:vAlign w:val="bottom"/>
          </w:tcPr>
          <w:p>
            <w:pPr>
              <w:jc w:val="right"/>
              <w:ind w:right="1952"/>
              <w:spacing w:after="0"/>
              <w:rPr>
                <w:sz w:val="20"/>
                <w:szCs w:val="20"/>
                <w:color w:val="auto"/>
              </w:rPr>
            </w:pPr>
            <w:r>
              <w:rPr>
                <w:rFonts w:ascii="Arial" w:cs="Arial" w:eastAsia="Arial" w:hAnsi="Arial"/>
                <w:sz w:val="18"/>
                <w:szCs w:val="18"/>
                <w:color w:val="auto"/>
                <w:w w:val="84"/>
              </w:rPr>
              <w:t>2016</w:t>
            </w:r>
          </w:p>
        </w:tc>
        <w:tc>
          <w:tcPr>
            <w:tcW w:w="2200" w:type="dxa"/>
            <w:vAlign w:val="bottom"/>
            <w:gridSpan w:val="2"/>
          </w:tcPr>
          <w:p>
            <w:pPr>
              <w:ind w:left="202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0.9</w:t>
            </w:r>
          </w:p>
        </w:tc>
        <w:tc>
          <w:tcPr>
            <w:tcW w:w="6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74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1.8</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80" w:firstLine="228"/>
        <w:spacing w:after="0" w:line="268" w:lineRule="auto"/>
        <w:rPr>
          <w:sz w:val="20"/>
          <w:szCs w:val="20"/>
          <w:color w:val="auto"/>
        </w:rPr>
      </w:pPr>
      <w:r>
        <w:rPr>
          <w:rFonts w:ascii="Arial" w:cs="Arial" w:eastAsia="Arial" w:hAnsi="Arial"/>
          <w:sz w:val="18"/>
          <w:szCs w:val="18"/>
          <w:color w:val="auto"/>
        </w:rPr>
        <w:t>The hypothetical valuations do not consider the potential election of relief provisions that are available to us under the Pension Relief Act of 2010 for 2010 and 2011 plan year valuations.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Automotive</w:t>
      </w:r>
    </w:p>
    <w:p>
      <w:pPr>
        <w:spacing w:after="0" w:line="171" w:lineRule="exact"/>
        <w:rPr>
          <w:sz w:val="20"/>
          <w:szCs w:val="20"/>
          <w:color w:val="auto"/>
        </w:rPr>
      </w:pPr>
    </w:p>
    <w:p>
      <w:pPr>
        <w:ind w:right="380" w:firstLine="228"/>
        <w:spacing w:after="0" w:line="268" w:lineRule="auto"/>
        <w:rPr>
          <w:sz w:val="20"/>
          <w:szCs w:val="20"/>
          <w:color w:val="auto"/>
        </w:rPr>
      </w:pPr>
      <w:r>
        <w:rPr>
          <w:rFonts w:ascii="Arial" w:cs="Arial" w:eastAsia="Arial" w:hAnsi="Arial"/>
          <w:sz w:val="18"/>
          <w:szCs w:val="18"/>
          <w:color w:val="auto"/>
        </w:rPr>
        <w:t>At June 30, 2011 assets and liabilities classified in Level 3 were not significant. Prior to the three months ended December 31, 2010 significant assets and liabilities classified in Level 3, with the related Level 3 inputs, were as follows:</w:t>
      </w:r>
    </w:p>
    <w:p>
      <w:pPr>
        <w:spacing w:after="0" w:line="51" w:lineRule="exact"/>
        <w:rPr>
          <w:sz w:val="20"/>
          <w:szCs w:val="20"/>
          <w:color w:val="auto"/>
        </w:rPr>
      </w:pPr>
    </w:p>
    <w:p>
      <w:pPr>
        <w:ind w:left="660" w:hanging="436"/>
        <w:spacing w:after="0" w:line="291" w:lineRule="auto"/>
        <w:tabs>
          <w:tab w:leader="none" w:pos="6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Foreign currency derivatives — Level 3 inputs used to determine the fair value of foreign currency derivative liabilities include the appropriate credit spread to measure our nonperformance risk. Given our nonperformance risk was not observable through a liquid credit default swap market we based this measurement on an analysis of comparable industrial companies to determine the appropriate credit spread which would be applied to us by market participants. In the three months ended December 31, 2010 we incorporated our published credit agency ratings into our credit rating conclusions. In the three months ended December 31, 2010 we determined that our nonperformance risk no longer represented a significant input in the determination of the fair value of our foreign currency derivative liabilities and transferred these liabilities to Level 2.</w:t>
      </w:r>
    </w:p>
    <w:p>
      <w:pPr>
        <w:spacing w:after="0" w:line="120" w:lineRule="exact"/>
        <w:rPr>
          <w:sz w:val="20"/>
          <w:szCs w:val="20"/>
          <w:color w:val="auto"/>
        </w:rPr>
      </w:pPr>
    </w:p>
    <w:p>
      <w:pPr>
        <w:ind w:right="340" w:firstLine="228"/>
        <w:spacing w:after="0" w:line="332" w:lineRule="auto"/>
        <w:rPr>
          <w:sz w:val="20"/>
          <w:szCs w:val="20"/>
          <w:color w:val="auto"/>
        </w:rPr>
      </w:pPr>
      <w:r>
        <w:rPr>
          <w:rFonts w:ascii="Arial" w:cs="Arial" w:eastAsia="Arial" w:hAnsi="Arial"/>
          <w:sz w:val="16"/>
          <w:szCs w:val="16"/>
          <w:color w:val="auto"/>
        </w:rPr>
        <w:t>Refer to Note 19 to the condensed consolidated financial statements for additional information regarding fair value measurements of financial assets and financial liabilities. Refer to Note 16 to the condensed consolidated financial statements for additional information regarding derivative financial instruments.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3 Assets and Liabilities</w:t>
      </w:r>
    </w:p>
    <w:p>
      <w:pPr>
        <w:spacing w:after="0" w:line="171" w:lineRule="exact"/>
        <w:rPr>
          <w:sz w:val="20"/>
          <w:szCs w:val="20"/>
          <w:color w:val="auto"/>
        </w:rPr>
      </w:pPr>
    </w:p>
    <w:p>
      <w:pPr>
        <w:ind w:right="40" w:firstLine="228"/>
        <w:spacing w:after="0" w:line="268" w:lineRule="auto"/>
        <w:rPr>
          <w:sz w:val="20"/>
          <w:szCs w:val="20"/>
          <w:color w:val="auto"/>
        </w:rPr>
      </w:pPr>
      <w:r>
        <w:rPr>
          <w:rFonts w:ascii="Arial" w:cs="Arial" w:eastAsia="Arial" w:hAnsi="Arial"/>
          <w:sz w:val="18"/>
          <w:szCs w:val="18"/>
          <w:color w:val="auto"/>
        </w:rPr>
        <w:t>At June 30, 2011 we used Level 3 inputs to measure net assets of $79 million (or less than 0.1%) of our total assets. These net assets included $155 million (or 0.6%) of the total assets, and $76 million (or 73.8%) of the total liabilities that we measured at fair value.</w:t>
      </w:r>
    </w:p>
    <w:p>
      <w:pPr>
        <w:spacing w:after="0" w:line="132" w:lineRule="exact"/>
        <w:rPr>
          <w:sz w:val="20"/>
          <w:szCs w:val="20"/>
          <w:color w:val="auto"/>
        </w:rPr>
      </w:pPr>
    </w:p>
    <w:p>
      <w:pPr>
        <w:ind w:right="40" w:firstLine="228"/>
        <w:spacing w:after="0" w:line="306" w:lineRule="auto"/>
        <w:rPr>
          <w:sz w:val="20"/>
          <w:szCs w:val="20"/>
          <w:color w:val="auto"/>
        </w:rPr>
      </w:pPr>
      <w:r>
        <w:rPr>
          <w:rFonts w:ascii="Arial" w:cs="Arial" w:eastAsia="Arial" w:hAnsi="Arial"/>
          <w:sz w:val="16"/>
          <w:szCs w:val="16"/>
          <w:color w:val="auto"/>
        </w:rPr>
        <w:t>In the three months ended June 30, 2011 assets and liabilities measured using Level 3 inputs increased $89 million from a net liability of $10 million to a net asset of $79 million primarily due to unrealized gains on embedded derivatives. In the six months ended June 30, 2011 assets and liabilities measured using Level 3 inputs increased $93 million from a net liability of $14 million to a net asset of $79 million primarily due to unrealized gains on embedded derivatives.</w:t>
      </w:r>
    </w:p>
    <w:p>
      <w:pPr>
        <w:spacing w:after="0" w:line="107" w:lineRule="exact"/>
        <w:rPr>
          <w:sz w:val="20"/>
          <w:szCs w:val="20"/>
          <w:color w:val="auto"/>
        </w:rPr>
      </w:pPr>
    </w:p>
    <w:p>
      <w:pPr>
        <w:ind w:right="100" w:firstLine="228"/>
        <w:spacing w:after="0" w:line="332" w:lineRule="auto"/>
        <w:rPr>
          <w:sz w:val="20"/>
          <w:szCs w:val="20"/>
          <w:color w:val="auto"/>
        </w:rPr>
      </w:pPr>
      <w:r>
        <w:rPr>
          <w:rFonts w:ascii="Arial" w:cs="Arial" w:eastAsia="Arial" w:hAnsi="Arial"/>
          <w:sz w:val="16"/>
          <w:szCs w:val="16"/>
          <w:color w:val="auto"/>
        </w:rPr>
        <w:t>At December 31, 2010 we used Level 3 inputs to measure net liabilities of $14 million (or less than 0.1%) of our total liabilities. These net liabilities included $10 million (or less than 0.1%) of the total assets, and $24 million (or 16.4%) of the total liabilities that we measured at fair value.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40" w:firstLine="228"/>
        <w:spacing w:after="0" w:line="298" w:lineRule="auto"/>
        <w:rPr>
          <w:sz w:val="20"/>
          <w:szCs w:val="20"/>
          <w:color w:val="auto"/>
        </w:rPr>
      </w:pPr>
      <w:r>
        <w:rPr>
          <w:rFonts w:ascii="Arial" w:cs="Arial" w:eastAsia="Arial" w:hAnsi="Arial"/>
          <w:sz w:val="16"/>
          <w:szCs w:val="16"/>
          <w:color w:val="auto"/>
        </w:rPr>
        <w:t>At December 31, 2010 our nonperformance risk remained unobservable through a liquid credit default swap market. During the three months ended December 31, 2010 we determined that our nonperformance risk no longer represented a significant input in the determination of the fair value of our derivatives. The effect of our nonperformance risk in the valuation was reduced due to the reduction in the remaining duration and magnitude of these net derivative liability positions. In October 2010 we transferred foreign currency derivatives with a fair market value of $183 million from Level 3 to Level 2.</w:t>
      </w:r>
    </w:p>
    <w:p>
      <w:pPr>
        <w:spacing w:after="0" w:line="113" w:lineRule="exact"/>
        <w:rPr>
          <w:sz w:val="20"/>
          <w:szCs w:val="20"/>
          <w:color w:val="auto"/>
        </w:rPr>
      </w:pPr>
    </w:p>
    <w:p>
      <w:pPr>
        <w:ind w:right="20" w:firstLine="228"/>
        <w:spacing w:after="0" w:line="268" w:lineRule="auto"/>
        <w:rPr>
          <w:sz w:val="20"/>
          <w:szCs w:val="20"/>
          <w:color w:val="auto"/>
        </w:rPr>
      </w:pPr>
      <w:r>
        <w:rPr>
          <w:rFonts w:ascii="Arial" w:cs="Arial" w:eastAsia="Arial" w:hAnsi="Arial"/>
          <w:sz w:val="18"/>
          <w:szCs w:val="18"/>
          <w:color w:val="auto"/>
        </w:rPr>
        <w:t>Realized and unrealized gains and losses related to assets and liabilities measured using Level 3 inputs did not have a material effect on operations, liquidity or capital resources in the three and six months ended June 30, 2011 and 2010.</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Automotive Financing — GM Financial</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At June 30, 2011 significant assets and liabilities classified in Level 3, with the related Level 3 inputs, are as follows:</w:t>
      </w:r>
    </w:p>
    <w:p>
      <w:pPr>
        <w:spacing w:after="0" w:line="90" w:lineRule="exact"/>
        <w:rPr>
          <w:sz w:val="20"/>
          <w:szCs w:val="20"/>
          <w:color w:val="auto"/>
        </w:rPr>
      </w:pPr>
    </w:p>
    <w:p>
      <w:pPr>
        <w:ind w:left="660" w:right="60" w:hanging="436"/>
        <w:spacing w:after="0" w:line="298" w:lineRule="auto"/>
        <w:tabs>
          <w:tab w:leader="none" w:pos="6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Interest rate swaps — Level 3 inputs are used to determine the fair value of GM Financial’s interest rate swaps because they are not exchange traded but instead traded in over-the-counter markets where quoted market prices are not readily available. The fair value of derivatives is derived using models that primarily use market observable inputs, such as interest rate yield curves and credit curves. The effects of GM Financial’s and the counterparties’ non-performance risk to the derivative trades are considered when measuring the fair value of derivative assets and liabilities.</w:t>
      </w:r>
    </w:p>
    <w:p>
      <w:pPr>
        <w:spacing w:after="0" w:line="113" w:lineRule="exact"/>
        <w:rPr>
          <w:sz w:val="20"/>
          <w:szCs w:val="20"/>
          <w:color w:val="auto"/>
        </w:rPr>
      </w:pPr>
    </w:p>
    <w:p>
      <w:pPr>
        <w:ind w:right="460" w:firstLine="228"/>
        <w:spacing w:after="0" w:line="268" w:lineRule="auto"/>
        <w:rPr>
          <w:sz w:val="20"/>
          <w:szCs w:val="20"/>
          <w:color w:val="auto"/>
        </w:rPr>
      </w:pPr>
      <w:r>
        <w:rPr>
          <w:rFonts w:ascii="Arial" w:cs="Arial" w:eastAsia="Arial" w:hAnsi="Arial"/>
          <w:sz w:val="18"/>
          <w:szCs w:val="18"/>
          <w:color w:val="auto"/>
        </w:rPr>
        <w:t>Refer to Note 19 to the condensed consolidated financial statements for additional information regarding fair value measurements of financial assets and financial liabilities.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7" w:lineRule="exact"/>
        <w:rPr>
          <w:sz w:val="20"/>
          <w:szCs w:val="20"/>
          <w:color w:val="auto"/>
        </w:rPr>
      </w:pPr>
    </w:p>
    <w:p>
      <w:pPr>
        <w:ind w:right="300" w:firstLine="228"/>
        <w:spacing w:after="0" w:line="268" w:lineRule="auto"/>
        <w:rPr>
          <w:sz w:val="20"/>
          <w:szCs w:val="20"/>
          <w:color w:val="auto"/>
        </w:rPr>
      </w:pPr>
      <w:r>
        <w:rPr>
          <w:rFonts w:ascii="Arial" w:cs="Arial" w:eastAsia="Arial" w:hAnsi="Arial"/>
          <w:sz w:val="18"/>
          <w:szCs w:val="18"/>
          <w:color w:val="auto"/>
        </w:rPr>
        <w:t>The declaration of any dividend on our common stock is a matter to be acted upon by our Board of Directors in its sole discretion. Since our formation, we have not paid any dividends on our common stock. We have no current plans to pay any dividends on our common stock.</w:t>
      </w:r>
    </w:p>
    <w:p>
      <w:pPr>
        <w:spacing w:after="0" w:line="132" w:lineRule="exact"/>
        <w:rPr>
          <w:sz w:val="20"/>
          <w:szCs w:val="20"/>
          <w:color w:val="auto"/>
        </w:rPr>
      </w:pPr>
    </w:p>
    <w:p>
      <w:pPr>
        <w:jc w:val="both"/>
        <w:ind w:right="140" w:firstLine="228"/>
        <w:spacing w:after="0" w:line="298" w:lineRule="auto"/>
        <w:rPr>
          <w:sz w:val="20"/>
          <w:szCs w:val="20"/>
          <w:color w:val="auto"/>
        </w:rPr>
      </w:pPr>
      <w:r>
        <w:rPr>
          <w:rFonts w:ascii="Arial" w:cs="Arial" w:eastAsia="Arial" w:hAnsi="Arial"/>
          <w:sz w:val="16"/>
          <w:szCs w:val="16"/>
          <w:color w:val="auto"/>
        </w:rPr>
        <w:t>So long as any share of our Series A Preferred Stock or Series B Preferred Stock remains outstanding, no dividend or distribution may be declared or paid on our common stock unless all accrued and unpaid dividends have been paid on our Series A Preferred Stock and Series B Preferred Stock, subject to exceptions, such as dividends on our common stock payable solely in shares of our common stock. Our secured revolving credit facility contains certain restrictions on our ability to pay dividends, subject to exceptions, such as dividends payable solely in shares of our common stock.</w:t>
      </w:r>
    </w:p>
    <w:p>
      <w:pPr>
        <w:spacing w:after="0" w:line="113" w:lineRule="exact"/>
        <w:rPr>
          <w:sz w:val="20"/>
          <w:szCs w:val="20"/>
          <w:color w:val="auto"/>
        </w:rPr>
      </w:pPr>
    </w:p>
    <w:p>
      <w:pPr>
        <w:jc w:val="both"/>
        <w:ind w:right="60" w:firstLine="228"/>
        <w:spacing w:after="0" w:line="259" w:lineRule="auto"/>
        <w:rPr>
          <w:sz w:val="20"/>
          <w:szCs w:val="20"/>
          <w:color w:val="auto"/>
        </w:rPr>
      </w:pPr>
      <w:r>
        <w:rPr>
          <w:rFonts w:ascii="Arial" w:cs="Arial" w:eastAsia="Arial" w:hAnsi="Arial"/>
          <w:sz w:val="18"/>
          <w:szCs w:val="18"/>
          <w:color w:val="auto"/>
        </w:rPr>
        <w:t>So long as any share of our Series A Preferred Stock remains outstanding, no dividend or distribution may be declared or paid on our Series B Preferred Stock unless all accrued and unpaid dividends have been paid on our Series A Preferred Stock, subject to exceptions, such as dividends on our Series B Preferred Stock payable solely in shares of our common stock.</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summarize dividends paid on our Series A Preferred Stock and Series B Preferred Stock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1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9"/>
              </w:rPr>
              <w:t>Three Months</w:t>
            </w:r>
          </w:p>
        </w:tc>
        <w:tc>
          <w:tcPr>
            <w:tcW w:w="140" w:type="dxa"/>
            <w:vAlign w:val="bottom"/>
          </w:tcPr>
          <w:p>
            <w:pPr>
              <w:spacing w:after="0"/>
              <w:rPr>
                <w:sz w:val="14"/>
                <w:szCs w:val="14"/>
                <w:color w:val="auto"/>
              </w:rPr>
            </w:pPr>
          </w:p>
        </w:tc>
        <w:tc>
          <w:tcPr>
            <w:tcW w:w="11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8"/>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118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Ended</w:t>
            </w:r>
          </w:p>
        </w:tc>
        <w:tc>
          <w:tcPr>
            <w:tcW w:w="140" w:type="dxa"/>
            <w:vAlign w:val="bottom"/>
          </w:tcPr>
          <w:p>
            <w:pPr>
              <w:spacing w:after="0"/>
              <w:rPr>
                <w:sz w:val="12"/>
                <w:szCs w:val="12"/>
                <w:color w:val="auto"/>
              </w:rPr>
            </w:pPr>
          </w:p>
        </w:tc>
        <w:tc>
          <w:tcPr>
            <w:tcW w:w="112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1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5"/>
              </w:rPr>
              <w:t>June 30,</w:t>
            </w:r>
          </w:p>
        </w:tc>
        <w:tc>
          <w:tcPr>
            <w:tcW w:w="140" w:type="dxa"/>
            <w:vAlign w:val="bottom"/>
          </w:tcPr>
          <w:p>
            <w:pPr>
              <w:spacing w:after="0"/>
              <w:rPr>
                <w:sz w:val="14"/>
                <w:szCs w:val="14"/>
                <w:color w:val="auto"/>
              </w:rPr>
            </w:pPr>
          </w:p>
        </w:tc>
        <w:tc>
          <w:tcPr>
            <w:tcW w:w="11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2011</w:t>
            </w: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6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Series A Preferred Stock</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$156</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$202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5"/>
              </w:rPr>
              <w:t>$ 311</w:t>
            </w: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Series B Preferred Stock</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124</w:t>
            </w:r>
          </w:p>
        </w:tc>
        <w:tc>
          <w:tcPr>
            <w:tcW w:w="30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Total Preferred Stock dividends paid</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215</w:t>
            </w: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80" w:firstLine="228"/>
        <w:spacing w:after="0" w:line="259" w:lineRule="auto"/>
        <w:rPr>
          <w:sz w:val="20"/>
          <w:szCs w:val="20"/>
          <w:color w:val="auto"/>
        </w:rPr>
      </w:pPr>
      <w:r>
        <w:rPr>
          <w:rFonts w:ascii="Arial" w:cs="Arial" w:eastAsia="Arial" w:hAnsi="Arial"/>
          <w:sz w:val="18"/>
          <w:szCs w:val="18"/>
          <w:color w:val="auto"/>
        </w:rPr>
        <w:t>Our payment of dividends in the future, if any, will be determined by our Board of Directors and will be paid out of funds legally available for that purpose and will depend on business conditions, our financial condition, earnings, liquidity and capital requirements, the covenants in our debt instruments, and other factors.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7" w:lineRule="exact"/>
        <w:rPr>
          <w:sz w:val="20"/>
          <w:szCs w:val="20"/>
          <w:color w:val="auto"/>
        </w:rPr>
      </w:pPr>
    </w:p>
    <w:p>
      <w:pPr>
        <w:ind w:right="660" w:firstLine="228"/>
        <w:spacing w:after="0" w:line="268" w:lineRule="auto"/>
        <w:rPr>
          <w:sz w:val="20"/>
          <w:szCs w:val="20"/>
          <w:color w:val="auto"/>
        </w:rPr>
      </w:pPr>
      <w:r>
        <w:rPr>
          <w:rFonts w:ascii="Arial" w:cs="Arial" w:eastAsia="Arial" w:hAnsi="Arial"/>
          <w:sz w:val="18"/>
          <w:szCs w:val="18"/>
          <w:color w:val="auto"/>
        </w:rPr>
        <w:t>At June 30, 2011 we employed 208,000 employees, of whom 140,000 (67%) were hourly employees and 68,000 (33%) were salaried employees. The following table summarizes worldwide employment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1760" w:type="dxa"/>
            <w:vAlign w:val="bottom"/>
            <w:gridSpan w:val="2"/>
          </w:tcPr>
          <w:p>
            <w:pPr>
              <w:spacing w:after="0"/>
              <w:rPr>
                <w:sz w:val="20"/>
                <w:szCs w:val="20"/>
                <w:color w:val="auto"/>
              </w:rPr>
            </w:pPr>
            <w:r>
              <w:rPr>
                <w:rFonts w:ascii="Arial" w:cs="Arial" w:eastAsia="Arial" w:hAnsi="Arial"/>
                <w:sz w:val="14"/>
                <w:szCs w:val="14"/>
                <w:b w:val="1"/>
                <w:bCs w:val="1"/>
                <w:color w:val="auto"/>
              </w:rPr>
              <w:t>June 30, 2011</w:t>
            </w: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w w:val="91"/>
              </w:rPr>
              <w:t>December 31, 2010</w:t>
            </w:r>
          </w:p>
        </w:tc>
      </w:tr>
      <w:tr>
        <w:trPr>
          <w:trHeight w:val="210"/>
        </w:trPr>
        <w:tc>
          <w:tcPr>
            <w:tcW w:w="84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GMNA</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9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GME</w:t>
            </w:r>
          </w:p>
        </w:tc>
        <w:tc>
          <w:tcPr>
            <w:tcW w:w="1760" w:type="dxa"/>
            <w:vAlign w:val="bottom"/>
            <w:gridSpan w:val="2"/>
          </w:tcPr>
          <w:p>
            <w:pPr>
              <w:jc w:val="right"/>
              <w:ind w:right="980"/>
              <w:spacing w:after="0"/>
              <w:rPr>
                <w:sz w:val="20"/>
                <w:szCs w:val="20"/>
                <w:color w:val="auto"/>
              </w:rPr>
            </w:pPr>
            <w:r>
              <w:rPr>
                <w:rFonts w:ascii="Arial" w:cs="Arial" w:eastAsia="Arial" w:hAnsi="Arial"/>
                <w:sz w:val="18"/>
                <w:szCs w:val="18"/>
                <w:color w:val="auto"/>
              </w:rPr>
              <w:t>41</w:t>
            </w:r>
          </w:p>
        </w:tc>
        <w:tc>
          <w:tcPr>
            <w:tcW w:w="10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GMIO</w:t>
            </w:r>
          </w:p>
        </w:tc>
        <w:tc>
          <w:tcPr>
            <w:tcW w:w="17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33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GMSA</w:t>
            </w:r>
          </w:p>
        </w:tc>
        <w:tc>
          <w:tcPr>
            <w:tcW w:w="1760" w:type="dxa"/>
            <w:vAlign w:val="bottom"/>
            <w:gridSpan w:val="2"/>
          </w:tcPr>
          <w:p>
            <w:pPr>
              <w:jc w:val="right"/>
              <w:ind w:right="980"/>
              <w:spacing w:after="0"/>
              <w:rPr>
                <w:sz w:val="20"/>
                <w:szCs w:val="20"/>
                <w:color w:val="auto"/>
              </w:rPr>
            </w:pPr>
            <w:r>
              <w:rPr>
                <w:rFonts w:ascii="Arial" w:cs="Arial" w:eastAsia="Arial" w:hAnsi="Arial"/>
                <w:sz w:val="18"/>
                <w:szCs w:val="18"/>
                <w:color w:val="auto"/>
              </w:rPr>
              <w:t>33</w:t>
            </w:r>
          </w:p>
        </w:tc>
        <w:tc>
          <w:tcPr>
            <w:tcW w:w="10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GM Financial</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98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r>
      <w:tr>
        <w:trPr>
          <w:trHeight w:val="222"/>
        </w:trPr>
        <w:tc>
          <w:tcPr>
            <w:tcW w:w="8480" w:type="dxa"/>
            <w:vAlign w:val="bottom"/>
          </w:tcPr>
          <w:p>
            <w:pPr>
              <w:spacing w:after="0"/>
              <w:rPr>
                <w:sz w:val="20"/>
                <w:szCs w:val="20"/>
                <w:color w:val="auto"/>
              </w:rPr>
            </w:pPr>
            <w:r>
              <w:rPr>
                <w:rFonts w:ascii="Arial" w:cs="Arial" w:eastAsia="Arial" w:hAnsi="Arial"/>
                <w:sz w:val="18"/>
                <w:szCs w:val="18"/>
                <w:color w:val="auto"/>
              </w:rPr>
              <w:t>Total Worldwide</w:t>
            </w:r>
          </w:p>
        </w:tc>
        <w:tc>
          <w:tcPr>
            <w:tcW w:w="1760" w:type="dxa"/>
            <w:vAlign w:val="bottom"/>
            <w:gridSpan w:val="2"/>
          </w:tcPr>
          <w:p>
            <w:pPr>
              <w:jc w:val="right"/>
              <w:ind w:right="980"/>
              <w:spacing w:after="0"/>
              <w:rPr>
                <w:sz w:val="20"/>
                <w:szCs w:val="20"/>
                <w:color w:val="auto"/>
              </w:rPr>
            </w:pPr>
            <w:r>
              <w:rPr>
                <w:rFonts w:ascii="Arial" w:cs="Arial" w:eastAsia="Arial" w:hAnsi="Arial"/>
                <w:sz w:val="18"/>
                <w:szCs w:val="18"/>
                <w:color w:val="auto"/>
              </w:rPr>
              <w:t>208</w:t>
            </w:r>
          </w:p>
        </w:tc>
        <w:tc>
          <w:tcPr>
            <w:tcW w:w="108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r>
      <w:tr>
        <w:trPr>
          <w:trHeight w:val="20"/>
        </w:trPr>
        <w:tc>
          <w:tcPr>
            <w:tcW w:w="84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U.S. – Salaried</w:t>
            </w:r>
          </w:p>
        </w:tc>
        <w:tc>
          <w:tcPr>
            <w:tcW w:w="17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29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r>
      <w:tr>
        <w:trPr>
          <w:trHeight w:val="222"/>
        </w:trPr>
        <w:tc>
          <w:tcPr>
            <w:tcW w:w="8480" w:type="dxa"/>
            <w:vAlign w:val="bottom"/>
          </w:tcPr>
          <w:p>
            <w:pPr>
              <w:spacing w:after="0"/>
              <w:rPr>
                <w:sz w:val="20"/>
                <w:szCs w:val="20"/>
                <w:color w:val="auto"/>
              </w:rPr>
            </w:pPr>
            <w:r>
              <w:rPr>
                <w:rFonts w:ascii="Arial" w:cs="Arial" w:eastAsia="Arial" w:hAnsi="Arial"/>
                <w:sz w:val="18"/>
                <w:szCs w:val="18"/>
                <w:color w:val="auto"/>
              </w:rPr>
              <w:t>U.S. – Hourly</w:t>
            </w:r>
          </w:p>
        </w:tc>
        <w:tc>
          <w:tcPr>
            <w:tcW w:w="1760" w:type="dxa"/>
            <w:vAlign w:val="bottom"/>
            <w:gridSpan w:val="2"/>
          </w:tcPr>
          <w:p>
            <w:pPr>
              <w:jc w:val="right"/>
              <w:ind w:right="980"/>
              <w:spacing w:after="0"/>
              <w:rPr>
                <w:sz w:val="20"/>
                <w:szCs w:val="20"/>
                <w:color w:val="auto"/>
              </w:rPr>
            </w:pPr>
            <w:r>
              <w:rPr>
                <w:rFonts w:ascii="Arial" w:cs="Arial" w:eastAsia="Arial" w:hAnsi="Arial"/>
                <w:sz w:val="18"/>
                <w:szCs w:val="18"/>
                <w:color w:val="auto"/>
              </w:rPr>
              <w:t>50</w:t>
            </w:r>
          </w:p>
        </w:tc>
        <w:tc>
          <w:tcPr>
            <w:tcW w:w="108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r>
    </w:tbl>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7" w:lineRule="exact"/>
        <w:rPr>
          <w:sz w:val="20"/>
          <w:szCs w:val="20"/>
          <w:color w:val="auto"/>
        </w:rPr>
      </w:pPr>
    </w:p>
    <w:p>
      <w:pPr>
        <w:ind w:right="100" w:firstLine="228"/>
        <w:spacing w:after="0" w:line="294" w:lineRule="auto"/>
        <w:rPr>
          <w:sz w:val="20"/>
          <w:szCs w:val="20"/>
          <w:color w:val="auto"/>
        </w:rPr>
      </w:pPr>
      <w:r>
        <w:rPr>
          <w:rFonts w:ascii="Arial" w:cs="Arial" w:eastAsia="Arial" w:hAnsi="Arial"/>
          <w:sz w:val="16"/>
          <w:szCs w:val="16"/>
          <w:color w:val="auto"/>
        </w:rPr>
        <w:t>The condensed consolidated financial statements are prepared in conformity with U.S. GAAP, which require the use of estimates, judgments and assumptions that affect the reported amounts of assets and liabilities, the disclosure of contingent assets and liabilities at the date of the financial statements, and the reported amounts of revenues and expenses in the periods presented. The critical accounting estimates that affect the condensed consolidated financial statements and the judgments and assumptions used are consistent with those described in the MD&amp;A section in our 2010 Form 10-K, with updates to our critical accounting estimates related to events occurring subsequent to the filing of our 2010 Form 10-K discussed below.</w:t>
      </w:r>
    </w:p>
    <w:p>
      <w:pPr>
        <w:spacing w:after="0" w:line="116" w:lineRule="exact"/>
        <w:rPr>
          <w:sz w:val="20"/>
          <w:szCs w:val="20"/>
          <w:color w:val="auto"/>
        </w:rPr>
      </w:pPr>
    </w:p>
    <w:p>
      <w:pPr>
        <w:ind w:right="300" w:firstLine="228"/>
        <w:spacing w:after="0" w:line="332" w:lineRule="auto"/>
        <w:rPr>
          <w:sz w:val="20"/>
          <w:szCs w:val="20"/>
          <w:color w:val="auto"/>
        </w:rPr>
      </w:pPr>
      <w:r>
        <w:rPr>
          <w:rFonts w:ascii="Arial" w:cs="Arial" w:eastAsia="Arial" w:hAnsi="Arial"/>
          <w:sz w:val="16"/>
          <w:szCs w:val="16"/>
          <w:color w:val="auto"/>
        </w:rPr>
        <w:t>We believe that the accounting estimates employed are appropriate and resulting balances are reasonable; however, due to inherent uncertainties in making estimates actual results could differ from the original estimates, requiring adjustments to these balances in future periods.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171" w:lineRule="exact"/>
        <w:rPr>
          <w:sz w:val="20"/>
          <w:szCs w:val="20"/>
          <w:color w:val="auto"/>
        </w:rPr>
      </w:pPr>
    </w:p>
    <w:p>
      <w:pPr>
        <w:ind w:right="20" w:firstLine="228"/>
        <w:spacing w:after="0" w:line="291" w:lineRule="auto"/>
        <w:rPr>
          <w:sz w:val="20"/>
          <w:szCs w:val="20"/>
          <w:color w:val="auto"/>
        </w:rPr>
      </w:pPr>
      <w:r>
        <w:rPr>
          <w:rFonts w:ascii="Arial" w:cs="Arial" w:eastAsia="Arial" w:hAnsi="Arial"/>
          <w:sz w:val="16"/>
          <w:szCs w:val="16"/>
          <w:color w:val="auto"/>
        </w:rPr>
        <w:t>In December 2010 the FASB issued ASU 2010-28. The amendments in this ASU modify Step 1 of the goodwill impairment test for reporting units with zero or negative carrying amounts. For those reporting units, an entity is required to perform Step 2 of the goodwill impairment test if it is more likely than not that a goodwill impairment exists. Any resulting goodwill impairment is recorded as a cumulative-effect adjustment to beginning Retained earnings at the date of adoption with future impairments recorded to earnings. We adopted the provisions of ASU 2010-28 on January 1, 2011. GME has a negative carrying amount and we determined that it was more likely than not that a goodwill impairment existed at January 1, 2011 and at March 31, 2011 due to decreases in our nonperformance risk and improvements in our incremental borrowing interest rates occurring since July 10, 2009 through March 31, 2011.</w:t>
      </w:r>
    </w:p>
    <w:p>
      <w:pPr>
        <w:spacing w:after="0" w:line="120" w:lineRule="exact"/>
        <w:rPr>
          <w:sz w:val="20"/>
          <w:szCs w:val="20"/>
          <w:color w:val="auto"/>
        </w:rPr>
      </w:pPr>
    </w:p>
    <w:p>
      <w:pPr>
        <w:ind w:right="60" w:firstLine="228"/>
        <w:spacing w:after="0" w:line="287" w:lineRule="auto"/>
        <w:rPr>
          <w:sz w:val="20"/>
          <w:szCs w:val="20"/>
          <w:color w:val="auto"/>
        </w:rPr>
      </w:pPr>
      <w:r>
        <w:rPr>
          <w:rFonts w:ascii="Arial" w:cs="Arial" w:eastAsia="Arial" w:hAnsi="Arial"/>
          <w:sz w:val="16"/>
          <w:szCs w:val="16"/>
          <w:color w:val="auto"/>
        </w:rPr>
        <w:t>The adoption of ASU 2010-28 resulted in the recognition of a cumulative-effect adjustment to beginning Retained earnings of $1.5 billion for our GME reporting unit. In addition, because GME continued to have a negative carrying amount and it was more likely than not further goodwill impairment existed at March 31, 2011, an impairment charge of $395 million was recorded in Goodwill impairment charges during the three months ended March 31, 2011. Both the impairment charge recorded as a result of the initial adoption of ASU 2010-28 and the March 31, 2011 measurement represent the net decreases, from July 10, 2009 through January 1, 2011 and from January 1, 2011 through March 31, 2011, in the fair-value-to-U.S. GAAP differences attributable to those assets and liabilities that gave rise to goodwill upon our application of fresh-start reporting. The net decreases resulted primarily from: (1) a decrease in our nonperformance risk and an improvement in our incremental borrowing rates since July 10, 2009; (2) an increase in the high quality corporate bond rates utilized to measure our employee benefit obligations since January 1, 2011; and (3) a decrease in credit spreads between high quality corporate bond rates and market interest rates for companies with similar nonperformance risk. Refer to Notes 2 and 9 to our condensed consolidated financial statements for additional information related to the adoption of ASU 2010-28.</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20" w:firstLine="228"/>
        <w:spacing w:after="0" w:line="289" w:lineRule="auto"/>
        <w:rPr>
          <w:sz w:val="20"/>
          <w:szCs w:val="20"/>
          <w:color w:val="auto"/>
        </w:rPr>
      </w:pPr>
      <w:r>
        <w:rPr>
          <w:rFonts w:ascii="Arial" w:cs="Arial" w:eastAsia="Arial" w:hAnsi="Arial"/>
          <w:sz w:val="16"/>
          <w:szCs w:val="16"/>
          <w:color w:val="auto"/>
        </w:rPr>
        <w:t>When applying fresh-start reporting, certain accounts in GME, primarily employee benefit and income tax related, were recorded at amounts determined under specific U.S. GAAP rather than fair value, and the difference between the U.S. GAAP and fair value amounts gave rise to goodwill, which is a residual. Our employee benefit related accounts were recorded in accordance with Accounting Standards Codification (ASC) 712 “Compensation — Nonretirement Postemployment Benefits” and ASC 715 “Compensation Benefits.” The discount rates utilized to determine the fair value of these obligations were based on our incremental borrowing rates, which included our nonperformance risk. Our incremental borrowing rates are also affected by changes in market interest rates. Deferred income taxes were recorded in accordance with ASC 740 “Income Taxes.” Further, we recorded valuation allowances against certain of our deferred tax assets, which under ASC 852 “Reorganizations” also resulted in goodwill. If all identifiable assets and liabilities had been recorded at fair value upon application of fresh-start reporting, no goodwill would have resulted.</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GME has a negative carrying amount and we determined that it was more likely than not that a goodwill impairment existed at January 1, 2011 and at</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March 31, 2011 due to decreases in our nonperformance risk and improvements in our incremental borrowing interest rates occurring since July 10, 2009 through</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March 31, 2011. As such, despite the fair value of GME’s equity being greater than its carrying amount, we performed Step 2 of the goodwill impairment testing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analysis. The valuation methodologies utilized to perform our goodwill impairment testing for GME were consistent with those used in our application of fresh-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start reporting on July 10, 2009, as discussed in Note 2 to our consolidated financial statements contained in our 2010 Form 10-K, and in our 2010 annual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goodwill impairment testing at October 1, 2010. The fair value measures used in our analyses were Level 3 measures.</w:t>
      </w:r>
    </w:p>
    <w:p>
      <w:pPr>
        <w:spacing w:after="0" w:line="165" w:lineRule="exact"/>
        <w:rPr>
          <w:sz w:val="20"/>
          <w:szCs w:val="20"/>
          <w:color w:val="auto"/>
        </w:rPr>
      </w:pPr>
    </w:p>
    <w:p>
      <w:pPr>
        <w:ind w:right="20" w:firstLine="228"/>
        <w:spacing w:after="0" w:line="287" w:lineRule="auto"/>
        <w:rPr>
          <w:sz w:val="20"/>
          <w:szCs w:val="20"/>
          <w:color w:val="auto"/>
        </w:rPr>
      </w:pPr>
      <w:r>
        <w:rPr>
          <w:rFonts w:ascii="Arial" w:cs="Arial" w:eastAsia="Arial" w:hAnsi="Arial"/>
          <w:sz w:val="16"/>
          <w:szCs w:val="16"/>
          <w:color w:val="auto"/>
        </w:rPr>
        <w:t>Because the fair value of goodwill can be measured only as a residual amount and cannot be determined directly, we calculated GME’s implied goodwill in the same manner that goodwill is recognized in a business combination pursuant to ASC 805 “Business Combinations.” In performing our Step 2 analyses, we utilized a discounted cash flow methodology to estimate the fair values of GME at January 1, 2011 and March 31, 2011. These fair value estimates utilized a weighted-average cost of capital of 17.0% and 16.5% at January 1, 2011 and March 31, 2011 that considered various factors including bond yields, risk premiums, and tax rates; a terminal value that was determined using a growth model that applied a long-term growth rate of 0.5% to our projected cash flows beyond 2015; and industry sales of 18.4 million and a market share for GME of 6.56% in 2011 increasing to industry sales of 22.0 million vehicles and a 7.42% market share in 2015. The fair value of property was determined based on its highest and best use utilizing a combination of the market or sales comparison approach, the cost approach and/or the income approach. The fair values of GME’s brands were determined based on a relief from royalty method and the fair value of GME’s dealer network was determined on a cost approach. Based on these fair value measures, we determined GME’s implied goodwill represents only the fair-value-to-U.S. GAAP differences attributable to those assets and liabilities that gave rise to goodwill upon our application of fresh-start reporting.</w:t>
      </w:r>
    </w:p>
    <w:p>
      <w:pPr>
        <w:spacing w:after="0" w:line="123" w:lineRule="exact"/>
        <w:rPr>
          <w:sz w:val="20"/>
          <w:szCs w:val="20"/>
          <w:color w:val="auto"/>
        </w:rPr>
      </w:pPr>
    </w:p>
    <w:p>
      <w:pPr>
        <w:ind w:right="120" w:firstLine="228"/>
        <w:spacing w:after="0" w:line="259" w:lineRule="auto"/>
        <w:rPr>
          <w:sz w:val="20"/>
          <w:szCs w:val="20"/>
          <w:color w:val="auto"/>
        </w:rPr>
      </w:pPr>
      <w:r>
        <w:rPr>
          <w:rFonts w:ascii="Arial" w:cs="Arial" w:eastAsia="Arial" w:hAnsi="Arial"/>
          <w:sz w:val="18"/>
          <w:szCs w:val="18"/>
          <w:color w:val="auto"/>
        </w:rPr>
        <w:t>The key assumptions utilized in determining the fair-value-to-U.S. GAAP differences are the determination of our nonperformance risk, interest rates and the estimated timing of the utilization of our deferred tax assets. Of these factors, the amount of implied goodwill within GME at January 1, 2011 and at March 31, 2011 is most sensitive to changes in our nonperformance risk and interest rates.</w:t>
      </w:r>
    </w:p>
    <w:p>
      <w:pPr>
        <w:spacing w:after="0" w:line="140" w:lineRule="exact"/>
        <w:rPr>
          <w:sz w:val="20"/>
          <w:szCs w:val="20"/>
          <w:color w:val="auto"/>
        </w:rPr>
      </w:pPr>
    </w:p>
    <w:p>
      <w:pPr>
        <w:ind w:right="480" w:firstLine="228"/>
        <w:spacing w:after="0" w:line="259" w:lineRule="auto"/>
        <w:rPr>
          <w:sz w:val="20"/>
          <w:szCs w:val="20"/>
          <w:color w:val="auto"/>
        </w:rPr>
      </w:pPr>
      <w:r>
        <w:rPr>
          <w:rFonts w:ascii="Arial" w:cs="Arial" w:eastAsia="Arial" w:hAnsi="Arial"/>
          <w:sz w:val="18"/>
          <w:szCs w:val="18"/>
          <w:color w:val="auto"/>
        </w:rPr>
        <w:t>The following table summarizes the effect on determination of the implied goodwill of GME at March 31, 2011 (the last date on which goodwill was remeasured for financial reporting purposes) of changes in our incremental borrowing rates utilized in calculating the implied goodwill for GME (dollars in millions):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w w:val="97"/>
              </w:rPr>
              <w:t>Effect on Implied</w:t>
            </w:r>
          </w:p>
        </w:tc>
      </w:tr>
      <w:tr>
        <w:trPr>
          <w:trHeight w:val="149"/>
        </w:trPr>
        <w:tc>
          <w:tcPr>
            <w:tcW w:w="486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2"/>
              </w:rPr>
              <w:t>Goodwill at</w:t>
            </w:r>
          </w:p>
        </w:tc>
      </w:tr>
      <w:tr>
        <w:trPr>
          <w:trHeight w:val="161"/>
        </w:trPr>
        <w:tc>
          <w:tcPr>
            <w:tcW w:w="486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12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 2011</w:t>
            </w:r>
          </w:p>
        </w:tc>
      </w:tr>
      <w:tr>
        <w:trPr>
          <w:trHeight w:val="196"/>
        </w:trPr>
        <w:tc>
          <w:tcPr>
            <w:tcW w:w="4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Change in Incremental Borrowing Rates</w:t>
            </w:r>
          </w:p>
        </w:tc>
        <w:tc>
          <w:tcPr>
            <w:tcW w:w="5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25 basis point decrease in our incremental borrowing rates</w:t>
            </w:r>
          </w:p>
        </w:tc>
        <w:tc>
          <w:tcPr>
            <w:tcW w:w="5560" w:type="dxa"/>
            <w:vAlign w:val="bottom"/>
            <w:gridSpan w:val="2"/>
          </w:tcPr>
          <w:p>
            <w:pPr>
              <w:ind w:left="544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(137)</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25 basis point increase in our incremental borrowing rates</w:t>
            </w:r>
          </w:p>
        </w:tc>
        <w:tc>
          <w:tcPr>
            <w:tcW w:w="5560" w:type="dxa"/>
            <w:vAlign w:val="bottom"/>
            <w:gridSpan w:val="2"/>
            <w:shd w:val="clear" w:color="auto" w:fill="CCEEFF"/>
          </w:tcPr>
          <w:p>
            <w:pPr>
              <w:ind w:left="544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r>
      <w:tr>
        <w:trPr>
          <w:trHeight w:val="363"/>
        </w:trPr>
        <w:tc>
          <w:tcPr>
            <w:tcW w:w="4860" w:type="dxa"/>
            <w:vAlign w:val="bottom"/>
          </w:tcPr>
          <w:p>
            <w:pPr>
              <w:spacing w:after="0"/>
              <w:rPr>
                <w:sz w:val="24"/>
                <w:szCs w:val="24"/>
                <w:color w:val="auto"/>
              </w:rPr>
            </w:pPr>
          </w:p>
        </w:tc>
        <w:tc>
          <w:tcPr>
            <w:tcW w:w="5440" w:type="dxa"/>
            <w:vAlign w:val="bottom"/>
          </w:tcPr>
          <w:p>
            <w:pPr>
              <w:jc w:val="right"/>
              <w:ind w:right="4412"/>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340" w:firstLine="228"/>
        <w:spacing w:after="0" w:line="268" w:lineRule="auto"/>
        <w:rPr>
          <w:sz w:val="20"/>
          <w:szCs w:val="20"/>
          <w:color w:val="auto"/>
        </w:rPr>
      </w:pPr>
      <w:r>
        <w:rPr>
          <w:rFonts w:ascii="Arial" w:cs="Arial" w:eastAsia="Arial" w:hAnsi="Arial"/>
          <w:sz w:val="18"/>
          <w:szCs w:val="18"/>
          <w:color w:val="auto"/>
        </w:rPr>
        <w:t>The following table summarizes the effect on the implied goodwill of GME at March 31, 2011 of changes in high quality corporate rates in calculating the implied goodwill for GME (dollars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w w:val="97"/>
              </w:rPr>
              <w:t>Effect on Implied</w:t>
            </w:r>
          </w:p>
        </w:tc>
      </w:tr>
      <w:tr>
        <w:trPr>
          <w:trHeight w:val="149"/>
        </w:trPr>
        <w:tc>
          <w:tcPr>
            <w:tcW w:w="70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2"/>
              </w:rPr>
              <w:t>Goodwill at</w:t>
            </w:r>
          </w:p>
        </w:tc>
      </w:tr>
      <w:tr>
        <w:trPr>
          <w:trHeight w:val="161"/>
        </w:trPr>
        <w:tc>
          <w:tcPr>
            <w:tcW w:w="70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12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 2011</w:t>
            </w:r>
          </w:p>
        </w:tc>
      </w:tr>
      <w:tr>
        <w:trPr>
          <w:trHeight w:val="196"/>
        </w:trPr>
        <w:tc>
          <w:tcPr>
            <w:tcW w:w="7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Change in High Quality Corporate Rates</w:t>
            </w:r>
          </w:p>
        </w:tc>
        <w:tc>
          <w:tcPr>
            <w:tcW w:w="3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25 basis point decrease in high quality corporate rates</w:t>
            </w:r>
          </w:p>
        </w:tc>
        <w:tc>
          <w:tcPr>
            <w:tcW w:w="3380" w:type="dxa"/>
            <w:vAlign w:val="bottom"/>
            <w:gridSpan w:val="2"/>
          </w:tcPr>
          <w:p>
            <w:pPr>
              <w:ind w:left="326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333</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25 basis point increase in high quality corporate rates</w:t>
            </w:r>
          </w:p>
        </w:tc>
        <w:tc>
          <w:tcPr>
            <w:tcW w:w="3380" w:type="dxa"/>
            <w:vAlign w:val="bottom"/>
            <w:gridSpan w:val="2"/>
            <w:shd w:val="clear" w:color="auto" w:fill="CCEEFF"/>
          </w:tcPr>
          <w:p>
            <w:pPr>
              <w:ind w:left="326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(314)</w:t>
            </w:r>
          </w:p>
        </w:tc>
      </w:tr>
    </w:tbl>
    <w:p>
      <w:pPr>
        <w:spacing w:after="0" w:line="154" w:lineRule="exact"/>
        <w:rPr>
          <w:sz w:val="20"/>
          <w:szCs w:val="20"/>
          <w:color w:val="auto"/>
        </w:rPr>
      </w:pPr>
    </w:p>
    <w:p>
      <w:pPr>
        <w:ind w:firstLine="228"/>
        <w:spacing w:after="0" w:line="286" w:lineRule="auto"/>
        <w:rPr>
          <w:sz w:val="20"/>
          <w:szCs w:val="20"/>
          <w:color w:val="auto"/>
        </w:rPr>
      </w:pPr>
      <w:r>
        <w:rPr>
          <w:rFonts w:ascii="Arial" w:cs="Arial" w:eastAsia="Arial" w:hAnsi="Arial"/>
          <w:sz w:val="16"/>
          <w:szCs w:val="16"/>
          <w:color w:val="auto"/>
        </w:rPr>
        <w:t>Future goodwill impairments could occur within GME should the fair-value-to-U.S. GAAP differences decrease, GME continue to have a negative carrying amount, and the fair value of the GME reporting unit does not increase sufficiently to offset such decreases or such increase in fair value results in a corresponding increase in the fair value of other identifiable assets without giving rise to additional implied goodwill. The difference between these fair-value-to-U.S. GAAP differences would decrease upon an improvement in our credit rating or a decrease in credit spreads between high quality corporate bonds and market interest rates, thus resulting in a decrease in the spread between our employee benefit related obligations under U.S. GAAP and their fair values. The fair-value-to-U.S. GAAP differences that gave rise to goodwill upon our application of fresh-start reporting within GME also included deferred tax asset valuation allowances. Similarly, a decrease would also occur upon reversal of our deferred tax asset valuation allowances within GME. Should the fair-value-to-U.S. GAAP differences decrease for these reasons, without an increase in the fair value of the GME reporting unit sufficient to offset such decreases, the implied goodwill balance will decline and future goodwill impairments would occur that may be material. Any declines would have a negative effect on our earnings and would be included in Goodwill impairment charges. Future goodwill impairments could also occur within our other reporting units, including GMNA, should we first fail Step 1 of the goodwill impairment testing analysis and the fair-value-to-U.S. GAAP differences noted above also decrease.</w:t>
      </w:r>
    </w:p>
    <w:p>
      <w:pPr>
        <w:spacing w:after="0" w:line="127" w:lineRule="exact"/>
        <w:rPr>
          <w:sz w:val="20"/>
          <w:szCs w:val="20"/>
          <w:color w:val="auto"/>
        </w:rPr>
      </w:pPr>
    </w:p>
    <w:p>
      <w:pPr>
        <w:jc w:val="both"/>
        <w:ind w:right="280" w:firstLine="228"/>
        <w:spacing w:after="0" w:line="255" w:lineRule="auto"/>
        <w:rPr>
          <w:sz w:val="20"/>
          <w:szCs w:val="20"/>
          <w:color w:val="auto"/>
        </w:rPr>
      </w:pPr>
      <w:r>
        <w:rPr>
          <w:rFonts w:ascii="Arial" w:cs="Arial" w:eastAsia="Arial" w:hAnsi="Arial"/>
          <w:sz w:val="18"/>
          <w:szCs w:val="18"/>
          <w:color w:val="auto"/>
        </w:rPr>
        <w:t>We believe future goodwill impairment charges could occur in 2011 related to GME, because GME has a negative carrying amount and it is possible: (1) a decrease in the credit spreads between high quality corporate bond rates and market interest rates for companies with similar nonperformance risk could occur and/or (2) a decrease in our nonperformance risk or improvement in our credit rating could occur. As these events did not occur during the three months ended June 30, 2011, it was not more likely than not further goodwill impairment existed at June 30, 2011. Therefore, no impairment charge was recorded during the three months ended June 30, 2011.</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Not Yet Adopted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Refer to Note 2 to the condensed consolidated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right="20" w:firstLine="228"/>
        <w:spacing w:after="0" w:line="310" w:lineRule="auto"/>
        <w:rPr>
          <w:sz w:val="20"/>
          <w:szCs w:val="20"/>
          <w:color w:val="auto"/>
        </w:rPr>
      </w:pPr>
      <w:r>
        <w:rPr>
          <w:rFonts w:ascii="Arial" w:cs="Arial" w:eastAsia="Arial" w:hAnsi="Arial"/>
          <w:sz w:val="15"/>
          <w:szCs w:val="15"/>
          <w:color w:val="auto"/>
        </w:rPr>
        <w:t>In this report and in reports we subsequently file and have previously filed with the SEC on Forms 10-K and 10-Q and file or furnish on Form 8-K, and in related comments by our management, we use words like “anticipate,” “believe,” “continue,” “could,” “designed,” “effect,” “estimate,” “evaluate,” “expect,” “forecast,” “goal,” “initiative,” “intend,” “may,” “objective,” “outlook,” “plan,” “potential,” “priorities,” “project,” “pursue,” “seek,” “should,” “target,” “when,” “would,” or the negative of any of those words or similar expressions to identify forward-looking statements that represent our current judgment about possible future events. In making these statements we rely on assumptions and analyses based on our experience and perception of historical trends, current conditions and expected future developments as well as other factors we consider appropriate under the circumstances. We believe these judgments are reasonable, but these statements are not guarantees of any events or financial results, and our actual results may differ materially due to a variety of important factors, both positive and negative. These factors, which may be revised or supplemented in subsequent reports on SEC Forms 10-K, 10-Q and 8-K, include among others the following:</w:t>
      </w:r>
    </w:p>
    <w:p>
      <w:pPr>
        <w:spacing w:after="0" w:line="149" w:lineRule="exact"/>
        <w:rPr>
          <w:sz w:val="20"/>
          <w:szCs w:val="20"/>
          <w:color w:val="auto"/>
        </w:rPr>
      </w:pPr>
    </w:p>
    <w:p>
      <w:pPr>
        <w:ind w:left="660" w:hanging="436"/>
        <w:spacing w:after="0"/>
        <w:tabs>
          <w:tab w:leader="none" w:pos="6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Our ability to realize production efficiencies and to achieve reductions in costs as a result of our restructuring initiatives and labor modifications;</w:t>
      </w:r>
    </w:p>
    <w:p>
      <w:pPr>
        <w:spacing w:after="0" w:line="113" w:lineRule="exact"/>
        <w:rPr>
          <w:rFonts w:ascii="Arial" w:cs="Arial" w:eastAsia="Arial" w:hAnsi="Arial"/>
          <w:sz w:val="16"/>
          <w:szCs w:val="16"/>
          <w:color w:val="auto"/>
        </w:rPr>
      </w:pPr>
    </w:p>
    <w:p>
      <w:pPr>
        <w:ind w:left="660" w:hanging="436"/>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Our ability to maintain quality control over our vehicles and avoid material vehicle recalls;</w:t>
      </w:r>
    </w:p>
    <w:p>
      <w:pPr>
        <w:spacing w:after="0" w:line="90" w:lineRule="exact"/>
        <w:rPr>
          <w:rFonts w:ascii="Arial" w:cs="Arial" w:eastAsia="Arial" w:hAnsi="Arial"/>
          <w:sz w:val="18"/>
          <w:szCs w:val="18"/>
          <w:color w:val="auto"/>
        </w:rPr>
      </w:pPr>
    </w:p>
    <w:p>
      <w:pPr>
        <w:ind w:left="660" w:right="220" w:hanging="436"/>
        <w:spacing w:after="0" w:line="332" w:lineRule="auto"/>
        <w:tabs>
          <w:tab w:leader="none" w:pos="6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Our ability to maintain adequate liquidity and financing sources and an appropriate level of debt, including as required to fund our planned significant investment in new technology, and, even if funded, our ability to realize successful vehicle applications of new technology;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left="660" w:right="680" w:hanging="436"/>
        <w:spacing w:after="0" w:line="268"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effect of business or liquidity difficulties for us or one or more subsidiaries on other entities in our corporate group as a result of our highly integrated and complex corporate structure and operation;</w:t>
      </w:r>
    </w:p>
    <w:p>
      <w:pPr>
        <w:spacing w:after="0" w:line="50" w:lineRule="exact"/>
        <w:rPr>
          <w:rFonts w:ascii="Arial" w:cs="Arial" w:eastAsia="Arial" w:hAnsi="Arial"/>
          <w:sz w:val="18"/>
          <w:szCs w:val="18"/>
          <w:color w:val="auto"/>
        </w:rPr>
      </w:pPr>
    </w:p>
    <w:p>
      <w:pPr>
        <w:ind w:left="660" w:hanging="436"/>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Our ability to continue to attract customers, particularly for our new products, including cars and crossover vehicles;</w:t>
      </w:r>
    </w:p>
    <w:p>
      <w:pPr>
        <w:spacing w:after="0" w:line="90" w:lineRule="exact"/>
        <w:rPr>
          <w:rFonts w:ascii="Arial" w:cs="Arial" w:eastAsia="Arial" w:hAnsi="Arial"/>
          <w:sz w:val="18"/>
          <w:szCs w:val="18"/>
          <w:color w:val="auto"/>
        </w:rPr>
      </w:pPr>
    </w:p>
    <w:p>
      <w:pPr>
        <w:ind w:left="660" w:right="340" w:hanging="436"/>
        <w:spacing w:after="0" w:line="268"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Availability of adequate financing on acceptable terms to our customers, dealers, distributors and suppliers to enable them to continue their business relationships with us;</w:t>
      </w:r>
    </w:p>
    <w:p>
      <w:pPr>
        <w:spacing w:after="0" w:line="50" w:lineRule="exact"/>
        <w:rPr>
          <w:rFonts w:ascii="Arial" w:cs="Arial" w:eastAsia="Arial" w:hAnsi="Arial"/>
          <w:sz w:val="18"/>
          <w:szCs w:val="18"/>
          <w:color w:val="auto"/>
        </w:rPr>
      </w:pPr>
    </w:p>
    <w:p>
      <w:pPr>
        <w:ind w:left="660" w:hanging="436"/>
        <w:spacing w:after="0"/>
        <w:tabs>
          <w:tab w:leader="none" w:pos="6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financial viability and ability to borrow of our key suppliers and their ability to provide systems, components and parts without disruption;</w:t>
      </w:r>
    </w:p>
    <w:p>
      <w:pPr>
        <w:spacing w:after="0" w:line="113" w:lineRule="exact"/>
        <w:rPr>
          <w:rFonts w:ascii="Arial" w:cs="Arial" w:eastAsia="Arial" w:hAnsi="Arial"/>
          <w:sz w:val="16"/>
          <w:szCs w:val="16"/>
          <w:color w:val="auto"/>
        </w:rPr>
      </w:pPr>
    </w:p>
    <w:p>
      <w:pPr>
        <w:ind w:left="660" w:hanging="436"/>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ability of our suppliers to deliver parts, systems and components at such times to allow us to meet production schedules;</w:t>
      </w:r>
    </w:p>
    <w:p>
      <w:pPr>
        <w:spacing w:after="0" w:line="90" w:lineRule="exact"/>
        <w:rPr>
          <w:rFonts w:ascii="Arial" w:cs="Arial" w:eastAsia="Arial" w:hAnsi="Arial"/>
          <w:sz w:val="18"/>
          <w:szCs w:val="18"/>
          <w:color w:val="auto"/>
        </w:rPr>
      </w:pPr>
    </w:p>
    <w:p>
      <w:pPr>
        <w:ind w:left="660" w:right="180" w:hanging="436"/>
        <w:spacing w:after="0" w:line="332" w:lineRule="auto"/>
        <w:tabs>
          <w:tab w:leader="none" w:pos="6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Our ability to take actions we believe are important to our long-term strategy, including our ability to enter into certain material transactions outside of the ordinary course of business, which may be limited due to significant covenants in our secured revolving credit facility;</w:t>
      </w:r>
    </w:p>
    <w:p>
      <w:pPr>
        <w:spacing w:after="0" w:line="4" w:lineRule="exact"/>
        <w:rPr>
          <w:rFonts w:ascii="Arial" w:cs="Arial" w:eastAsia="Arial" w:hAnsi="Arial"/>
          <w:sz w:val="16"/>
          <w:szCs w:val="16"/>
          <w:color w:val="auto"/>
        </w:rPr>
      </w:pPr>
    </w:p>
    <w:p>
      <w:pPr>
        <w:ind w:left="660" w:hanging="436"/>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Our ability to manage the distribution channels for our products, including our ability to consolidate our dealer network;</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Our ability to successfully restructure our European operations;</w:t>
      </w:r>
    </w:p>
    <w:p>
      <w:pPr>
        <w:spacing w:after="0" w:line="90" w:lineRule="exact"/>
        <w:rPr>
          <w:rFonts w:ascii="Arial" w:cs="Arial" w:eastAsia="Arial" w:hAnsi="Arial"/>
          <w:sz w:val="18"/>
          <w:szCs w:val="18"/>
          <w:color w:val="auto"/>
        </w:rPr>
      </w:pPr>
    </w:p>
    <w:p>
      <w:pPr>
        <w:ind w:left="660" w:hanging="436"/>
        <w:spacing w:after="0" w:line="256"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continued availability of both wholesale and retail financing from Ally Financial and its affiliates in the United States, Canada and the other markets in which we operate to support our ability to sell vehicles in those markets, which is dependent on Ally Financial’s ability to obtain funding and which may be suspended by Ally Financial if Ally Financial’s credit exposure to us exceeds certain limitations provided in our operating arrangements with Ally Financial;</w:t>
      </w:r>
    </w:p>
    <w:p>
      <w:pPr>
        <w:spacing w:after="0" w:line="62" w:lineRule="exact"/>
        <w:rPr>
          <w:rFonts w:ascii="Arial" w:cs="Arial" w:eastAsia="Arial" w:hAnsi="Arial"/>
          <w:sz w:val="18"/>
          <w:szCs w:val="18"/>
          <w:color w:val="auto"/>
        </w:rPr>
      </w:pPr>
    </w:p>
    <w:p>
      <w:pPr>
        <w:ind w:left="660" w:hanging="436"/>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Our ability to develop captive financing capability, including through GM Financial;</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Overall strength and stability of general economic conditions and of the automotive industry, both in the United States and in global markets;</w:t>
      </w:r>
    </w:p>
    <w:p>
      <w:pPr>
        <w:spacing w:after="0" w:line="113" w:lineRule="exact"/>
        <w:rPr>
          <w:rFonts w:ascii="Arial" w:cs="Arial" w:eastAsia="Arial" w:hAnsi="Arial"/>
          <w:sz w:val="16"/>
          <w:szCs w:val="16"/>
          <w:color w:val="auto"/>
        </w:rPr>
      </w:pPr>
    </w:p>
    <w:p>
      <w:pPr>
        <w:ind w:left="660" w:right="520" w:hanging="436"/>
        <w:spacing w:after="0" w:line="332" w:lineRule="auto"/>
        <w:tabs>
          <w:tab w:leader="none" w:pos="6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Continued economic instability or poor economic conditions in the United States and global markets, including the credit markets, or changes in economic conditions, commodity prices, housing prices, foreign currency exchange rates or political stability in the markets in which we operate;</w:t>
      </w:r>
    </w:p>
    <w:p>
      <w:pPr>
        <w:spacing w:after="0" w:line="4" w:lineRule="exact"/>
        <w:rPr>
          <w:rFonts w:ascii="Arial" w:cs="Arial" w:eastAsia="Arial" w:hAnsi="Arial"/>
          <w:sz w:val="16"/>
          <w:szCs w:val="16"/>
          <w:color w:val="auto"/>
        </w:rPr>
      </w:pPr>
    </w:p>
    <w:p>
      <w:pPr>
        <w:ind w:left="660" w:hanging="436"/>
        <w:spacing w:after="0"/>
        <w:tabs>
          <w:tab w:leader="none" w:pos="6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Shortages of and increases or volatility in the price of oil, including as a result of political instability in the Middle East and African nations;</w:t>
      </w:r>
    </w:p>
    <w:p>
      <w:pPr>
        <w:spacing w:after="0" w:line="113" w:lineRule="exact"/>
        <w:rPr>
          <w:rFonts w:ascii="Arial" w:cs="Arial" w:eastAsia="Arial" w:hAnsi="Arial"/>
          <w:sz w:val="16"/>
          <w:szCs w:val="16"/>
          <w:color w:val="auto"/>
        </w:rPr>
      </w:pPr>
    </w:p>
    <w:p>
      <w:pPr>
        <w:ind w:left="660" w:right="500" w:hanging="436"/>
        <w:spacing w:after="0" w:line="268"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Significant changes in the competitive environment, including the effect of competition and excess manufacturing capacity in our markets, on our pricing policies or use of incentives and the introduction of new and improved vehicle models by our competitors;</w:t>
      </w:r>
    </w:p>
    <w:p>
      <w:pPr>
        <w:spacing w:after="0" w:line="50" w:lineRule="exact"/>
        <w:rPr>
          <w:rFonts w:ascii="Arial" w:cs="Arial" w:eastAsia="Arial" w:hAnsi="Arial"/>
          <w:sz w:val="18"/>
          <w:szCs w:val="18"/>
          <w:color w:val="auto"/>
        </w:rPr>
      </w:pPr>
    </w:p>
    <w:p>
      <w:pPr>
        <w:ind w:left="660" w:right="60" w:hanging="436"/>
        <w:spacing w:after="0" w:line="268"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Significant changes in economic and market conditions in China, including the effect of competition from new market entrants, on our vehicle sales and market position in China;</w:t>
      </w:r>
    </w:p>
    <w:p>
      <w:pPr>
        <w:spacing w:after="0" w:line="50" w:lineRule="exact"/>
        <w:rPr>
          <w:rFonts w:ascii="Arial" w:cs="Arial" w:eastAsia="Arial" w:hAnsi="Arial"/>
          <w:sz w:val="18"/>
          <w:szCs w:val="18"/>
          <w:color w:val="auto"/>
        </w:rPr>
      </w:pPr>
    </w:p>
    <w:p>
      <w:pPr>
        <w:ind w:left="660" w:right="560" w:hanging="436"/>
        <w:spacing w:after="0" w:line="357" w:lineRule="auto"/>
        <w:tabs>
          <w:tab w:leader="none" w:pos="660" w:val="left"/>
        </w:tabs>
        <w:numPr>
          <w:ilvl w:val="0"/>
          <w:numId w:val="73"/>
        </w:numPr>
        <w:rPr>
          <w:rFonts w:ascii="Arial" w:cs="Arial" w:eastAsia="Arial" w:hAnsi="Arial"/>
          <w:sz w:val="15"/>
          <w:szCs w:val="15"/>
          <w:color w:val="auto"/>
        </w:rPr>
      </w:pPr>
      <w:r>
        <w:rPr>
          <w:rFonts w:ascii="Arial" w:cs="Arial" w:eastAsia="Arial" w:hAnsi="Arial"/>
          <w:sz w:val="15"/>
          <w:szCs w:val="15"/>
          <w:color w:val="auto"/>
        </w:rPr>
        <w:t>Changes in the existing, or the adoption of new, laws, regulations, policies or other activities of governments, agencies and similar organizations, including where such actions may affect the production, licensing, distribution or sale of our products, the cost thereof or applicable tax rates;</w:t>
      </w:r>
    </w:p>
    <w:p>
      <w:pPr>
        <w:ind w:left="660" w:hanging="436"/>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Costs and risks associated with litigation;</w:t>
      </w:r>
    </w:p>
    <w:p>
      <w:pPr>
        <w:spacing w:after="0" w:line="90" w:lineRule="exact"/>
        <w:rPr>
          <w:rFonts w:ascii="Arial" w:cs="Arial" w:eastAsia="Arial" w:hAnsi="Arial"/>
          <w:sz w:val="18"/>
          <w:szCs w:val="18"/>
          <w:color w:val="auto"/>
        </w:rPr>
      </w:pPr>
    </w:p>
    <w:p>
      <w:pPr>
        <w:ind w:left="660" w:right="440" w:hanging="436"/>
        <w:spacing w:after="0" w:line="268"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Significant increases in our pension expense or projected pension contributions resulting from changes in the value of plan assets, the discount rate applied to value the pension liabilities or other assumption changes; and</w:t>
      </w:r>
    </w:p>
    <w:p>
      <w:pPr>
        <w:spacing w:after="0" w:line="50" w:lineRule="exact"/>
        <w:rPr>
          <w:rFonts w:ascii="Arial" w:cs="Arial" w:eastAsia="Arial" w:hAnsi="Arial"/>
          <w:sz w:val="18"/>
          <w:szCs w:val="18"/>
          <w:color w:val="auto"/>
        </w:rPr>
      </w:pPr>
    </w:p>
    <w:p>
      <w:pPr>
        <w:ind w:left="660" w:right="120" w:hanging="436"/>
        <w:spacing w:after="0" w:line="268"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Changes in accounting principles, or their application or interpretation, and our ability to make estimates and the assumptions underlying the estimates, which could have an effect on earnings.</w:t>
      </w:r>
    </w:p>
    <w:p>
      <w:pPr>
        <w:spacing w:after="0" w:line="132" w:lineRule="exact"/>
        <w:rPr>
          <w:sz w:val="20"/>
          <w:szCs w:val="20"/>
          <w:color w:val="auto"/>
        </w:rPr>
      </w:pPr>
    </w:p>
    <w:p>
      <w:pPr>
        <w:jc w:val="both"/>
        <w:ind w:right="20" w:firstLine="228"/>
        <w:spacing w:after="0" w:line="259" w:lineRule="auto"/>
        <w:rPr>
          <w:sz w:val="20"/>
          <w:szCs w:val="20"/>
          <w:color w:val="auto"/>
        </w:rPr>
      </w:pPr>
      <w:r>
        <w:rPr>
          <w:rFonts w:ascii="Arial" w:cs="Arial" w:eastAsia="Arial" w:hAnsi="Arial"/>
          <w:sz w:val="18"/>
          <w:szCs w:val="18"/>
          <w:color w:val="auto"/>
        </w:rPr>
        <w:t>We caution readers not to place undue reliance on forward-looking statements.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There have been no significant changes in our exposure to market risk since December 31, 2010. Refer to Item 7A in our 2010 Form 10-K.</w:t>
      </w:r>
    </w:p>
    <w:p>
      <w:pPr>
        <w:spacing w:after="0" w:line="17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 * * * * *</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77" w:lineRule="exact"/>
        <w:rPr>
          <w:sz w:val="20"/>
          <w:szCs w:val="20"/>
          <w:color w:val="auto"/>
        </w:rPr>
      </w:pPr>
    </w:p>
    <w:p>
      <w:pPr>
        <w:ind w:right="180" w:firstLine="228"/>
        <w:spacing w:after="0" w:line="256" w:lineRule="auto"/>
        <w:rPr>
          <w:sz w:val="20"/>
          <w:szCs w:val="20"/>
          <w:color w:val="auto"/>
        </w:rPr>
      </w:pPr>
      <w:r>
        <w:rPr>
          <w:rFonts w:ascii="Arial" w:cs="Arial" w:eastAsia="Arial" w:hAnsi="Arial"/>
          <w:sz w:val="18"/>
          <w:szCs w:val="18"/>
          <w:color w:val="auto"/>
        </w:rPr>
        <w:t>We maintain disclosure controls and procedures designed to provide reasonable assurance that information required to be disclosed in reports filed under the Securities Exchange Act of 1934, as amended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w:t>
      </w:r>
    </w:p>
    <w:p>
      <w:pPr>
        <w:spacing w:after="0" w:line="143" w:lineRule="exact"/>
        <w:rPr>
          <w:sz w:val="20"/>
          <w:szCs w:val="20"/>
          <w:color w:val="auto"/>
        </w:rPr>
      </w:pPr>
    </w:p>
    <w:p>
      <w:pPr>
        <w:jc w:val="both"/>
        <w:ind w:right="100" w:firstLine="228"/>
        <w:spacing w:after="0" w:line="335" w:lineRule="auto"/>
        <w:rPr>
          <w:sz w:val="20"/>
          <w:szCs w:val="20"/>
          <w:color w:val="auto"/>
        </w:rPr>
      </w:pPr>
      <w:r>
        <w:rPr>
          <w:rFonts w:ascii="Arial" w:cs="Arial" w:eastAsia="Arial" w:hAnsi="Arial"/>
          <w:sz w:val="15"/>
          <w:szCs w:val="15"/>
          <w:color w:val="auto"/>
        </w:rPr>
        <w:t>Our management, with the participation of our Chairman and CEO and Senior Vice President and CFO, evaluated the effectiveness of our disclosure controls and procedures (as defined in Rules 13a-15(e) or 15d-15(e) promulgated under the Exchange Act) at June 30, 2011. Based on this evaluation, our CEO and CFO concluded that, at that date, the disclosure controls and procedures required by paragraph (b) of Rules 13a-15 or 15d-15 were effective as of June 30, 2011.</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177" w:lineRule="exact"/>
        <w:rPr>
          <w:sz w:val="20"/>
          <w:szCs w:val="20"/>
          <w:color w:val="auto"/>
        </w:rPr>
      </w:pPr>
    </w:p>
    <w:p>
      <w:pPr>
        <w:ind w:right="560" w:firstLine="228"/>
        <w:spacing w:after="0" w:line="268" w:lineRule="auto"/>
        <w:rPr>
          <w:sz w:val="20"/>
          <w:szCs w:val="20"/>
          <w:color w:val="auto"/>
        </w:rPr>
      </w:pPr>
      <w:r>
        <w:rPr>
          <w:rFonts w:ascii="Arial" w:cs="Arial" w:eastAsia="Arial" w:hAnsi="Arial"/>
          <w:sz w:val="18"/>
          <w:szCs w:val="18"/>
          <w:color w:val="auto"/>
        </w:rPr>
        <w:t>There have not been any changes in internal control over financial reporting in the six months ended June 30, 2011 that have materially affected, or are reasonably likely to materially affect, our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177" w:lineRule="exact"/>
        <w:rPr>
          <w:sz w:val="20"/>
          <w:szCs w:val="20"/>
          <w:color w:val="auto"/>
        </w:rPr>
      </w:pPr>
    </w:p>
    <w:p>
      <w:pPr>
        <w:ind w:firstLine="228"/>
        <w:spacing w:after="0" w:line="290" w:lineRule="auto"/>
        <w:rPr>
          <w:sz w:val="20"/>
          <w:szCs w:val="20"/>
          <w:color w:val="auto"/>
        </w:rPr>
      </w:pPr>
      <w:r>
        <w:rPr>
          <w:rFonts w:ascii="Arial" w:cs="Arial" w:eastAsia="Arial" w:hAnsi="Arial"/>
          <w:sz w:val="16"/>
          <w:szCs w:val="16"/>
          <w:color w:val="auto"/>
        </w:rPr>
        <w:t>Our management, including our CEO and CFO, does not expect that our disclosure controls and procedures or internal control over financial reporting will prevent or detect all errors and all fraud. A control system cannot provide absolute assurance due to its inherent limitations; it is a process that involves human diligence and compliance and is subject to lapses in judgment and breakdowns resulting from human failures. A control system also can be circumvented by collusion or improper management override. Further, the design of a control system must reflect the fact that there are resource constraints, and the benefits of controls must be considered relative to their costs. Because of such limitations, disclosure controls and procedures and internal control over financial reporting cannot prevent or detect all misstatements, whether unintentional errors or fraud. However, these inherent limitations are known features of the financial reporting process; therefore, it is possible to design into the process safeguards to reduce, though not eliminate, this risk.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7" w:lineRule="exact"/>
        <w:rPr>
          <w:sz w:val="20"/>
          <w:szCs w:val="20"/>
          <w:color w:val="auto"/>
        </w:rPr>
      </w:pPr>
    </w:p>
    <w:p>
      <w:pPr>
        <w:ind w:right="100" w:firstLine="228"/>
        <w:spacing w:after="0" w:line="335" w:lineRule="auto"/>
        <w:rPr>
          <w:sz w:val="20"/>
          <w:szCs w:val="20"/>
          <w:color w:val="auto"/>
        </w:rPr>
      </w:pPr>
      <w:r>
        <w:rPr>
          <w:rFonts w:ascii="Arial" w:cs="Arial" w:eastAsia="Arial" w:hAnsi="Arial"/>
          <w:sz w:val="15"/>
          <w:szCs w:val="15"/>
          <w:color w:val="auto"/>
        </w:rPr>
        <w:t>The discussion in the following paragraphs is limited to an update of developments that have occurred in various material pending legal proceedings to which we are a party, other than ordinary routine litigation incidental to our business. These proceedings are fully described in our 2010 Form 10-K as updated in our Form 10-Q for the three months ended March 31, 2011. We and the other defendants affiliated with us intend to defend all of the following actions vigorously.</w:t>
      </w:r>
    </w:p>
    <w:p>
      <w:pPr>
        <w:spacing w:after="0" w:line="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Canadian Dealer Class Action</w:t>
      </w:r>
    </w:p>
    <w:p>
      <w:pPr>
        <w:spacing w:after="0" w:line="171" w:lineRule="exact"/>
        <w:rPr>
          <w:sz w:val="20"/>
          <w:szCs w:val="20"/>
          <w:color w:val="auto"/>
        </w:rPr>
      </w:pPr>
    </w:p>
    <w:p>
      <w:pPr>
        <w:ind w:right="100" w:firstLine="228"/>
        <w:spacing w:after="0" w:line="286" w:lineRule="auto"/>
        <w:rPr>
          <w:sz w:val="20"/>
          <w:szCs w:val="20"/>
          <w:color w:val="auto"/>
        </w:rPr>
      </w:pPr>
      <w:r>
        <w:rPr>
          <w:rFonts w:ascii="Arial" w:cs="Arial" w:eastAsia="Arial" w:hAnsi="Arial"/>
          <w:sz w:val="16"/>
          <w:szCs w:val="16"/>
          <w:color w:val="auto"/>
        </w:rPr>
        <w:t>In the previously reported case pending in the Ontario Superior Court of Justice, on March 1, 2011 the Court approved certification of a class for the purpose of deciding a number of specifically defined issues, including: (1) whether GMCL breached its obligation of “good faith” in offering the wind-down agreements;</w:t>
      </w:r>
    </w:p>
    <w:p>
      <w:pPr>
        <w:ind w:right="100" w:firstLine="8"/>
        <w:spacing w:after="0" w:line="254" w:lineRule="auto"/>
        <w:tabs>
          <w:tab w:leader="none" w:pos="249" w:val="left"/>
        </w:tabs>
        <w:numPr>
          <w:ilvl w:val="0"/>
          <w:numId w:val="74"/>
        </w:numPr>
        <w:rPr>
          <w:rFonts w:ascii="Arial" w:cs="Arial" w:eastAsia="Arial" w:hAnsi="Arial"/>
          <w:sz w:val="18"/>
          <w:szCs w:val="18"/>
          <w:color w:val="auto"/>
        </w:rPr>
      </w:pPr>
      <w:r>
        <w:rPr>
          <w:rFonts w:ascii="Arial" w:cs="Arial" w:eastAsia="Arial" w:hAnsi="Arial"/>
          <w:sz w:val="18"/>
          <w:szCs w:val="18"/>
          <w:color w:val="auto"/>
        </w:rPr>
        <w:t>whether GMCL interfered with the plaintiff dealers’ rights of free association; (3) whether GMCL was obligated to provide a disclosure statement and/or disclose more specific information regarding its restructuring plans in connection with proffering the wind-down agreements; and (4) assuming liability, whether the plaintiff dealers can recover damages in the aggregate (as opposed to proving individual damages). On June 22, 2011 the Court granted GMCL permission to appeal the class certification decision.</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UAW VEBA Contribution Claim</w:t>
      </w:r>
    </w:p>
    <w:p>
      <w:pPr>
        <w:spacing w:after="0" w:line="171" w:lineRule="exact"/>
        <w:rPr>
          <w:sz w:val="20"/>
          <w:szCs w:val="20"/>
          <w:color w:val="auto"/>
        </w:rPr>
      </w:pPr>
    </w:p>
    <w:p>
      <w:pPr>
        <w:ind w:firstLine="228"/>
        <w:spacing w:after="0" w:line="286" w:lineRule="auto"/>
        <w:rPr>
          <w:sz w:val="20"/>
          <w:szCs w:val="20"/>
          <w:color w:val="auto"/>
        </w:rPr>
      </w:pPr>
      <w:r>
        <w:rPr>
          <w:rFonts w:ascii="Arial" w:cs="Arial" w:eastAsia="Arial" w:hAnsi="Arial"/>
          <w:sz w:val="16"/>
          <w:szCs w:val="16"/>
          <w:color w:val="auto"/>
        </w:rPr>
        <w:t>As previously reported, on April 6, 2010 the International Union, United Automobile, Aerospace and Agriculture Implement Workers of America (UAW) filed suit against us in the U.S. District Court for the Eastern District of Michigan claiming that we breached our obligation to contribute $450 million to the UAW Retiree Medical Benefits Trust (New VEBA). The UAW alleges that we were required to make this contribution pursuant to the UAW-Delphi-GM Memorandum of Understanding Delphi Restructuring dated June 22, 2007. We have filed a motion in the U.S. Bankruptcy Court for the Southern District of New York asserting that the UAW’s claim is barred by the bankruptcy court approved 2009 UAW Retiree Settlement Agreement and by other orders issued by the U.S. Bankruptcy Court that preclude additional GM contributions to the New VEBA. We also maintain that Delphi’s emergence from bankruptcy was not in the nature contemplated by the restructuring agreement and therefore, the condition to any payment remains unfulfilled. We removed this case to the U.S. Bankruptcy Court in October 2010, seeking dismissal of the UAW’s U.S. District Court lawsuit. The UAW has contested whether the U.S. Bankruptcy Court has jurisdiction and on November 3, 2010, the U.S. District Court issued a stay of further proceedings until the issue of U.S. Bankruptcy Court jurisdiction is decided. The parties each submitted written briefs to the U.S. Bankruptcy Court regarding the jurisdictional issue and also presented oral argument in support of their respective positions at a hearing on May 17, 2011, at which time the U.S. Bankruptcy Court took the matter under consideration.</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AmeriCredit Transaction Claims</w:t>
      </w:r>
    </w:p>
    <w:p>
      <w:pPr>
        <w:spacing w:after="0" w:line="171" w:lineRule="exact"/>
        <w:rPr>
          <w:sz w:val="20"/>
          <w:szCs w:val="20"/>
          <w:color w:val="auto"/>
        </w:rPr>
      </w:pPr>
    </w:p>
    <w:p>
      <w:pPr>
        <w:ind w:right="80" w:firstLine="228"/>
        <w:spacing w:after="0" w:line="294" w:lineRule="auto"/>
        <w:rPr>
          <w:sz w:val="20"/>
          <w:szCs w:val="20"/>
          <w:color w:val="auto"/>
        </w:rPr>
      </w:pPr>
      <w:r>
        <w:rPr>
          <w:rFonts w:ascii="Arial" w:cs="Arial" w:eastAsia="Arial" w:hAnsi="Arial"/>
          <w:sz w:val="16"/>
          <w:szCs w:val="16"/>
          <w:color w:val="auto"/>
        </w:rPr>
        <w:t xml:space="preserve">In the previously reported cases </w:t>
      </w:r>
      <w:r>
        <w:rPr>
          <w:rFonts w:ascii="Arial" w:cs="Arial" w:eastAsia="Arial" w:hAnsi="Arial"/>
          <w:sz w:val="16"/>
          <w:szCs w:val="16"/>
          <w:i w:val="1"/>
          <w:iCs w:val="1"/>
          <w:color w:val="auto"/>
        </w:rPr>
        <w:t>Robert Hatfield, Derivatively on behalf of AmeriCredit Corp v Clifton Morris, Jr. et al.</w:t>
      </w:r>
      <w:r>
        <w:rPr>
          <w:rFonts w:ascii="Arial" w:cs="Arial" w:eastAsia="Arial" w:hAnsi="Arial"/>
          <w:sz w:val="16"/>
          <w:szCs w:val="16"/>
          <w:color w:val="auto"/>
        </w:rPr>
        <w:t xml:space="preserve"> and </w:t>
      </w:r>
      <w:r>
        <w:rPr>
          <w:rFonts w:ascii="Arial" w:cs="Arial" w:eastAsia="Arial" w:hAnsi="Arial"/>
          <w:sz w:val="16"/>
          <w:szCs w:val="16"/>
          <w:i w:val="1"/>
          <w:iCs w:val="1"/>
          <w:color w:val="auto"/>
        </w:rPr>
        <w:t>Carla Butler, Derivatively on</w:t>
      </w:r>
      <w:r>
        <w:rPr>
          <w:rFonts w:ascii="Arial" w:cs="Arial" w:eastAsia="Arial" w:hAnsi="Arial"/>
          <w:sz w:val="16"/>
          <w:szCs w:val="16"/>
          <w:color w:val="auto"/>
        </w:rPr>
        <w:t xml:space="preserve"> </w:t>
      </w:r>
      <w:r>
        <w:rPr>
          <w:rFonts w:ascii="Arial" w:cs="Arial" w:eastAsia="Arial" w:hAnsi="Arial"/>
          <w:sz w:val="16"/>
          <w:szCs w:val="16"/>
          <w:i w:val="1"/>
          <w:iCs w:val="1"/>
          <w:color w:val="auto"/>
        </w:rPr>
        <w:t>behalf of AmeriCredit Corp v. Clifton Morris, Jr. et al.</w:t>
      </w:r>
      <w:r>
        <w:rPr>
          <w:rFonts w:ascii="Arial" w:cs="Arial" w:eastAsia="Arial" w:hAnsi="Arial"/>
          <w:sz w:val="16"/>
          <w:szCs w:val="16"/>
          <w:color w:val="auto"/>
        </w:rPr>
        <w:t>, filed in the district court for Tarrant County, Texas, which were consolidated, the plaintiffs appealed the</w:t>
      </w:r>
      <w:r>
        <w:rPr>
          <w:rFonts w:ascii="Arial" w:cs="Arial" w:eastAsia="Arial" w:hAnsi="Arial"/>
          <w:sz w:val="16"/>
          <w:szCs w:val="16"/>
          <w:i w:val="1"/>
          <w:iCs w:val="1"/>
          <w:color w:val="auto"/>
        </w:rPr>
        <w:t xml:space="preserve"> </w:t>
      </w:r>
      <w:r>
        <w:rPr>
          <w:rFonts w:ascii="Arial" w:cs="Arial" w:eastAsia="Arial" w:hAnsi="Arial"/>
          <w:sz w:val="16"/>
          <w:szCs w:val="16"/>
          <w:color w:val="auto"/>
        </w:rPr>
        <w:t>district court’s order sustaining General Motors Holdings, LLC’s and General Motors Company’s pleas to the jurisdiction and dismissing the consolidated cases with prejudice. On July 6, 2011 plaintiffs filed a motion to dismiss their appeal. On July 14, 2011 the Texas Court of Appeals entered an order granting plaintiffs’ motion to dismiss the appeal. The dismissal of the consolidated cases is now final.</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Canadian HealthCare Litigation</w:t>
      </w:r>
    </w:p>
    <w:p>
      <w:pPr>
        <w:spacing w:after="0" w:line="171" w:lineRule="exact"/>
        <w:rPr>
          <w:sz w:val="20"/>
          <w:szCs w:val="20"/>
          <w:color w:val="auto"/>
        </w:rPr>
      </w:pPr>
    </w:p>
    <w:p>
      <w:pPr>
        <w:ind w:firstLine="228"/>
        <w:spacing w:after="0" w:line="291" w:lineRule="auto"/>
        <w:rPr>
          <w:sz w:val="20"/>
          <w:szCs w:val="20"/>
          <w:color w:val="auto"/>
        </w:rPr>
      </w:pPr>
      <w:r>
        <w:rPr>
          <w:rFonts w:ascii="Arial" w:cs="Arial" w:eastAsia="Arial" w:hAnsi="Arial"/>
          <w:sz w:val="16"/>
          <w:szCs w:val="16"/>
          <w:color w:val="auto"/>
        </w:rPr>
        <w:t>On December 22, 2009 in furtherance of implementing its restructuring plan as approved by the Canadian Federal and Ontario governments, GMCL initiated a class action proceeding in the Ontario Superior Court of Justice against a group of hourly retirees and surviving spouses residing in provinces other than Quebec, seeking a declaration that GMCL has the right to unilaterally amend and terminate the postretirement healthcare benefits provided to those retirees and surviving spouses. On May 5, 2010 a group of Quebec hourly retiree and surviving spouses initiated a class action proceeding in the Quebec Superior Court of Justice against GMCL and the CAW, seeking a declaration regarding whether GMCL has the right to unilaterally amend and terminate the postretirement healthcare benefits provided to them. Although we believe that we may lawfully change retiree healthcare benefits GMCL entered into</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negotiations with representatives of the retirees seeking to consensually divest the responsibility for the provision of such benefits to a healthcare trust to be administered by a board of trustees independent from GMCL and reached a tentative agreement to accomplish that result, which is to be implemented through the applicable class action processes as a settlement and is therefore subject to court approval. On July 4, 2011 an order was issued in the Ontario Superior Court of Justice to schedule hearings, in August 2011, on whether to certify the class action and whether to approve the settlement. A similar order was entered in the Quebec proceeding on July 6, 2011. The two courts ordered that notice of the certification and settlement approval hearings be communicated to class members. Notices were sent to class members in the Ontario action on July 18, 2011 and to Quebec action class members on July 20, 2011. Settlement agreement approval hearings are currently scheduled for August 24-26, 2011 in the Ontario action and August 29-30, 2011 in the Quebec action. The procedural rules grant retirees the right to opt out of the class.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7" w:lineRule="exact"/>
        <w:rPr>
          <w:sz w:val="20"/>
          <w:szCs w:val="20"/>
          <w:color w:val="auto"/>
        </w:rPr>
      </w:pPr>
    </w:p>
    <w:p>
      <w:pPr>
        <w:ind w:right="80" w:firstLine="228"/>
        <w:spacing w:after="0" w:line="268" w:lineRule="auto"/>
        <w:rPr>
          <w:sz w:val="20"/>
          <w:szCs w:val="20"/>
          <w:color w:val="auto"/>
        </w:rPr>
      </w:pPr>
      <w:r>
        <w:rPr>
          <w:rFonts w:ascii="Arial" w:cs="Arial" w:eastAsia="Arial" w:hAnsi="Arial"/>
          <w:sz w:val="18"/>
          <w:szCs w:val="18"/>
          <w:color w:val="auto"/>
        </w:rPr>
        <w:t>We face a number of significant risks and uncertainties in connection with our operations. Our business, results of operations and financial condition could be materially adversely affected by these risk factors.</w:t>
      </w:r>
    </w:p>
    <w:p>
      <w:pPr>
        <w:spacing w:after="0" w:line="132" w:lineRule="exact"/>
        <w:rPr>
          <w:sz w:val="20"/>
          <w:szCs w:val="20"/>
          <w:color w:val="auto"/>
        </w:rPr>
      </w:pPr>
    </w:p>
    <w:p>
      <w:pPr>
        <w:ind w:right="520" w:firstLine="228"/>
        <w:spacing w:after="0" w:line="268" w:lineRule="auto"/>
        <w:rPr>
          <w:sz w:val="20"/>
          <w:szCs w:val="20"/>
          <w:color w:val="auto"/>
        </w:rPr>
      </w:pPr>
      <w:r>
        <w:rPr>
          <w:rFonts w:ascii="Arial" w:cs="Arial" w:eastAsia="Arial" w:hAnsi="Arial"/>
          <w:sz w:val="18"/>
          <w:szCs w:val="18"/>
          <w:color w:val="auto"/>
        </w:rPr>
        <w:t>Other than as discussed below, there have been no material changes to the Risk Factors disclosed in our 2010 Form 10-K. While we described each risk separately, some of these risks are interrelated and certain risks could trigger the applicability of other risks.</w:t>
      </w:r>
    </w:p>
    <w:p>
      <w:pPr>
        <w:spacing w:after="0" w:line="132" w:lineRule="exact"/>
        <w:rPr>
          <w:sz w:val="20"/>
          <w:szCs w:val="20"/>
          <w:color w:val="auto"/>
        </w:rPr>
      </w:pPr>
    </w:p>
    <w:p>
      <w:pPr>
        <w:ind w:right="260" w:firstLine="228"/>
        <w:spacing w:after="0" w:line="332" w:lineRule="auto"/>
        <w:rPr>
          <w:sz w:val="20"/>
          <w:szCs w:val="20"/>
          <w:color w:val="auto"/>
        </w:rPr>
      </w:pPr>
      <w:r>
        <w:rPr>
          <w:rFonts w:ascii="Arial" w:cs="Arial" w:eastAsia="Arial" w:hAnsi="Arial"/>
          <w:sz w:val="16"/>
          <w:szCs w:val="16"/>
          <w:b w:val="1"/>
          <w:bCs w:val="1"/>
          <w:i w:val="1"/>
          <w:iCs w:val="1"/>
          <w:color w:val="auto"/>
        </w:rPr>
        <w:t>Our automotive manufacturing operations are dependent upon the continued ability of our suppliers to provide us with systems, components, and parts and any disruption in our suppliers’ operations could disrupt our production schedule and adversely affect our operations.</w:t>
      </w:r>
    </w:p>
    <w:p>
      <w:pPr>
        <w:spacing w:after="0" w:line="85" w:lineRule="exact"/>
        <w:rPr>
          <w:sz w:val="20"/>
          <w:szCs w:val="20"/>
          <w:color w:val="auto"/>
        </w:rPr>
      </w:pPr>
    </w:p>
    <w:p>
      <w:pPr>
        <w:ind w:firstLine="228"/>
        <w:spacing w:after="0" w:line="288" w:lineRule="auto"/>
        <w:rPr>
          <w:sz w:val="20"/>
          <w:szCs w:val="20"/>
          <w:color w:val="auto"/>
        </w:rPr>
      </w:pPr>
      <w:r>
        <w:rPr>
          <w:rFonts w:ascii="Arial" w:cs="Arial" w:eastAsia="Arial" w:hAnsi="Arial"/>
          <w:sz w:val="16"/>
          <w:szCs w:val="16"/>
          <w:color w:val="auto"/>
        </w:rPr>
        <w:t>Our automotive manufacturing operations are dependent upon the continued ability of our suppliers to deliver the systems, components, and parts we need to manufacture our products. Our use of “just-in-time” manufacturing processes results in our having minimal inventories of the systems, components, and parts we need to conduct our automotive manufacturing operations. As a result, our ability to maintain production is dependent upon the continued ability of our suppliers to deliver sufficient quantities of systems, components, and parts at such times as allow us to meet our production schedules. A disruption in any of our suppliers’ operations, even if for a relatively short period of time, could cause us to alter our production schedules or suspend production entirely. For example, in March 2011 we suspended production at our Shreveport, Louisiana assembly facility due to a parts shortage resulting from the earthquake off the coast of Japan. In some instances, we purchase systems, components, parts and supplies from a single source and may be at an increased risk for supply disruptions. Where we experience supply disruptions, we may not be able to develop alternate sourcing quickly. Any disruption of our production schedule caused by an unexpected shortage of systems, components, or parts could adversely affect our financial results.</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 impairments could have a material non-cash adverse effect on our results of operations.</w:t>
      </w:r>
    </w:p>
    <w:p>
      <w:pPr>
        <w:spacing w:after="0" w:line="171" w:lineRule="exact"/>
        <w:rPr>
          <w:sz w:val="20"/>
          <w:szCs w:val="20"/>
          <w:color w:val="auto"/>
        </w:rPr>
      </w:pPr>
    </w:p>
    <w:p>
      <w:pPr>
        <w:ind w:right="40" w:firstLine="228"/>
        <w:spacing w:after="0" w:line="286" w:lineRule="auto"/>
        <w:rPr>
          <w:sz w:val="20"/>
          <w:szCs w:val="20"/>
          <w:color w:val="auto"/>
        </w:rPr>
      </w:pPr>
      <w:r>
        <w:rPr>
          <w:rFonts w:ascii="Arial" w:cs="Arial" w:eastAsia="Arial" w:hAnsi="Arial"/>
          <w:sz w:val="16"/>
          <w:szCs w:val="16"/>
          <w:color w:val="auto"/>
        </w:rPr>
        <w:t>We test our goodwill for impairment in the fourth quarter of each year for all reporting units, or more frequently if events occur or circumstances change that would warrant such a review. Because GME has a negative carrying amount, we test GME for goodwill impairment whenever it is more likely than not that goodwill is impaired. An impairment charge is recorded for the amount, if any, by which the carrying amount of goodwill exceeds its implied value. As discussed in Note 9 to our condensed consolidated financial statements, we believe future goodwill impairment charges could occur in 2011 related to GME should the fair-value-to-U.S. GAAP adjustments differences decrease. Should the fair value of the GME business not increase sufficiently to offset any possible decreases in the fair-value-to-U.S. GAAP differences that gave rise to goodwill in fresh-start reporting, we could incur a goodwill impairment. Decreases in the fair-value-to-U.S. GAAP differences that could result in a goodwill impairment would occur upon: (1) a decrease in our nonperformance risk and an improvement in our incremental borrowing rates; (2) an increase in high quality corporate bond rates utilized to measure our employee benefit plan obligations; (3) a decrease in credit spreads between high quality corporate bond rates and market interest rates for companies with similar nonperformance risk; and (4) upon reversal of our deferred tax asset valuation allowances. Any such goodwill impairments will result in charges to our earnings and will have a non-cash effect on our results of operations.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100" w:firstLine="228"/>
        <w:spacing w:after="0" w:line="268" w:lineRule="auto"/>
        <w:rPr>
          <w:sz w:val="20"/>
          <w:szCs w:val="20"/>
          <w:color w:val="auto"/>
        </w:rPr>
      </w:pPr>
      <w:r>
        <w:rPr>
          <w:rFonts w:ascii="Arial" w:cs="Arial" w:eastAsia="Arial" w:hAnsi="Arial"/>
          <w:sz w:val="18"/>
          <w:szCs w:val="18"/>
          <w:b w:val="1"/>
          <w:bCs w:val="1"/>
          <w:i w:val="1"/>
          <w:iCs w:val="1"/>
          <w:color w:val="auto"/>
        </w:rPr>
        <w:t>New laws, regulations, or policies of governmental organizations regarding increased fuel economy requirements and reduced greenhouse gas emissions, or changes in existing ones, may have a significant effect on how we do business.</w:t>
      </w:r>
    </w:p>
    <w:p>
      <w:pPr>
        <w:spacing w:after="0" w:line="132" w:lineRule="exact"/>
        <w:rPr>
          <w:sz w:val="20"/>
          <w:szCs w:val="20"/>
          <w:color w:val="auto"/>
        </w:rPr>
      </w:pPr>
    </w:p>
    <w:p>
      <w:pPr>
        <w:ind w:firstLine="228"/>
        <w:spacing w:after="0" w:line="254" w:lineRule="auto"/>
        <w:rPr>
          <w:sz w:val="20"/>
          <w:szCs w:val="20"/>
          <w:color w:val="auto"/>
        </w:rPr>
      </w:pPr>
      <w:r>
        <w:rPr>
          <w:rFonts w:ascii="Arial" w:cs="Arial" w:eastAsia="Arial" w:hAnsi="Arial"/>
          <w:sz w:val="18"/>
          <w:szCs w:val="18"/>
          <w:color w:val="auto"/>
        </w:rPr>
        <w:t>We are affected significantly by governmental regulations that can increase costs related to the production of our vehicles and affect our product portfolio. We anticipate that the number and extent of these regulations, and the related costs and changes to our product lineup, will increase significantly in the future. In the U.S. and Europe, for example, governmental regulation is primarily driven by concerns about the environment (including greenhouse gas emissions), vehicle safety, fuel economy, and energy security. These government regulatory requirements could significantly affect our plans for global product development and may result in substantial costs, including civil penalties. They may also result in limits on the types of vehicles we sell and where we sell them, which can affect revenue.</w:t>
      </w:r>
    </w:p>
    <w:p>
      <w:pPr>
        <w:spacing w:after="0" w:line="144" w:lineRule="exact"/>
        <w:rPr>
          <w:sz w:val="20"/>
          <w:szCs w:val="20"/>
          <w:color w:val="auto"/>
        </w:rPr>
      </w:pPr>
    </w:p>
    <w:p>
      <w:pPr>
        <w:ind w:right="120" w:firstLine="228"/>
        <w:spacing w:after="0" w:line="323" w:lineRule="auto"/>
        <w:rPr>
          <w:sz w:val="20"/>
          <w:szCs w:val="20"/>
          <w:color w:val="auto"/>
        </w:rPr>
      </w:pPr>
      <w:r>
        <w:rPr>
          <w:rFonts w:ascii="Arial" w:cs="Arial" w:eastAsia="Arial" w:hAnsi="Arial"/>
          <w:sz w:val="15"/>
          <w:szCs w:val="15"/>
          <w:color w:val="auto"/>
        </w:rPr>
        <w:t>United States Corporate Average Fuel Economy (CAFE) provisions in the Energy Independence and Security Act of 2007 (EISA) mandate fuel economy standards beginning in the 2011 model year that would increase to at least 35 mpg by 2020 on a combined car and truck fleet basis, a 40% increase over current levels. California is implementing AB 1493 which will require increased fuel economy. This California program has standards currently established for the 2009 model year through the 2016 model year. Fourteen additional states and the Province of Quebec have also adopted the California greenhouse gas standards.</w:t>
      </w:r>
    </w:p>
    <w:p>
      <w:pPr>
        <w:spacing w:after="0" w:line="98" w:lineRule="exact"/>
        <w:rPr>
          <w:sz w:val="20"/>
          <w:szCs w:val="20"/>
          <w:color w:val="auto"/>
        </w:rPr>
      </w:pPr>
    </w:p>
    <w:p>
      <w:pPr>
        <w:ind w:right="20" w:firstLine="228"/>
        <w:spacing w:after="0" w:line="290" w:lineRule="auto"/>
        <w:rPr>
          <w:sz w:val="20"/>
          <w:szCs w:val="20"/>
          <w:color w:val="auto"/>
        </w:rPr>
      </w:pPr>
      <w:r>
        <w:rPr>
          <w:rFonts w:ascii="Arial" w:cs="Arial" w:eastAsia="Arial" w:hAnsi="Arial"/>
          <w:sz w:val="16"/>
          <w:szCs w:val="16"/>
          <w:color w:val="auto"/>
        </w:rPr>
        <w:t>In May 2009 President Obama announced his intention for the federal government to implement a harmonized federal program to regulate vehicle fuel economy and greenhouse gases. He directed the United States Environmental Protection Agency (EPA) and the United States Department of Transportation (DOT) to work together to create standards through a joint rulemaking for control of emissions of greenhouse gases and for fuel economy. In the first phase, these standards would apply to passenger cars, light-duty trucks, and medium-duty passenger vehicles built in model years 2012 through 2016. The California Air Resources Board (CARB) has agreed that compliance with EPA’s greenhouse gas standards will be deemed compliance with the California greenhouse gas standards for the 2012 through 2016 model years. The EPA and the United States National Highway Transportation Safety Administration (NHTSA), on behalf of DOT, issued their final rule to implement this new federal program in April 2010.</w:t>
      </w:r>
    </w:p>
    <w:p>
      <w:pPr>
        <w:spacing w:after="0" w:line="118" w:lineRule="exact"/>
        <w:rPr>
          <w:sz w:val="20"/>
          <w:szCs w:val="20"/>
          <w:color w:val="auto"/>
        </w:rPr>
      </w:pPr>
    </w:p>
    <w:p>
      <w:pPr>
        <w:ind w:right="120" w:firstLine="228"/>
        <w:spacing w:after="0" w:line="280" w:lineRule="auto"/>
        <w:rPr>
          <w:sz w:val="20"/>
          <w:szCs w:val="20"/>
          <w:color w:val="auto"/>
        </w:rPr>
      </w:pPr>
      <w:r>
        <w:rPr>
          <w:rFonts w:ascii="Arial" w:cs="Arial" w:eastAsia="Arial" w:hAnsi="Arial"/>
          <w:sz w:val="16"/>
          <w:szCs w:val="16"/>
          <w:color w:val="auto"/>
        </w:rPr>
        <w:t>In May 2010 President Obama requested that EPA and NHTSA, on behalf of DOT, develop a coordinated national program to regulate the fuel economy and greenhouse gases of cars and trucks in the 2017 – 2025 model years. The President also directed the agencies to work with CARB to develop a technical assessment to inform the rulemaking process. In September 2010, EPA and NHTSA released a Notice of Intent to begin development of the 2017 – 2025 standards and also released an Interim Joint Technical Assessment Report prepared in cooperation with CARB. A Supplemental Notice of Intent was issued in November 2010 in response to comments received by the agencies on the first Notice of Intent and the Interim Joint Technical Assessment Report. Following further assessment and review, the agencies released another Supplemental Notice of Intent on July 29, 2011 in which EPA and NHTSA described their intent to propose separate but harmonized standards that would be footprint-based, like the current standards set through the 2016 model year, and that would become more stringent each year from 2017 through 2025. EPA projects that its proposed standards would achieve an average industry fleet of 163 grams/mile of CO</w:t>
      </w:r>
      <w:r>
        <w:rPr>
          <w:rFonts w:ascii="Arial" w:cs="Arial" w:eastAsia="Arial" w:hAnsi="Arial"/>
          <w:sz w:val="20"/>
          <w:szCs w:val="20"/>
          <w:color w:val="auto"/>
          <w:vertAlign w:val="subscript"/>
        </w:rPr>
        <w:t>2</w:t>
      </w:r>
      <w:r>
        <w:rPr>
          <w:rFonts w:ascii="Arial" w:cs="Arial" w:eastAsia="Arial" w:hAnsi="Arial"/>
          <w:sz w:val="16"/>
          <w:szCs w:val="16"/>
          <w:color w:val="auto"/>
        </w:rPr>
        <w:t xml:space="preserve"> in the 2025 model year, which would be the equivalent of 54.5 mpg if all the CO</w:t>
      </w:r>
      <w:r>
        <w:rPr>
          <w:rFonts w:ascii="Arial" w:cs="Arial" w:eastAsia="Arial" w:hAnsi="Arial"/>
          <w:sz w:val="20"/>
          <w:szCs w:val="20"/>
          <w:color w:val="auto"/>
          <w:vertAlign w:val="subscript"/>
        </w:rPr>
        <w:t>2</w:t>
      </w:r>
      <w:r>
        <w:rPr>
          <w:rFonts w:ascii="Arial" w:cs="Arial" w:eastAsia="Arial" w:hAnsi="Arial"/>
          <w:sz w:val="16"/>
          <w:szCs w:val="16"/>
          <w:color w:val="auto"/>
        </w:rPr>
        <w:t xml:space="preserve"> emissions reduction came from fuel economy technology. NHTSA intends to propose standards that would require an average industry fleet fuel economy of 49.6 mpg in the 2025 model year. NHTSA’s proposed increase to 49.6 mpg is lower than EPA’s projected 54.5 mpg equivalent due to the need to harmonize the two sets of standards and due to statutory constraints on NHTSA’s authority to set standards. Both agencies intend to propose various flexibilities to incentivize early adoption and introduction of advanced technologies that are anticipated to help manufacturers achieve these standards.</w:t>
      </w:r>
    </w:p>
    <w:p>
      <w:pPr>
        <w:spacing w:after="0" w:line="127" w:lineRule="exact"/>
        <w:rPr>
          <w:sz w:val="20"/>
          <w:szCs w:val="20"/>
          <w:color w:val="auto"/>
        </w:rPr>
      </w:pPr>
    </w:p>
    <w:p>
      <w:pPr>
        <w:ind w:right="20" w:firstLine="228"/>
        <w:spacing w:after="0" w:line="290" w:lineRule="auto"/>
        <w:rPr>
          <w:sz w:val="20"/>
          <w:szCs w:val="20"/>
          <w:color w:val="auto"/>
        </w:rPr>
      </w:pPr>
      <w:r>
        <w:rPr>
          <w:rFonts w:ascii="Arial" w:cs="Arial" w:eastAsia="Arial" w:hAnsi="Arial"/>
          <w:sz w:val="16"/>
          <w:szCs w:val="16"/>
          <w:color w:val="auto"/>
        </w:rPr>
        <w:t>On July 29, 2011 we signed a letter of commitment stating our support for the proposal and adoption of harmonized national standards for the 2017 – 2025 model years. Similar commitment letters were signed by other major original equipment manufacturers and by CARB. Our commitment letter commits us to not contest the final standards established by federal rulemaking and by CARB for the 2017 – 2025 model years if (1) EPA and NHTSA propose and ultimately adopt standards substantially as described in the July 2011 Supplemental Notice of Intent, but with necessary technical corrections and any non-substantive refinements, and (2) if CARB adopts standards such that compliance with the federal standards will be deemed compliance with the California standards in a manner binding as well on states that adopted California standards. An important element of the proposed national program will be a comprehensive mid-term review of the new standards, which will be completed by April 2018, and which may lead to standards for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64"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color w:val="auto"/>
        </w:rPr>
        <w:t>the 2022-2025 model years different than originally proposed. By September 30, 2011, EPA, NHTSA and CARB are expected to propose their respective regulatory requirements to implement the 2017 – 2025 national program. Rulemaking is expected to be completed in July 2012.</w:t>
      </w:r>
    </w:p>
    <w:p>
      <w:pPr>
        <w:spacing w:after="0" w:line="85" w:lineRule="exact"/>
        <w:rPr>
          <w:sz w:val="20"/>
          <w:szCs w:val="20"/>
          <w:color w:val="auto"/>
        </w:rPr>
      </w:pPr>
    </w:p>
    <w:p>
      <w:pPr>
        <w:ind w:right="160" w:firstLine="228"/>
        <w:spacing w:after="0" w:line="268" w:lineRule="auto"/>
        <w:rPr>
          <w:sz w:val="20"/>
          <w:szCs w:val="20"/>
          <w:color w:val="auto"/>
        </w:rPr>
      </w:pPr>
      <w:r>
        <w:rPr>
          <w:rFonts w:ascii="Arial" w:cs="Arial" w:eastAsia="Arial" w:hAnsi="Arial"/>
          <w:sz w:val="18"/>
          <w:szCs w:val="18"/>
          <w:color w:val="auto"/>
        </w:rPr>
        <w:t>We have committed to work with EPA, the NHTSA, the states, and other stakeholders in support of a strong national program to reduce oil consumption and address global climate change.</w:t>
      </w:r>
    </w:p>
    <w:p>
      <w:pPr>
        <w:spacing w:after="0" w:line="132" w:lineRule="exact"/>
        <w:rPr>
          <w:sz w:val="20"/>
          <w:szCs w:val="20"/>
          <w:color w:val="auto"/>
        </w:rPr>
      </w:pPr>
    </w:p>
    <w:p>
      <w:pPr>
        <w:ind w:right="260" w:firstLine="228"/>
        <w:spacing w:after="0" w:line="291" w:lineRule="auto"/>
        <w:rPr>
          <w:sz w:val="20"/>
          <w:szCs w:val="20"/>
          <w:color w:val="auto"/>
        </w:rPr>
      </w:pPr>
      <w:r>
        <w:rPr>
          <w:rFonts w:ascii="Arial" w:cs="Arial" w:eastAsia="Arial" w:hAnsi="Arial"/>
          <w:sz w:val="16"/>
          <w:szCs w:val="16"/>
          <w:color w:val="auto"/>
        </w:rPr>
        <w:t>We are committed to meeting or exceeding these regulatory requirements, and our product plan of record projects compliance with the anticipated federal program through the 2021 model year. The standards for the 2022-2025 model years may differ from the levels proposed as a result of the mid-term review. Therefore, we believe it is premature to project compliance with possible standards for those years. We expect that to comply with these standards we will be required to sell a significant volume of hybrid or electrically powered vehicles throughout the U.S., as well as implement new technologies for conventional internal combustion engines, all at increased cost levels. There is no assurance that we will be able to produce and sell vehicles that use such technologies on a profitable basis, or that our customers will purchase such vehicles in the quantities necessary for us to comply with these regulatory programs.</w:t>
      </w:r>
    </w:p>
    <w:p>
      <w:pPr>
        <w:spacing w:after="0" w:line="57" w:lineRule="exact"/>
        <w:rPr>
          <w:sz w:val="20"/>
          <w:szCs w:val="20"/>
          <w:color w:val="auto"/>
        </w:rPr>
      </w:pPr>
    </w:p>
    <w:p>
      <w:pPr>
        <w:ind w:firstLine="228"/>
        <w:spacing w:after="0" w:line="318" w:lineRule="auto"/>
        <w:rPr>
          <w:sz w:val="20"/>
          <w:szCs w:val="20"/>
          <w:color w:val="auto"/>
        </w:rPr>
      </w:pPr>
      <w:r>
        <w:rPr>
          <w:rFonts w:ascii="Arial" w:cs="Arial" w:eastAsia="Arial" w:hAnsi="Arial"/>
          <w:sz w:val="15"/>
          <w:szCs w:val="15"/>
          <w:color w:val="auto"/>
        </w:rPr>
        <w:t>The European Union (EU) passed legislation, effective in April 2009 to begin regulating vehicle CO</w:t>
      </w:r>
      <w:r>
        <w:rPr>
          <w:rFonts w:ascii="Arial" w:cs="Arial" w:eastAsia="Arial" w:hAnsi="Arial"/>
          <w:sz w:val="19"/>
          <w:szCs w:val="19"/>
          <w:color w:val="auto"/>
          <w:vertAlign w:val="subscript"/>
        </w:rPr>
        <w:t>2</w:t>
      </w:r>
      <w:r>
        <w:rPr>
          <w:rFonts w:ascii="Arial" w:cs="Arial" w:eastAsia="Arial" w:hAnsi="Arial"/>
          <w:sz w:val="15"/>
          <w:szCs w:val="15"/>
          <w:color w:val="auto"/>
        </w:rPr>
        <w:t xml:space="preserve"> emissions beginning in 2012. The legislation sets a target of a fleet average of 95 grams per kilometer for 2020, with the requirements for each manufacturer based on the weight of the vehicles it sells. Additional measures have been proposed or adopted in Europe to regulate features such as tire rolling resistance, vehicle air conditioners, tire pressure monitors, gear shift indicators, and others. At the national level, 17 EU Member States have adopted some form of fuel consumption or carbon dioxide-based vehicle taxation system, which could result in specific market requirements for us to introduce technology earlier than is required for compliance with the EU emissions standards.</w:t>
      </w:r>
    </w:p>
    <w:p>
      <w:pPr>
        <w:spacing w:after="0" w:line="102" w:lineRule="exact"/>
        <w:rPr>
          <w:sz w:val="20"/>
          <w:szCs w:val="20"/>
          <w:color w:val="auto"/>
        </w:rPr>
      </w:pPr>
    </w:p>
    <w:p>
      <w:pPr>
        <w:ind w:right="100" w:firstLine="228"/>
        <w:spacing w:after="0" w:line="255" w:lineRule="auto"/>
        <w:rPr>
          <w:sz w:val="20"/>
          <w:szCs w:val="20"/>
          <w:color w:val="auto"/>
        </w:rPr>
      </w:pPr>
      <w:r>
        <w:rPr>
          <w:rFonts w:ascii="Arial" w:cs="Arial" w:eastAsia="Arial" w:hAnsi="Arial"/>
          <w:sz w:val="18"/>
          <w:szCs w:val="18"/>
          <w:color w:val="auto"/>
        </w:rPr>
        <w:t>Other governments around the world, such as Canada, South Korea, and China are also creating new policies to address these same issues. As in the U.S., these government policies could significantly affect our plans for product development. Due to these regulations, we could be subject to sizable civil penalties or have to restrict product offerings drastically to remain in compliance. The regulations will result in substantial costs, which could be difficult to pass through to our customers, and could result in limits on the types of vehicles we sell and where we sell them, which could affect our operations, including facility closings, reduced employment, increased costs, and loss of revenue.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6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3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0"/>
              </w:rPr>
              <w:t>Exhibit Name</w:t>
            </w:r>
          </w:p>
        </w:tc>
        <w:tc>
          <w:tcPr>
            <w:tcW w:w="33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322"/>
        </w:trPr>
        <w:tc>
          <w:tcPr>
            <w:tcW w:w="500" w:type="dxa"/>
            <w:vAlign w:val="bottom"/>
          </w:tcPr>
          <w:p>
            <w:pPr>
              <w:ind w:left="100"/>
              <w:spacing w:after="0"/>
              <w:rPr>
                <w:sz w:val="20"/>
                <w:szCs w:val="20"/>
                <w:color w:val="auto"/>
              </w:rPr>
            </w:pPr>
            <w:r>
              <w:rPr>
                <w:rFonts w:ascii="Arial" w:cs="Arial" w:eastAsia="Arial" w:hAnsi="Arial"/>
                <w:sz w:val="18"/>
                <w:szCs w:val="18"/>
                <w:color w:val="auto"/>
              </w:rPr>
              <w:t>31.1</w:t>
            </w:r>
          </w:p>
        </w:tc>
        <w:tc>
          <w:tcPr>
            <w:tcW w:w="360" w:type="dxa"/>
            <w:vAlign w:val="bottom"/>
          </w:tcPr>
          <w:p>
            <w:pPr>
              <w:spacing w:after="0"/>
              <w:rPr>
                <w:sz w:val="24"/>
                <w:szCs w:val="24"/>
                <w:color w:val="auto"/>
              </w:rPr>
            </w:pPr>
          </w:p>
        </w:tc>
        <w:tc>
          <w:tcPr>
            <w:tcW w:w="7820" w:type="dxa"/>
            <w:vAlign w:val="bottom"/>
            <w:gridSpan w:val="3"/>
          </w:tcPr>
          <w:p>
            <w:pPr>
              <w:ind w:left="100"/>
              <w:spacing w:after="0"/>
              <w:rPr>
                <w:sz w:val="20"/>
                <w:szCs w:val="20"/>
                <w:color w:val="auto"/>
              </w:rPr>
            </w:pPr>
            <w:r>
              <w:rPr>
                <w:rFonts w:ascii="Arial" w:cs="Arial" w:eastAsia="Arial" w:hAnsi="Arial"/>
                <w:sz w:val="18"/>
                <w:szCs w:val="18"/>
                <w:color w:val="auto"/>
              </w:rPr>
              <w:t>Section 302 Certification of the Chief Executive Officer</w:t>
            </w:r>
          </w:p>
        </w:tc>
        <w:tc>
          <w:tcPr>
            <w:tcW w:w="2220" w:type="dxa"/>
            <w:vAlign w:val="bottom"/>
          </w:tcPr>
          <w:p>
            <w:pPr>
              <w:ind w:left="340"/>
              <w:spacing w:after="0"/>
              <w:rPr>
                <w:sz w:val="20"/>
                <w:szCs w:val="20"/>
                <w:color w:val="auto"/>
              </w:rPr>
            </w:pPr>
            <w:r>
              <w:rPr>
                <w:rFonts w:ascii="Arial" w:cs="Arial" w:eastAsia="Arial" w:hAnsi="Arial"/>
                <w:sz w:val="18"/>
                <w:szCs w:val="18"/>
                <w:color w:val="auto"/>
              </w:rPr>
              <w:t>Filed Herewith</w:t>
            </w:r>
          </w:p>
        </w:tc>
      </w:tr>
      <w:tr>
        <w:trPr>
          <w:trHeight w:val="324"/>
        </w:trPr>
        <w:tc>
          <w:tcPr>
            <w:tcW w:w="500" w:type="dxa"/>
            <w:vAlign w:val="bottom"/>
          </w:tcPr>
          <w:p>
            <w:pPr>
              <w:ind w:left="100"/>
              <w:spacing w:after="0"/>
              <w:rPr>
                <w:sz w:val="20"/>
                <w:szCs w:val="20"/>
                <w:color w:val="auto"/>
              </w:rPr>
            </w:pPr>
            <w:r>
              <w:rPr>
                <w:rFonts w:ascii="Arial" w:cs="Arial" w:eastAsia="Arial" w:hAnsi="Arial"/>
                <w:sz w:val="18"/>
                <w:szCs w:val="18"/>
                <w:color w:val="auto"/>
              </w:rPr>
              <w:t>31.2</w:t>
            </w:r>
          </w:p>
        </w:tc>
        <w:tc>
          <w:tcPr>
            <w:tcW w:w="360" w:type="dxa"/>
            <w:vAlign w:val="bottom"/>
          </w:tcPr>
          <w:p>
            <w:pPr>
              <w:spacing w:after="0"/>
              <w:rPr>
                <w:sz w:val="24"/>
                <w:szCs w:val="24"/>
                <w:color w:val="auto"/>
              </w:rPr>
            </w:pPr>
          </w:p>
        </w:tc>
        <w:tc>
          <w:tcPr>
            <w:tcW w:w="7820" w:type="dxa"/>
            <w:vAlign w:val="bottom"/>
            <w:gridSpan w:val="3"/>
          </w:tcPr>
          <w:p>
            <w:pPr>
              <w:ind w:left="100"/>
              <w:spacing w:after="0"/>
              <w:rPr>
                <w:sz w:val="20"/>
                <w:szCs w:val="20"/>
                <w:color w:val="auto"/>
              </w:rPr>
            </w:pPr>
            <w:r>
              <w:rPr>
                <w:rFonts w:ascii="Arial" w:cs="Arial" w:eastAsia="Arial" w:hAnsi="Arial"/>
                <w:sz w:val="18"/>
                <w:szCs w:val="18"/>
                <w:color w:val="auto"/>
              </w:rPr>
              <w:t>Section 302 Certification of the Chief Financial Officer</w:t>
            </w:r>
          </w:p>
        </w:tc>
        <w:tc>
          <w:tcPr>
            <w:tcW w:w="2220" w:type="dxa"/>
            <w:vAlign w:val="bottom"/>
          </w:tcPr>
          <w:p>
            <w:pPr>
              <w:ind w:left="340"/>
              <w:spacing w:after="0"/>
              <w:rPr>
                <w:sz w:val="20"/>
                <w:szCs w:val="20"/>
                <w:color w:val="auto"/>
              </w:rPr>
            </w:pPr>
            <w:r>
              <w:rPr>
                <w:rFonts w:ascii="Arial" w:cs="Arial" w:eastAsia="Arial" w:hAnsi="Arial"/>
                <w:sz w:val="18"/>
                <w:szCs w:val="18"/>
                <w:color w:val="auto"/>
              </w:rPr>
              <w:t>Filed Herewith</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32.1</w:t>
            </w:r>
          </w:p>
        </w:tc>
        <w:tc>
          <w:tcPr>
            <w:tcW w:w="360" w:type="dxa"/>
            <w:vAlign w:val="bottom"/>
          </w:tcPr>
          <w:p>
            <w:pPr>
              <w:spacing w:after="0"/>
              <w:rPr>
                <w:sz w:val="24"/>
                <w:szCs w:val="24"/>
                <w:color w:val="auto"/>
              </w:rPr>
            </w:pPr>
          </w:p>
        </w:tc>
        <w:tc>
          <w:tcPr>
            <w:tcW w:w="7820" w:type="dxa"/>
            <w:vAlign w:val="bottom"/>
            <w:gridSpan w:val="3"/>
          </w:tcPr>
          <w:p>
            <w:pPr>
              <w:ind w:left="100"/>
              <w:spacing w:after="0"/>
              <w:rPr>
                <w:sz w:val="20"/>
                <w:szCs w:val="20"/>
                <w:color w:val="auto"/>
              </w:rPr>
            </w:pPr>
            <w:r>
              <w:rPr>
                <w:rFonts w:ascii="Arial" w:cs="Arial" w:eastAsia="Arial" w:hAnsi="Arial"/>
                <w:sz w:val="18"/>
                <w:szCs w:val="18"/>
                <w:color w:val="auto"/>
                <w:w w:val="93"/>
              </w:rPr>
              <w:t>Certification of the Chief Executive Officer Pursuant to 18 U.S.C. Section 1350, As Adopted Pursuant to</w:t>
            </w:r>
          </w:p>
        </w:tc>
        <w:tc>
          <w:tcPr>
            <w:tcW w:w="2220" w:type="dxa"/>
            <w:vAlign w:val="bottom"/>
          </w:tcPr>
          <w:p>
            <w:pPr>
              <w:ind w:left="340"/>
              <w:spacing w:after="0"/>
              <w:rPr>
                <w:sz w:val="20"/>
                <w:szCs w:val="20"/>
                <w:color w:val="auto"/>
              </w:rPr>
            </w:pPr>
            <w:r>
              <w:rPr>
                <w:rFonts w:ascii="Arial" w:cs="Arial" w:eastAsia="Arial" w:hAnsi="Arial"/>
                <w:sz w:val="18"/>
                <w:szCs w:val="18"/>
                <w:color w:val="auto"/>
              </w:rPr>
              <w:t>Filed Herewith</w:t>
            </w:r>
          </w:p>
        </w:tc>
      </w:tr>
      <w:tr>
        <w:trPr>
          <w:trHeight w:val="222"/>
        </w:trPr>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20" w:type="dxa"/>
            <w:vAlign w:val="bottom"/>
            <w:gridSpan w:val="3"/>
          </w:tcPr>
          <w:p>
            <w:pPr>
              <w:ind w:left="100"/>
              <w:spacing w:after="0"/>
              <w:rPr>
                <w:sz w:val="20"/>
                <w:szCs w:val="20"/>
                <w:color w:val="auto"/>
              </w:rPr>
            </w:pPr>
            <w:r>
              <w:rPr>
                <w:rFonts w:ascii="Arial" w:cs="Arial" w:eastAsia="Arial" w:hAnsi="Arial"/>
                <w:sz w:val="18"/>
                <w:szCs w:val="18"/>
                <w:color w:val="auto"/>
              </w:rPr>
              <w:t>Section 906 of the Sarbanes-Oxley Act of 2002</w:t>
            </w:r>
          </w:p>
        </w:tc>
        <w:tc>
          <w:tcPr>
            <w:tcW w:w="2220" w:type="dxa"/>
            <w:vAlign w:val="bottom"/>
          </w:tcPr>
          <w:p>
            <w:pPr>
              <w:spacing w:after="0"/>
              <w:rPr>
                <w:sz w:val="19"/>
                <w:szCs w:val="19"/>
                <w:color w:val="auto"/>
              </w:rPr>
            </w:pP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32.2</w:t>
            </w:r>
          </w:p>
        </w:tc>
        <w:tc>
          <w:tcPr>
            <w:tcW w:w="360" w:type="dxa"/>
            <w:vAlign w:val="bottom"/>
          </w:tcPr>
          <w:p>
            <w:pPr>
              <w:spacing w:after="0"/>
              <w:rPr>
                <w:sz w:val="24"/>
                <w:szCs w:val="24"/>
                <w:color w:val="auto"/>
              </w:rPr>
            </w:pPr>
          </w:p>
        </w:tc>
        <w:tc>
          <w:tcPr>
            <w:tcW w:w="7820" w:type="dxa"/>
            <w:vAlign w:val="bottom"/>
            <w:gridSpan w:val="3"/>
          </w:tcPr>
          <w:p>
            <w:pPr>
              <w:ind w:left="100"/>
              <w:spacing w:after="0"/>
              <w:rPr>
                <w:sz w:val="20"/>
                <w:szCs w:val="20"/>
                <w:color w:val="auto"/>
              </w:rPr>
            </w:pPr>
            <w:r>
              <w:rPr>
                <w:rFonts w:ascii="Arial" w:cs="Arial" w:eastAsia="Arial" w:hAnsi="Arial"/>
                <w:sz w:val="18"/>
                <w:szCs w:val="18"/>
                <w:color w:val="auto"/>
                <w:w w:val="94"/>
              </w:rPr>
              <w:t>Certification of the Chief Financial Officer Pursuant to 18 U.S.C. Section 1350, As Adopted Pursuant to</w:t>
            </w:r>
          </w:p>
        </w:tc>
        <w:tc>
          <w:tcPr>
            <w:tcW w:w="2220" w:type="dxa"/>
            <w:vAlign w:val="bottom"/>
          </w:tcPr>
          <w:p>
            <w:pPr>
              <w:ind w:left="340"/>
              <w:spacing w:after="0"/>
              <w:rPr>
                <w:sz w:val="20"/>
                <w:szCs w:val="20"/>
                <w:color w:val="auto"/>
              </w:rPr>
            </w:pPr>
            <w:r>
              <w:rPr>
                <w:rFonts w:ascii="Arial" w:cs="Arial" w:eastAsia="Arial" w:hAnsi="Arial"/>
                <w:sz w:val="18"/>
                <w:szCs w:val="18"/>
                <w:color w:val="auto"/>
              </w:rPr>
              <w:t>Filed Herewith</w:t>
            </w:r>
          </w:p>
        </w:tc>
      </w:tr>
      <w:tr>
        <w:trPr>
          <w:trHeight w:val="222"/>
        </w:trPr>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20" w:type="dxa"/>
            <w:vAlign w:val="bottom"/>
            <w:gridSpan w:val="3"/>
          </w:tcPr>
          <w:p>
            <w:pPr>
              <w:ind w:left="100"/>
              <w:spacing w:after="0"/>
              <w:rPr>
                <w:sz w:val="20"/>
                <w:szCs w:val="20"/>
                <w:color w:val="auto"/>
              </w:rPr>
            </w:pPr>
            <w:r>
              <w:rPr>
                <w:rFonts w:ascii="Arial" w:cs="Arial" w:eastAsia="Arial" w:hAnsi="Arial"/>
                <w:sz w:val="18"/>
                <w:szCs w:val="18"/>
                <w:color w:val="auto"/>
              </w:rPr>
              <w:t>Section 906 of the Sarbanes-Oxley Act of 2002</w:t>
            </w:r>
          </w:p>
        </w:tc>
        <w:tc>
          <w:tcPr>
            <w:tcW w:w="2220" w:type="dxa"/>
            <w:vAlign w:val="bottom"/>
          </w:tcPr>
          <w:p>
            <w:pPr>
              <w:spacing w:after="0"/>
              <w:rPr>
                <w:sz w:val="19"/>
                <w:szCs w:val="19"/>
                <w:color w:val="auto"/>
              </w:rPr>
            </w:pP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7820" w:type="dxa"/>
            <w:vAlign w:val="bottom"/>
            <w:gridSpan w:val="3"/>
          </w:tcPr>
          <w:p>
            <w:pPr>
              <w:ind w:left="100"/>
              <w:spacing w:after="0"/>
              <w:rPr>
                <w:sz w:val="20"/>
                <w:szCs w:val="20"/>
                <w:color w:val="auto"/>
              </w:rPr>
            </w:pPr>
            <w:r>
              <w:rPr>
                <w:rFonts w:ascii="Arial" w:cs="Arial" w:eastAsia="Arial" w:hAnsi="Arial"/>
                <w:sz w:val="18"/>
                <w:szCs w:val="18"/>
                <w:color w:val="auto"/>
              </w:rPr>
              <w:t>XBRL Instance Document</w:t>
            </w:r>
          </w:p>
        </w:tc>
        <w:tc>
          <w:tcPr>
            <w:tcW w:w="2220" w:type="dxa"/>
            <w:vAlign w:val="bottom"/>
          </w:tcPr>
          <w:p>
            <w:pPr>
              <w:ind w:left="340"/>
              <w:spacing w:after="0"/>
              <w:rPr>
                <w:sz w:val="20"/>
                <w:szCs w:val="20"/>
                <w:color w:val="auto"/>
              </w:rPr>
            </w:pPr>
            <w:r>
              <w:rPr>
                <w:rFonts w:ascii="Arial" w:cs="Arial" w:eastAsia="Arial" w:hAnsi="Arial"/>
                <w:sz w:val="18"/>
                <w:szCs w:val="18"/>
                <w:color w:val="auto"/>
                <w:w w:val="88"/>
              </w:rPr>
              <w:t>Furnished with this Report</w:t>
            </w: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7820" w:type="dxa"/>
            <w:vAlign w:val="bottom"/>
            <w:gridSpan w:val="3"/>
          </w:tcPr>
          <w:p>
            <w:pPr>
              <w:ind w:left="100"/>
              <w:spacing w:after="0"/>
              <w:rPr>
                <w:sz w:val="20"/>
                <w:szCs w:val="20"/>
                <w:color w:val="auto"/>
              </w:rPr>
            </w:pPr>
            <w:r>
              <w:rPr>
                <w:rFonts w:ascii="Arial" w:cs="Arial" w:eastAsia="Arial" w:hAnsi="Arial"/>
                <w:sz w:val="18"/>
                <w:szCs w:val="18"/>
                <w:color w:val="auto"/>
              </w:rPr>
              <w:t>XBRL Taxonomy Extension Schema Document</w:t>
            </w:r>
          </w:p>
        </w:tc>
        <w:tc>
          <w:tcPr>
            <w:tcW w:w="2220" w:type="dxa"/>
            <w:vAlign w:val="bottom"/>
          </w:tcPr>
          <w:p>
            <w:pPr>
              <w:ind w:left="340"/>
              <w:spacing w:after="0"/>
              <w:rPr>
                <w:sz w:val="20"/>
                <w:szCs w:val="20"/>
                <w:color w:val="auto"/>
              </w:rPr>
            </w:pPr>
            <w:r>
              <w:rPr>
                <w:rFonts w:ascii="Arial" w:cs="Arial" w:eastAsia="Arial" w:hAnsi="Arial"/>
                <w:sz w:val="18"/>
                <w:szCs w:val="18"/>
                <w:color w:val="auto"/>
                <w:w w:val="88"/>
              </w:rPr>
              <w:t>Furnished with this Report</w:t>
            </w: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7820" w:type="dxa"/>
            <w:vAlign w:val="bottom"/>
            <w:gridSpan w:val="3"/>
          </w:tcPr>
          <w:p>
            <w:pPr>
              <w:ind w:left="100"/>
              <w:spacing w:after="0"/>
              <w:rPr>
                <w:sz w:val="20"/>
                <w:szCs w:val="20"/>
                <w:color w:val="auto"/>
              </w:rPr>
            </w:pPr>
            <w:r>
              <w:rPr>
                <w:rFonts w:ascii="Arial" w:cs="Arial" w:eastAsia="Arial" w:hAnsi="Arial"/>
                <w:sz w:val="18"/>
                <w:szCs w:val="18"/>
                <w:color w:val="auto"/>
              </w:rPr>
              <w:t>XBRL Taxonomy Extension Calculation Linkbase Document</w:t>
            </w:r>
          </w:p>
        </w:tc>
        <w:tc>
          <w:tcPr>
            <w:tcW w:w="2220" w:type="dxa"/>
            <w:vAlign w:val="bottom"/>
          </w:tcPr>
          <w:p>
            <w:pPr>
              <w:ind w:left="340"/>
              <w:spacing w:after="0"/>
              <w:rPr>
                <w:sz w:val="20"/>
                <w:szCs w:val="20"/>
                <w:color w:val="auto"/>
              </w:rPr>
            </w:pPr>
            <w:r>
              <w:rPr>
                <w:rFonts w:ascii="Arial" w:cs="Arial" w:eastAsia="Arial" w:hAnsi="Arial"/>
                <w:sz w:val="18"/>
                <w:szCs w:val="18"/>
                <w:color w:val="auto"/>
                <w:w w:val="88"/>
              </w:rPr>
              <w:t>Furnished with this Report</w:t>
            </w: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7820" w:type="dxa"/>
            <w:vAlign w:val="bottom"/>
            <w:gridSpan w:val="3"/>
          </w:tcPr>
          <w:p>
            <w:pPr>
              <w:ind w:left="100"/>
              <w:spacing w:after="0"/>
              <w:rPr>
                <w:sz w:val="20"/>
                <w:szCs w:val="20"/>
                <w:color w:val="auto"/>
              </w:rPr>
            </w:pPr>
            <w:r>
              <w:rPr>
                <w:rFonts w:ascii="Arial" w:cs="Arial" w:eastAsia="Arial" w:hAnsi="Arial"/>
                <w:sz w:val="18"/>
                <w:szCs w:val="18"/>
                <w:color w:val="auto"/>
              </w:rPr>
              <w:t>XBRL Taxonomy Extension Label Linkbase Document</w:t>
            </w:r>
          </w:p>
        </w:tc>
        <w:tc>
          <w:tcPr>
            <w:tcW w:w="2220" w:type="dxa"/>
            <w:vAlign w:val="bottom"/>
          </w:tcPr>
          <w:p>
            <w:pPr>
              <w:ind w:left="340"/>
              <w:spacing w:after="0"/>
              <w:rPr>
                <w:sz w:val="20"/>
                <w:szCs w:val="20"/>
                <w:color w:val="auto"/>
              </w:rPr>
            </w:pPr>
            <w:r>
              <w:rPr>
                <w:rFonts w:ascii="Arial" w:cs="Arial" w:eastAsia="Arial" w:hAnsi="Arial"/>
                <w:sz w:val="18"/>
                <w:szCs w:val="18"/>
                <w:color w:val="auto"/>
                <w:w w:val="88"/>
              </w:rPr>
              <w:t>Furnished with this Report</w:t>
            </w: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7820" w:type="dxa"/>
            <w:vAlign w:val="bottom"/>
            <w:gridSpan w:val="3"/>
          </w:tcPr>
          <w:p>
            <w:pPr>
              <w:ind w:left="100"/>
              <w:spacing w:after="0"/>
              <w:rPr>
                <w:sz w:val="20"/>
                <w:szCs w:val="20"/>
                <w:color w:val="auto"/>
              </w:rPr>
            </w:pPr>
            <w:r>
              <w:rPr>
                <w:rFonts w:ascii="Arial" w:cs="Arial" w:eastAsia="Arial" w:hAnsi="Arial"/>
                <w:sz w:val="18"/>
                <w:szCs w:val="18"/>
                <w:color w:val="auto"/>
              </w:rPr>
              <w:t>XBRL Taxonomy Extension Presentation Linkbase Document</w:t>
            </w:r>
          </w:p>
        </w:tc>
        <w:tc>
          <w:tcPr>
            <w:tcW w:w="2220" w:type="dxa"/>
            <w:vAlign w:val="bottom"/>
          </w:tcPr>
          <w:p>
            <w:pPr>
              <w:ind w:left="340"/>
              <w:spacing w:after="0"/>
              <w:rPr>
                <w:sz w:val="20"/>
                <w:szCs w:val="20"/>
                <w:color w:val="auto"/>
              </w:rPr>
            </w:pPr>
            <w:r>
              <w:rPr>
                <w:rFonts w:ascii="Arial" w:cs="Arial" w:eastAsia="Arial" w:hAnsi="Arial"/>
                <w:sz w:val="18"/>
                <w:szCs w:val="18"/>
                <w:color w:val="auto"/>
                <w:w w:val="88"/>
              </w:rPr>
              <w:t>Furnished with this Report</w:t>
            </w: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7820" w:type="dxa"/>
            <w:vAlign w:val="bottom"/>
            <w:gridSpan w:val="3"/>
          </w:tcPr>
          <w:p>
            <w:pPr>
              <w:ind w:left="100"/>
              <w:spacing w:after="0"/>
              <w:rPr>
                <w:sz w:val="20"/>
                <w:szCs w:val="20"/>
                <w:color w:val="auto"/>
              </w:rPr>
            </w:pPr>
            <w:r>
              <w:rPr>
                <w:rFonts w:ascii="Arial" w:cs="Arial" w:eastAsia="Arial" w:hAnsi="Arial"/>
                <w:sz w:val="18"/>
                <w:szCs w:val="18"/>
                <w:color w:val="auto"/>
              </w:rPr>
              <w:t>XBRL Taxonomy Extension Definition Linkbase Document</w:t>
            </w:r>
          </w:p>
        </w:tc>
        <w:tc>
          <w:tcPr>
            <w:tcW w:w="2220" w:type="dxa"/>
            <w:vAlign w:val="bottom"/>
          </w:tcPr>
          <w:p>
            <w:pPr>
              <w:ind w:left="340"/>
              <w:spacing w:after="0"/>
              <w:rPr>
                <w:sz w:val="20"/>
                <w:szCs w:val="20"/>
                <w:color w:val="auto"/>
              </w:rPr>
            </w:pPr>
            <w:r>
              <w:rPr>
                <w:rFonts w:ascii="Arial" w:cs="Arial" w:eastAsia="Arial" w:hAnsi="Arial"/>
                <w:sz w:val="18"/>
                <w:szCs w:val="18"/>
                <w:color w:val="auto"/>
                <w:w w:val="88"/>
              </w:rPr>
              <w:t>Furnished with this Report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Submitted electronically with this Report</w:t>
      </w:r>
    </w:p>
    <w:p>
      <w:pPr>
        <w:spacing w:after="0" w:line="171"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 * * * * *</w:t>
      </w:r>
    </w:p>
    <w:p>
      <w:pPr>
        <w:spacing w:after="0" w:line="158"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0900"/>
          </w:cols>
          <w:pgMar w:left="240" w:top="459" w:right="7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GENERAL MOTORS COMPANY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(Registrant)</w:t>
      </w:r>
    </w:p>
    <w:p>
      <w:pPr>
        <w:spacing w:after="0" w:line="232" w:lineRule="exact"/>
        <w:rPr>
          <w:sz w:val="20"/>
          <w:szCs w:val="20"/>
          <w:color w:val="auto"/>
        </w:rPr>
      </w:pPr>
    </w:p>
    <w:p>
      <w:pPr>
        <w:ind w:left="6860"/>
        <w:spacing w:after="0"/>
        <w:tabs>
          <w:tab w:leader="none" w:pos="756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6"/>
          <w:szCs w:val="16"/>
          <w:color w:val="auto"/>
        </w:rPr>
        <w:t>NICK S. CYPRUS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3" w:lineRule="exact"/>
        <w:rPr>
          <w:sz w:val="20"/>
          <w:szCs w:val="20"/>
          <w:color w:val="auto"/>
        </w:rPr>
      </w:pPr>
    </w:p>
    <w:p>
      <w:pPr>
        <w:ind w:left="7240"/>
        <w:spacing w:after="0"/>
        <w:rPr>
          <w:sz w:val="20"/>
          <w:szCs w:val="20"/>
          <w:color w:val="auto"/>
        </w:rPr>
      </w:pPr>
      <w:r>
        <w:rPr>
          <w:rFonts w:ascii="Arial" w:cs="Arial" w:eastAsia="Arial" w:hAnsi="Arial"/>
          <w:sz w:val="14"/>
          <w:szCs w:val="14"/>
          <w:color w:val="auto"/>
        </w:rPr>
        <w:t>(Nick S. Cyprus, Vice President,</w:t>
      </w:r>
    </w:p>
    <w:p>
      <w:pPr>
        <w:ind w:left="7240"/>
        <w:spacing w:after="0"/>
        <w:rPr>
          <w:sz w:val="20"/>
          <w:szCs w:val="20"/>
          <w:color w:val="auto"/>
        </w:rPr>
      </w:pPr>
      <w:r>
        <w:rPr>
          <w:rFonts w:ascii="Arial" w:cs="Arial" w:eastAsia="Arial" w:hAnsi="Arial"/>
          <w:sz w:val="14"/>
          <w:szCs w:val="14"/>
          <w:color w:val="auto"/>
        </w:rPr>
        <w:t>Controller and Chief Accounting Officer)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2011</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20"/>
          </w:cols>
          <w:pgMar w:left="24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8"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EXHIBIT INDEX</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6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3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0"/>
              </w:rPr>
              <w:t>Exhibit Name</w:t>
            </w:r>
          </w:p>
        </w:tc>
        <w:tc>
          <w:tcPr>
            <w:tcW w:w="336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322"/>
        </w:trPr>
        <w:tc>
          <w:tcPr>
            <w:tcW w:w="500" w:type="dxa"/>
            <w:vAlign w:val="bottom"/>
          </w:tcPr>
          <w:p>
            <w:pPr>
              <w:ind w:left="100"/>
              <w:spacing w:after="0"/>
              <w:rPr>
                <w:sz w:val="20"/>
                <w:szCs w:val="20"/>
                <w:color w:val="auto"/>
              </w:rPr>
            </w:pPr>
            <w:r>
              <w:rPr>
                <w:rFonts w:ascii="Arial" w:cs="Arial" w:eastAsia="Arial" w:hAnsi="Arial"/>
                <w:sz w:val="18"/>
                <w:szCs w:val="18"/>
                <w:color w:val="auto"/>
              </w:rPr>
              <w:t>31.1</w:t>
            </w:r>
          </w:p>
        </w:tc>
        <w:tc>
          <w:tcPr>
            <w:tcW w:w="360" w:type="dxa"/>
            <w:vAlign w:val="bottom"/>
          </w:tcPr>
          <w:p>
            <w:pPr>
              <w:spacing w:after="0"/>
              <w:rPr>
                <w:sz w:val="24"/>
                <w:szCs w:val="24"/>
                <w:color w:val="auto"/>
              </w:rPr>
            </w:pPr>
          </w:p>
        </w:tc>
        <w:tc>
          <w:tcPr>
            <w:tcW w:w="7820" w:type="dxa"/>
            <w:vAlign w:val="bottom"/>
            <w:gridSpan w:val="3"/>
          </w:tcPr>
          <w:p>
            <w:pPr>
              <w:ind w:left="100"/>
              <w:spacing w:after="0"/>
              <w:rPr>
                <w:sz w:val="20"/>
                <w:szCs w:val="20"/>
                <w:color w:val="auto"/>
              </w:rPr>
            </w:pPr>
            <w:r>
              <w:rPr>
                <w:rFonts w:ascii="Arial" w:cs="Arial" w:eastAsia="Arial" w:hAnsi="Arial"/>
                <w:sz w:val="18"/>
                <w:szCs w:val="18"/>
                <w:color w:val="auto"/>
              </w:rPr>
              <w:t>Section 302 Certification of the Chief Executive Officer</w:t>
            </w:r>
          </w:p>
        </w:tc>
        <w:tc>
          <w:tcPr>
            <w:tcW w:w="2220" w:type="dxa"/>
            <w:vAlign w:val="bottom"/>
          </w:tcPr>
          <w:p>
            <w:pPr>
              <w:ind w:left="340"/>
              <w:spacing w:after="0"/>
              <w:rPr>
                <w:sz w:val="20"/>
                <w:szCs w:val="20"/>
                <w:color w:val="auto"/>
              </w:rPr>
            </w:pPr>
            <w:r>
              <w:rPr>
                <w:rFonts w:ascii="Arial" w:cs="Arial" w:eastAsia="Arial" w:hAnsi="Arial"/>
                <w:sz w:val="18"/>
                <w:szCs w:val="18"/>
                <w:color w:val="auto"/>
              </w:rPr>
              <w:t>Filed Herewith</w:t>
            </w:r>
          </w:p>
        </w:tc>
      </w:tr>
      <w:tr>
        <w:trPr>
          <w:trHeight w:val="324"/>
        </w:trPr>
        <w:tc>
          <w:tcPr>
            <w:tcW w:w="500" w:type="dxa"/>
            <w:vAlign w:val="bottom"/>
          </w:tcPr>
          <w:p>
            <w:pPr>
              <w:ind w:left="100"/>
              <w:spacing w:after="0"/>
              <w:rPr>
                <w:sz w:val="20"/>
                <w:szCs w:val="20"/>
                <w:color w:val="auto"/>
              </w:rPr>
            </w:pPr>
            <w:r>
              <w:rPr>
                <w:rFonts w:ascii="Arial" w:cs="Arial" w:eastAsia="Arial" w:hAnsi="Arial"/>
                <w:sz w:val="18"/>
                <w:szCs w:val="18"/>
                <w:color w:val="auto"/>
              </w:rPr>
              <w:t>31.2</w:t>
            </w:r>
          </w:p>
        </w:tc>
        <w:tc>
          <w:tcPr>
            <w:tcW w:w="360" w:type="dxa"/>
            <w:vAlign w:val="bottom"/>
          </w:tcPr>
          <w:p>
            <w:pPr>
              <w:spacing w:after="0"/>
              <w:rPr>
                <w:sz w:val="24"/>
                <w:szCs w:val="24"/>
                <w:color w:val="auto"/>
              </w:rPr>
            </w:pPr>
          </w:p>
        </w:tc>
        <w:tc>
          <w:tcPr>
            <w:tcW w:w="7820" w:type="dxa"/>
            <w:vAlign w:val="bottom"/>
            <w:gridSpan w:val="3"/>
          </w:tcPr>
          <w:p>
            <w:pPr>
              <w:ind w:left="100"/>
              <w:spacing w:after="0"/>
              <w:rPr>
                <w:sz w:val="20"/>
                <w:szCs w:val="20"/>
                <w:color w:val="auto"/>
              </w:rPr>
            </w:pPr>
            <w:r>
              <w:rPr>
                <w:rFonts w:ascii="Arial" w:cs="Arial" w:eastAsia="Arial" w:hAnsi="Arial"/>
                <w:sz w:val="18"/>
                <w:szCs w:val="18"/>
                <w:color w:val="auto"/>
              </w:rPr>
              <w:t>Section 302 Certification of the Chief Financial Officer</w:t>
            </w:r>
          </w:p>
        </w:tc>
        <w:tc>
          <w:tcPr>
            <w:tcW w:w="2220" w:type="dxa"/>
            <w:vAlign w:val="bottom"/>
          </w:tcPr>
          <w:p>
            <w:pPr>
              <w:ind w:left="340"/>
              <w:spacing w:after="0"/>
              <w:rPr>
                <w:sz w:val="20"/>
                <w:szCs w:val="20"/>
                <w:color w:val="auto"/>
              </w:rPr>
            </w:pPr>
            <w:r>
              <w:rPr>
                <w:rFonts w:ascii="Arial" w:cs="Arial" w:eastAsia="Arial" w:hAnsi="Arial"/>
                <w:sz w:val="18"/>
                <w:szCs w:val="18"/>
                <w:color w:val="auto"/>
              </w:rPr>
              <w:t>Filed Herewith</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32.1</w:t>
            </w:r>
          </w:p>
        </w:tc>
        <w:tc>
          <w:tcPr>
            <w:tcW w:w="360" w:type="dxa"/>
            <w:vAlign w:val="bottom"/>
          </w:tcPr>
          <w:p>
            <w:pPr>
              <w:spacing w:after="0"/>
              <w:rPr>
                <w:sz w:val="24"/>
                <w:szCs w:val="24"/>
                <w:color w:val="auto"/>
              </w:rPr>
            </w:pPr>
          </w:p>
        </w:tc>
        <w:tc>
          <w:tcPr>
            <w:tcW w:w="7820" w:type="dxa"/>
            <w:vAlign w:val="bottom"/>
            <w:gridSpan w:val="3"/>
          </w:tcPr>
          <w:p>
            <w:pPr>
              <w:ind w:left="100"/>
              <w:spacing w:after="0"/>
              <w:rPr>
                <w:sz w:val="20"/>
                <w:szCs w:val="20"/>
                <w:color w:val="auto"/>
              </w:rPr>
            </w:pPr>
            <w:r>
              <w:rPr>
                <w:rFonts w:ascii="Arial" w:cs="Arial" w:eastAsia="Arial" w:hAnsi="Arial"/>
                <w:sz w:val="18"/>
                <w:szCs w:val="18"/>
                <w:color w:val="auto"/>
                <w:w w:val="93"/>
              </w:rPr>
              <w:t>Certification of the Chief Executive Officer Pursuant to 18 U.S.C. Section 1350, As Adopted Pursuant to</w:t>
            </w:r>
          </w:p>
        </w:tc>
        <w:tc>
          <w:tcPr>
            <w:tcW w:w="2220" w:type="dxa"/>
            <w:vAlign w:val="bottom"/>
          </w:tcPr>
          <w:p>
            <w:pPr>
              <w:ind w:left="340"/>
              <w:spacing w:after="0"/>
              <w:rPr>
                <w:sz w:val="20"/>
                <w:szCs w:val="20"/>
                <w:color w:val="auto"/>
              </w:rPr>
            </w:pPr>
            <w:r>
              <w:rPr>
                <w:rFonts w:ascii="Arial" w:cs="Arial" w:eastAsia="Arial" w:hAnsi="Arial"/>
                <w:sz w:val="18"/>
                <w:szCs w:val="18"/>
                <w:color w:val="auto"/>
              </w:rPr>
              <w:t>Filed Herewith</w:t>
            </w:r>
          </w:p>
        </w:tc>
      </w:tr>
      <w:tr>
        <w:trPr>
          <w:trHeight w:val="222"/>
        </w:trPr>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20" w:type="dxa"/>
            <w:vAlign w:val="bottom"/>
            <w:gridSpan w:val="3"/>
          </w:tcPr>
          <w:p>
            <w:pPr>
              <w:ind w:left="100"/>
              <w:spacing w:after="0"/>
              <w:rPr>
                <w:sz w:val="20"/>
                <w:szCs w:val="20"/>
                <w:color w:val="auto"/>
              </w:rPr>
            </w:pPr>
            <w:r>
              <w:rPr>
                <w:rFonts w:ascii="Arial" w:cs="Arial" w:eastAsia="Arial" w:hAnsi="Arial"/>
                <w:sz w:val="18"/>
                <w:szCs w:val="18"/>
                <w:color w:val="auto"/>
              </w:rPr>
              <w:t>Section 906 of the Sarbanes-Oxley Act of 2002</w:t>
            </w:r>
          </w:p>
        </w:tc>
        <w:tc>
          <w:tcPr>
            <w:tcW w:w="2220" w:type="dxa"/>
            <w:vAlign w:val="bottom"/>
          </w:tcPr>
          <w:p>
            <w:pPr>
              <w:spacing w:after="0"/>
              <w:rPr>
                <w:sz w:val="19"/>
                <w:szCs w:val="19"/>
                <w:color w:val="auto"/>
              </w:rPr>
            </w:pP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rPr>
              <w:t>32.2</w:t>
            </w:r>
          </w:p>
        </w:tc>
        <w:tc>
          <w:tcPr>
            <w:tcW w:w="360" w:type="dxa"/>
            <w:vAlign w:val="bottom"/>
          </w:tcPr>
          <w:p>
            <w:pPr>
              <w:spacing w:after="0"/>
              <w:rPr>
                <w:sz w:val="24"/>
                <w:szCs w:val="24"/>
                <w:color w:val="auto"/>
              </w:rPr>
            </w:pPr>
          </w:p>
        </w:tc>
        <w:tc>
          <w:tcPr>
            <w:tcW w:w="7820" w:type="dxa"/>
            <w:vAlign w:val="bottom"/>
            <w:gridSpan w:val="3"/>
          </w:tcPr>
          <w:p>
            <w:pPr>
              <w:ind w:left="100"/>
              <w:spacing w:after="0"/>
              <w:rPr>
                <w:sz w:val="20"/>
                <w:szCs w:val="20"/>
                <w:color w:val="auto"/>
              </w:rPr>
            </w:pPr>
            <w:r>
              <w:rPr>
                <w:rFonts w:ascii="Arial" w:cs="Arial" w:eastAsia="Arial" w:hAnsi="Arial"/>
                <w:sz w:val="18"/>
                <w:szCs w:val="18"/>
                <w:color w:val="auto"/>
                <w:w w:val="94"/>
              </w:rPr>
              <w:t>Certification of the Chief Financial Officer Pursuant to 18 U.S.C. Section 1350, As Adopted Pursuant to</w:t>
            </w:r>
          </w:p>
        </w:tc>
        <w:tc>
          <w:tcPr>
            <w:tcW w:w="2220" w:type="dxa"/>
            <w:vAlign w:val="bottom"/>
          </w:tcPr>
          <w:p>
            <w:pPr>
              <w:ind w:left="340"/>
              <w:spacing w:after="0"/>
              <w:rPr>
                <w:sz w:val="20"/>
                <w:szCs w:val="20"/>
                <w:color w:val="auto"/>
              </w:rPr>
            </w:pPr>
            <w:r>
              <w:rPr>
                <w:rFonts w:ascii="Arial" w:cs="Arial" w:eastAsia="Arial" w:hAnsi="Arial"/>
                <w:sz w:val="18"/>
                <w:szCs w:val="18"/>
                <w:color w:val="auto"/>
              </w:rPr>
              <w:t>Filed Herewith</w:t>
            </w:r>
          </w:p>
        </w:tc>
      </w:tr>
      <w:tr>
        <w:trPr>
          <w:trHeight w:val="222"/>
        </w:trPr>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20" w:type="dxa"/>
            <w:vAlign w:val="bottom"/>
            <w:gridSpan w:val="3"/>
          </w:tcPr>
          <w:p>
            <w:pPr>
              <w:ind w:left="100"/>
              <w:spacing w:after="0"/>
              <w:rPr>
                <w:sz w:val="20"/>
                <w:szCs w:val="20"/>
                <w:color w:val="auto"/>
              </w:rPr>
            </w:pPr>
            <w:r>
              <w:rPr>
                <w:rFonts w:ascii="Arial" w:cs="Arial" w:eastAsia="Arial" w:hAnsi="Arial"/>
                <w:sz w:val="18"/>
                <w:szCs w:val="18"/>
                <w:color w:val="auto"/>
              </w:rPr>
              <w:t>Section 906 of the Sarbanes-Oxley Act of 2002</w:t>
            </w:r>
          </w:p>
        </w:tc>
        <w:tc>
          <w:tcPr>
            <w:tcW w:w="2220" w:type="dxa"/>
            <w:vAlign w:val="bottom"/>
          </w:tcPr>
          <w:p>
            <w:pPr>
              <w:spacing w:after="0"/>
              <w:rPr>
                <w:sz w:val="19"/>
                <w:szCs w:val="19"/>
                <w:color w:val="auto"/>
              </w:rPr>
            </w:pP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7820" w:type="dxa"/>
            <w:vAlign w:val="bottom"/>
            <w:gridSpan w:val="3"/>
          </w:tcPr>
          <w:p>
            <w:pPr>
              <w:ind w:left="100"/>
              <w:spacing w:after="0"/>
              <w:rPr>
                <w:sz w:val="20"/>
                <w:szCs w:val="20"/>
                <w:color w:val="auto"/>
              </w:rPr>
            </w:pPr>
            <w:r>
              <w:rPr>
                <w:rFonts w:ascii="Arial" w:cs="Arial" w:eastAsia="Arial" w:hAnsi="Arial"/>
                <w:sz w:val="18"/>
                <w:szCs w:val="18"/>
                <w:color w:val="auto"/>
              </w:rPr>
              <w:t>XBRL Instance Document</w:t>
            </w:r>
          </w:p>
        </w:tc>
        <w:tc>
          <w:tcPr>
            <w:tcW w:w="2220" w:type="dxa"/>
            <w:vAlign w:val="bottom"/>
          </w:tcPr>
          <w:p>
            <w:pPr>
              <w:ind w:left="340"/>
              <w:spacing w:after="0"/>
              <w:rPr>
                <w:sz w:val="20"/>
                <w:szCs w:val="20"/>
                <w:color w:val="auto"/>
              </w:rPr>
            </w:pPr>
            <w:r>
              <w:rPr>
                <w:rFonts w:ascii="Arial" w:cs="Arial" w:eastAsia="Arial" w:hAnsi="Arial"/>
                <w:sz w:val="18"/>
                <w:szCs w:val="18"/>
                <w:color w:val="auto"/>
                <w:w w:val="88"/>
              </w:rPr>
              <w:t>Furnished with this Report</w:t>
            </w: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7820" w:type="dxa"/>
            <w:vAlign w:val="bottom"/>
            <w:gridSpan w:val="3"/>
          </w:tcPr>
          <w:p>
            <w:pPr>
              <w:ind w:left="100"/>
              <w:spacing w:after="0"/>
              <w:rPr>
                <w:sz w:val="20"/>
                <w:szCs w:val="20"/>
                <w:color w:val="auto"/>
              </w:rPr>
            </w:pPr>
            <w:r>
              <w:rPr>
                <w:rFonts w:ascii="Arial" w:cs="Arial" w:eastAsia="Arial" w:hAnsi="Arial"/>
                <w:sz w:val="18"/>
                <w:szCs w:val="18"/>
                <w:color w:val="auto"/>
              </w:rPr>
              <w:t>XBRL Taxonomy Extension Schema Document</w:t>
            </w:r>
          </w:p>
        </w:tc>
        <w:tc>
          <w:tcPr>
            <w:tcW w:w="2220" w:type="dxa"/>
            <w:vAlign w:val="bottom"/>
          </w:tcPr>
          <w:p>
            <w:pPr>
              <w:ind w:left="340"/>
              <w:spacing w:after="0"/>
              <w:rPr>
                <w:sz w:val="20"/>
                <w:szCs w:val="20"/>
                <w:color w:val="auto"/>
              </w:rPr>
            </w:pPr>
            <w:r>
              <w:rPr>
                <w:rFonts w:ascii="Arial" w:cs="Arial" w:eastAsia="Arial" w:hAnsi="Arial"/>
                <w:sz w:val="18"/>
                <w:szCs w:val="18"/>
                <w:color w:val="auto"/>
                <w:w w:val="88"/>
              </w:rPr>
              <w:t>Furnished with this Report</w:t>
            </w: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7820" w:type="dxa"/>
            <w:vAlign w:val="bottom"/>
            <w:gridSpan w:val="3"/>
          </w:tcPr>
          <w:p>
            <w:pPr>
              <w:ind w:left="100"/>
              <w:spacing w:after="0"/>
              <w:rPr>
                <w:sz w:val="20"/>
                <w:szCs w:val="20"/>
                <w:color w:val="auto"/>
              </w:rPr>
            </w:pPr>
            <w:r>
              <w:rPr>
                <w:rFonts w:ascii="Arial" w:cs="Arial" w:eastAsia="Arial" w:hAnsi="Arial"/>
                <w:sz w:val="18"/>
                <w:szCs w:val="18"/>
                <w:color w:val="auto"/>
              </w:rPr>
              <w:t>XBRL Taxonomy Extension Calculation Linkbase Document</w:t>
            </w:r>
          </w:p>
        </w:tc>
        <w:tc>
          <w:tcPr>
            <w:tcW w:w="2220" w:type="dxa"/>
            <w:vAlign w:val="bottom"/>
          </w:tcPr>
          <w:p>
            <w:pPr>
              <w:ind w:left="340"/>
              <w:spacing w:after="0"/>
              <w:rPr>
                <w:sz w:val="20"/>
                <w:szCs w:val="20"/>
                <w:color w:val="auto"/>
              </w:rPr>
            </w:pPr>
            <w:r>
              <w:rPr>
                <w:rFonts w:ascii="Arial" w:cs="Arial" w:eastAsia="Arial" w:hAnsi="Arial"/>
                <w:sz w:val="18"/>
                <w:szCs w:val="18"/>
                <w:color w:val="auto"/>
                <w:w w:val="88"/>
              </w:rPr>
              <w:t>Furnished with this Report</w:t>
            </w: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7820" w:type="dxa"/>
            <w:vAlign w:val="bottom"/>
            <w:gridSpan w:val="3"/>
          </w:tcPr>
          <w:p>
            <w:pPr>
              <w:ind w:left="100"/>
              <w:spacing w:after="0"/>
              <w:rPr>
                <w:sz w:val="20"/>
                <w:szCs w:val="20"/>
                <w:color w:val="auto"/>
              </w:rPr>
            </w:pPr>
            <w:r>
              <w:rPr>
                <w:rFonts w:ascii="Arial" w:cs="Arial" w:eastAsia="Arial" w:hAnsi="Arial"/>
                <w:sz w:val="18"/>
                <w:szCs w:val="18"/>
                <w:color w:val="auto"/>
              </w:rPr>
              <w:t>XBRL Taxonomy Extension Label Linkbase Document</w:t>
            </w:r>
          </w:p>
        </w:tc>
        <w:tc>
          <w:tcPr>
            <w:tcW w:w="2220" w:type="dxa"/>
            <w:vAlign w:val="bottom"/>
          </w:tcPr>
          <w:p>
            <w:pPr>
              <w:ind w:left="340"/>
              <w:spacing w:after="0"/>
              <w:rPr>
                <w:sz w:val="20"/>
                <w:szCs w:val="20"/>
                <w:color w:val="auto"/>
              </w:rPr>
            </w:pPr>
            <w:r>
              <w:rPr>
                <w:rFonts w:ascii="Arial" w:cs="Arial" w:eastAsia="Arial" w:hAnsi="Arial"/>
                <w:sz w:val="18"/>
                <w:szCs w:val="18"/>
                <w:color w:val="auto"/>
                <w:w w:val="88"/>
              </w:rPr>
              <w:t>Furnished with this Report</w:t>
            </w: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7820" w:type="dxa"/>
            <w:vAlign w:val="bottom"/>
            <w:gridSpan w:val="3"/>
          </w:tcPr>
          <w:p>
            <w:pPr>
              <w:ind w:left="100"/>
              <w:spacing w:after="0"/>
              <w:rPr>
                <w:sz w:val="20"/>
                <w:szCs w:val="20"/>
                <w:color w:val="auto"/>
              </w:rPr>
            </w:pPr>
            <w:r>
              <w:rPr>
                <w:rFonts w:ascii="Arial" w:cs="Arial" w:eastAsia="Arial" w:hAnsi="Arial"/>
                <w:sz w:val="18"/>
                <w:szCs w:val="18"/>
                <w:color w:val="auto"/>
              </w:rPr>
              <w:t>XBRL Taxonomy Extension Presentation Linkbase Document</w:t>
            </w:r>
          </w:p>
        </w:tc>
        <w:tc>
          <w:tcPr>
            <w:tcW w:w="2220" w:type="dxa"/>
            <w:vAlign w:val="bottom"/>
          </w:tcPr>
          <w:p>
            <w:pPr>
              <w:ind w:left="340"/>
              <w:spacing w:after="0"/>
              <w:rPr>
                <w:sz w:val="20"/>
                <w:szCs w:val="20"/>
                <w:color w:val="auto"/>
              </w:rPr>
            </w:pPr>
            <w:r>
              <w:rPr>
                <w:rFonts w:ascii="Arial" w:cs="Arial" w:eastAsia="Arial" w:hAnsi="Arial"/>
                <w:sz w:val="18"/>
                <w:szCs w:val="18"/>
                <w:color w:val="auto"/>
                <w:w w:val="88"/>
              </w:rPr>
              <w:t>Furnished with this Report</w:t>
            </w: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7820" w:type="dxa"/>
            <w:vAlign w:val="bottom"/>
            <w:gridSpan w:val="3"/>
          </w:tcPr>
          <w:p>
            <w:pPr>
              <w:ind w:left="100"/>
              <w:spacing w:after="0"/>
              <w:rPr>
                <w:sz w:val="20"/>
                <w:szCs w:val="20"/>
                <w:color w:val="auto"/>
              </w:rPr>
            </w:pPr>
            <w:r>
              <w:rPr>
                <w:rFonts w:ascii="Arial" w:cs="Arial" w:eastAsia="Arial" w:hAnsi="Arial"/>
                <w:sz w:val="18"/>
                <w:szCs w:val="18"/>
                <w:color w:val="auto"/>
              </w:rPr>
              <w:t>XBRL Taxonomy Extension Definition Linkbase Document</w:t>
            </w:r>
          </w:p>
        </w:tc>
        <w:tc>
          <w:tcPr>
            <w:tcW w:w="2220" w:type="dxa"/>
            <w:vAlign w:val="bottom"/>
          </w:tcPr>
          <w:p>
            <w:pPr>
              <w:ind w:left="340"/>
              <w:spacing w:after="0"/>
              <w:rPr>
                <w:sz w:val="20"/>
                <w:szCs w:val="20"/>
                <w:color w:val="auto"/>
              </w:rPr>
            </w:pPr>
            <w:r>
              <w:rPr>
                <w:rFonts w:ascii="Arial" w:cs="Arial" w:eastAsia="Arial" w:hAnsi="Arial"/>
                <w:sz w:val="18"/>
                <w:szCs w:val="18"/>
                <w:color w:val="auto"/>
                <w:w w:val="88"/>
              </w:rPr>
              <w:t>Furnished with this Report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Submitted electronically with this Report</w:t>
      </w:r>
    </w:p>
    <w:p>
      <w:pPr>
        <w:spacing w:after="0" w:line="158"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0900"/>
          </w:cols>
          <w:pgMar w:left="240" w:top="459" w:right="75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Daniel F. Akerson, certify that:</w:t>
      </w:r>
    </w:p>
    <w:p>
      <w:pPr>
        <w:spacing w:after="0" w:line="171" w:lineRule="exact"/>
        <w:rPr>
          <w:sz w:val="20"/>
          <w:szCs w:val="20"/>
          <w:color w:val="auto"/>
        </w:rPr>
      </w:pPr>
    </w:p>
    <w:p>
      <w:pPr>
        <w:ind w:left="420" w:hanging="184"/>
        <w:spacing w:after="0"/>
        <w:tabs>
          <w:tab w:leader="none" w:pos="4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 have reviewed this quarterly report for the period ended June 30, 2011 on Form 10-Q of General Motors Company;</w:t>
      </w:r>
    </w:p>
    <w:p>
      <w:pPr>
        <w:spacing w:after="0" w:line="171" w:lineRule="exact"/>
        <w:rPr>
          <w:rFonts w:ascii="Arial" w:cs="Arial" w:eastAsia="Arial" w:hAnsi="Arial"/>
          <w:sz w:val="18"/>
          <w:szCs w:val="18"/>
          <w:color w:val="auto"/>
        </w:rPr>
      </w:pPr>
    </w:p>
    <w:p>
      <w:pPr>
        <w:ind w:firstLine="236"/>
        <w:spacing w:after="0" w:line="332" w:lineRule="auto"/>
        <w:tabs>
          <w:tab w:leader="none" w:pos="404" w:val="left"/>
        </w:tabs>
        <w:numPr>
          <w:ilvl w:val="0"/>
          <w:numId w:val="7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100" w:firstLine="236"/>
        <w:spacing w:after="0" w:line="268" w:lineRule="auto"/>
        <w:tabs>
          <w:tab w:leader="none" w:pos="404" w:val="left"/>
        </w:tabs>
        <w:numPr>
          <w:ilvl w:val="0"/>
          <w:numId w:val="7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firstLine="236"/>
        <w:spacing w:after="0" w:line="259" w:lineRule="auto"/>
        <w:tabs>
          <w:tab w:leader="none" w:pos="404"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jc w:val="both"/>
        <w:ind w:left="460" w:right="100" w:firstLine="224"/>
        <w:spacing w:after="0" w:line="259" w:lineRule="auto"/>
        <w:tabs>
          <w:tab w:leader="none" w:pos="859"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left="460" w:right="80" w:firstLine="224"/>
        <w:spacing w:after="0" w:line="259" w:lineRule="auto"/>
        <w:tabs>
          <w:tab w:leader="none" w:pos="869"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left="460" w:right="140" w:firstLine="224"/>
        <w:spacing w:after="0" w:line="332" w:lineRule="auto"/>
        <w:tabs>
          <w:tab w:leader="none" w:pos="859" w:val="left"/>
        </w:tabs>
        <w:numPr>
          <w:ilvl w:val="1"/>
          <w:numId w:val="7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Arial" w:cs="Arial" w:eastAsia="Arial" w:hAnsi="Arial"/>
          <w:sz w:val="16"/>
          <w:szCs w:val="16"/>
          <w:color w:val="auto"/>
        </w:rPr>
      </w:pPr>
    </w:p>
    <w:p>
      <w:pPr>
        <w:ind w:left="460" w:right="160" w:firstLine="224"/>
        <w:spacing w:after="0" w:line="259" w:lineRule="auto"/>
        <w:tabs>
          <w:tab w:leader="none" w:pos="869" w:val="left"/>
        </w:tabs>
        <w:numPr>
          <w:ilvl w:val="1"/>
          <w:numId w:val="7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680" w:firstLine="236"/>
        <w:spacing w:after="0" w:line="332" w:lineRule="auto"/>
        <w:tabs>
          <w:tab w:leader="none" w:pos="404"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rFonts w:ascii="Arial" w:cs="Arial" w:eastAsia="Arial" w:hAnsi="Arial"/>
          <w:sz w:val="16"/>
          <w:szCs w:val="16"/>
          <w:color w:val="auto"/>
        </w:rPr>
      </w:pPr>
    </w:p>
    <w:p>
      <w:pPr>
        <w:ind w:left="460" w:right="60" w:firstLine="224"/>
        <w:spacing w:after="0" w:line="268" w:lineRule="auto"/>
        <w:tabs>
          <w:tab w:leader="none" w:pos="859" w:val="left"/>
        </w:tabs>
        <w:numPr>
          <w:ilvl w:val="1"/>
          <w:numId w:val="7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left="460" w:right="100" w:firstLine="224"/>
        <w:spacing w:after="0" w:line="268" w:lineRule="auto"/>
        <w:tabs>
          <w:tab w:leader="none" w:pos="869"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DANIEL F. AKERSON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Daniel F. Akerson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and 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2011</w:t>
      </w:r>
    </w:p>
    <w:p>
      <w:pPr>
        <w:sectPr>
          <w:pgSz w:w="11900" w:h="16838" w:orient="portrait"/>
          <w:cols w:equalWidth="0" w:num="1">
            <w:col w:w="11420"/>
          </w:cols>
          <w:pgMar w:left="240" w:top="125"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Daniel Ammann, certify that:</w:t>
      </w:r>
    </w:p>
    <w:p>
      <w:pPr>
        <w:spacing w:after="0" w:line="171" w:lineRule="exact"/>
        <w:rPr>
          <w:sz w:val="20"/>
          <w:szCs w:val="20"/>
          <w:color w:val="auto"/>
        </w:rPr>
      </w:pPr>
    </w:p>
    <w:p>
      <w:pPr>
        <w:ind w:left="420" w:hanging="184"/>
        <w:spacing w:after="0"/>
        <w:tabs>
          <w:tab w:leader="none" w:pos="4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 have reviewed this quarterly report for the period ended June 30, 2011 on Form 10-Q of General Motors Company;</w:t>
      </w:r>
    </w:p>
    <w:p>
      <w:pPr>
        <w:spacing w:after="0" w:line="171" w:lineRule="exact"/>
        <w:rPr>
          <w:rFonts w:ascii="Arial" w:cs="Arial" w:eastAsia="Arial" w:hAnsi="Arial"/>
          <w:sz w:val="18"/>
          <w:szCs w:val="18"/>
          <w:color w:val="auto"/>
        </w:rPr>
      </w:pPr>
    </w:p>
    <w:p>
      <w:pPr>
        <w:ind w:firstLine="236"/>
        <w:spacing w:after="0" w:line="332" w:lineRule="auto"/>
        <w:tabs>
          <w:tab w:leader="none" w:pos="404" w:val="left"/>
        </w:tabs>
        <w:numPr>
          <w:ilvl w:val="0"/>
          <w:numId w:val="7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100" w:firstLine="236"/>
        <w:spacing w:after="0" w:line="268" w:lineRule="auto"/>
        <w:tabs>
          <w:tab w:leader="none" w:pos="404" w:val="left"/>
        </w:tabs>
        <w:numPr>
          <w:ilvl w:val="0"/>
          <w:numId w:val="7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firstLine="236"/>
        <w:spacing w:after="0" w:line="259" w:lineRule="auto"/>
        <w:tabs>
          <w:tab w:leader="none" w:pos="404"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jc w:val="both"/>
        <w:ind w:left="460" w:right="100" w:firstLine="224"/>
        <w:spacing w:after="0" w:line="259" w:lineRule="auto"/>
        <w:tabs>
          <w:tab w:leader="none" w:pos="859"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left="460" w:right="80" w:firstLine="224"/>
        <w:spacing w:after="0" w:line="259" w:lineRule="auto"/>
        <w:tabs>
          <w:tab w:leader="none" w:pos="869"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left="460" w:right="140" w:firstLine="224"/>
        <w:spacing w:after="0" w:line="332" w:lineRule="auto"/>
        <w:tabs>
          <w:tab w:leader="none" w:pos="859" w:val="left"/>
        </w:tabs>
        <w:numPr>
          <w:ilvl w:val="1"/>
          <w:numId w:val="7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Arial" w:cs="Arial" w:eastAsia="Arial" w:hAnsi="Arial"/>
          <w:sz w:val="16"/>
          <w:szCs w:val="16"/>
          <w:color w:val="auto"/>
        </w:rPr>
      </w:pPr>
    </w:p>
    <w:p>
      <w:pPr>
        <w:ind w:left="460" w:right="160" w:firstLine="224"/>
        <w:spacing w:after="0" w:line="259" w:lineRule="auto"/>
        <w:tabs>
          <w:tab w:leader="none" w:pos="869" w:val="left"/>
        </w:tabs>
        <w:numPr>
          <w:ilvl w:val="1"/>
          <w:numId w:val="7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680" w:firstLine="236"/>
        <w:spacing w:after="0" w:line="332" w:lineRule="auto"/>
        <w:tabs>
          <w:tab w:leader="none" w:pos="404"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rFonts w:ascii="Arial" w:cs="Arial" w:eastAsia="Arial" w:hAnsi="Arial"/>
          <w:sz w:val="16"/>
          <w:szCs w:val="16"/>
          <w:color w:val="auto"/>
        </w:rPr>
      </w:pPr>
    </w:p>
    <w:p>
      <w:pPr>
        <w:ind w:left="460" w:right="60" w:firstLine="224"/>
        <w:spacing w:after="0" w:line="268" w:lineRule="auto"/>
        <w:tabs>
          <w:tab w:leader="none" w:pos="859" w:val="left"/>
        </w:tabs>
        <w:numPr>
          <w:ilvl w:val="1"/>
          <w:numId w:val="7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left="460" w:right="100" w:firstLine="224"/>
        <w:spacing w:after="0" w:line="268" w:lineRule="auto"/>
        <w:tabs>
          <w:tab w:leader="none" w:pos="869"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tab/>
        <w:t>DANIEL AMMANN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Daniel Ammann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and 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2011</w:t>
      </w:r>
    </w:p>
    <w:p>
      <w:pPr>
        <w:sectPr>
          <w:pgSz w:w="11900" w:h="16838" w:orient="portrait"/>
          <w:cols w:equalWidth="0" w:num="1">
            <w:col w:w="11420"/>
          </w:cols>
          <w:pgMar w:left="240" w:top="125"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340" w:firstLine="228"/>
        <w:spacing w:after="0" w:line="306" w:lineRule="auto"/>
        <w:rPr>
          <w:sz w:val="20"/>
          <w:szCs w:val="20"/>
          <w:color w:val="auto"/>
        </w:rPr>
      </w:pPr>
      <w:r>
        <w:rPr>
          <w:rFonts w:ascii="Arial" w:cs="Arial" w:eastAsia="Arial" w:hAnsi="Arial"/>
          <w:sz w:val="16"/>
          <w:szCs w:val="16"/>
          <w:color w:val="auto"/>
        </w:rPr>
        <w:t>In connection with the Quarterly Report of General Motors Company (the “Company”) on Form 10-Q for the period ended June 30, 2011 as filed with the Securities and Exchange Commission on the date hereof (the “Report”), I, Daniel F. Akerson, Chairman and Chief Executive Officer of the Company, certify, pursuant to 18 U.S.C. § 1350, as adopted pursuant to § 906 of the Sarbanes-Oxley Act of 2002, that to the best of my knowledge:</w:t>
      </w:r>
    </w:p>
    <w:p>
      <w:pPr>
        <w:spacing w:after="0" w:line="107" w:lineRule="exact"/>
        <w:rPr>
          <w:sz w:val="20"/>
          <w:szCs w:val="20"/>
          <w:color w:val="auto"/>
        </w:rPr>
      </w:pPr>
    </w:p>
    <w:p>
      <w:pPr>
        <w:ind w:left="860" w:hanging="176"/>
        <w:spacing w:after="0"/>
        <w:tabs>
          <w:tab w:leader="none" w:pos="8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860" w:hanging="176"/>
        <w:spacing w:after="0"/>
        <w:tabs>
          <w:tab w:leader="none" w:pos="8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DANIEL F. AKERSON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Daniel F. Akerson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and 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2011</w:t>
      </w:r>
    </w:p>
    <w:p>
      <w:pPr>
        <w:sectPr>
          <w:pgSz w:w="11900" w:h="16838" w:orient="portrait"/>
          <w:cols w:equalWidth="0" w:num="1">
            <w:col w:w="11420"/>
          </w:cols>
          <w:pgMar w:left="240" w:top="125"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00" w:firstLine="228"/>
        <w:spacing w:after="0" w:line="306" w:lineRule="auto"/>
        <w:rPr>
          <w:sz w:val="20"/>
          <w:szCs w:val="20"/>
          <w:color w:val="auto"/>
        </w:rPr>
      </w:pPr>
      <w:r>
        <w:rPr>
          <w:rFonts w:ascii="Arial" w:cs="Arial" w:eastAsia="Arial" w:hAnsi="Arial"/>
          <w:sz w:val="16"/>
          <w:szCs w:val="16"/>
          <w:color w:val="auto"/>
        </w:rPr>
        <w:t>In connection with the Quarterly Report of General Motors Company (the “Company”) on Form 10-Q for the period ended June 30, 2011 as filed with the Securities and Exchange Commission on the date hereof (the “Report”), I, Daniel Ammann, Senior Vice President and Chief Financial Officer of the Company, certify, pursuant to 18 U.S.C. § 1350, as adopted pursuant to § 906 of the Sarbanes-Oxley Act of 2002, that to the best of my knowledge:</w:t>
      </w:r>
    </w:p>
    <w:p>
      <w:pPr>
        <w:spacing w:after="0" w:line="107" w:lineRule="exact"/>
        <w:rPr>
          <w:sz w:val="20"/>
          <w:szCs w:val="20"/>
          <w:color w:val="auto"/>
        </w:rPr>
      </w:pPr>
    </w:p>
    <w:p>
      <w:pPr>
        <w:ind w:left="860" w:hanging="176"/>
        <w:spacing w:after="0"/>
        <w:tabs>
          <w:tab w:leader="none" w:pos="8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860" w:hanging="176"/>
        <w:spacing w:after="0"/>
        <w:tabs>
          <w:tab w:leader="none" w:pos="8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tab/>
        <w:t>DANIEL AMMANN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Daniel Ammann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and 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2011</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1)"/>
      <w:numFmt w:val="lowerLetter"/>
      <w:start w:val="1"/>
    </w:lvl>
  </w:abstractNum>
  <w:abstractNum w:abstractNumId="3">
    <w:nsid w:val="70A64E2A"/>
    <w:multiLevelType w:val="hybridMultilevel"/>
    <w:lvl w:ilvl="0">
      <w:lvlJc w:val="left"/>
      <w:lvlText w:val="(%1)"/>
      <w:numFmt w:val="lowerLetter"/>
      <w:start w:val="1"/>
    </w:lvl>
  </w:abstractNum>
  <w:abstractNum w:abstractNumId="4">
    <w:nsid w:val="6A2342EC"/>
    <w:multiLevelType w:val="hybridMultilevel"/>
    <w:lvl w:ilvl="0">
      <w:lvlJc w:val="left"/>
      <w:lvlText w:val="(%1)"/>
      <w:numFmt w:val="lowerLetter"/>
      <w:start w:val="1"/>
    </w:lvl>
  </w:abstractNum>
  <w:abstractNum w:abstractNumId="5">
    <w:nsid w:val="2A487CB0"/>
    <w:multiLevelType w:val="hybridMultilevel"/>
    <w:lvl w:ilvl="0">
      <w:lvlJc w:val="left"/>
      <w:lvlText w:val="*"/>
      <w:numFmt w:val="bullet"/>
      <w:start w:val="1"/>
    </w:lvl>
  </w:abstractNum>
  <w:abstractNum w:abstractNumId="6">
    <w:nsid w:val="1D4ED43B"/>
    <w:multiLevelType w:val="hybridMultilevel"/>
    <w:lvl w:ilvl="0">
      <w:lvlJc w:val="left"/>
      <w:lvlText w:val="**"/>
      <w:numFmt w:val="bullet"/>
      <w:start w:val="1"/>
    </w:lvl>
  </w:abstractNum>
  <w:abstractNum w:abstractNumId="7">
    <w:nsid w:val="725A06FB"/>
    <w:multiLevelType w:val="hybridMultilevel"/>
    <w:lvl w:ilvl="0">
      <w:lvlJc w:val="left"/>
      <w:lvlText w:val="*"/>
      <w:numFmt w:val="bullet"/>
      <w:start w:val="1"/>
    </w:lvl>
  </w:abstractNum>
  <w:abstractNum w:abstractNumId="8">
    <w:nsid w:val="2CD89A32"/>
    <w:multiLevelType w:val="hybridMultilevel"/>
    <w:lvl w:ilvl="0">
      <w:lvlJc w:val="left"/>
      <w:lvlText w:val="(%1)"/>
      <w:numFmt w:val="lowerLetter"/>
      <w:start w:val="1"/>
    </w:lvl>
  </w:abstractNum>
  <w:abstractNum w:abstractNumId="9">
    <w:nsid w:val="57E4CCAF"/>
    <w:multiLevelType w:val="hybridMultilevel"/>
    <w:lvl w:ilvl="0">
      <w:lvlJc w:val="left"/>
      <w:lvlText w:val="(%1)"/>
      <w:numFmt w:val="lowerLetter"/>
      <w:start w:val="1"/>
    </w:lvl>
  </w:abstractNum>
  <w:abstractNum w:abstractNumId="10">
    <w:nsid w:val="7A6D8D3C"/>
    <w:multiLevelType w:val="hybridMultilevel"/>
    <w:lvl w:ilvl="0">
      <w:lvlJc w:val="left"/>
      <w:lvlText w:val="(%1)"/>
      <w:numFmt w:val="lowerLetter"/>
      <w:start w:val="1"/>
    </w:lvl>
  </w:abstractNum>
  <w:abstractNum w:abstractNumId="11">
    <w:nsid w:val="4B588F54"/>
    <w:multiLevelType w:val="hybridMultilevel"/>
    <w:lvl w:ilvl="0">
      <w:lvlJc w:val="left"/>
      <w:lvlText w:val="(%1)"/>
      <w:numFmt w:val="lowerLetter"/>
      <w:start w:val="1"/>
    </w:lvl>
  </w:abstractNum>
  <w:abstractNum w:abstractNumId="12">
    <w:nsid w:val="542289EC"/>
    <w:multiLevelType w:val="hybridMultilevel"/>
    <w:lvl w:ilvl="0">
      <w:lvlJc w:val="left"/>
      <w:lvlText w:val="(%1)"/>
      <w:numFmt w:val="lowerLetter"/>
      <w:start w:val="1"/>
    </w:lvl>
  </w:abstractNum>
  <w:abstractNum w:abstractNumId="13">
    <w:nsid w:val="6DE91B18"/>
    <w:multiLevelType w:val="hybridMultilevel"/>
    <w:lvl w:ilvl="0">
      <w:lvlJc w:val="left"/>
      <w:lvlText w:val="(%1)"/>
      <w:numFmt w:val="lowerLetter"/>
      <w:start w:val="1"/>
    </w:lvl>
  </w:abstractNum>
  <w:abstractNum w:abstractNumId="14">
    <w:nsid w:val="38437FDB"/>
    <w:multiLevelType w:val="hybridMultilevel"/>
    <w:lvl w:ilvl="0">
      <w:lvlJc w:val="left"/>
      <w:lvlText w:val="(%1)"/>
      <w:numFmt w:val="lowerLetter"/>
      <w:start w:val="1"/>
    </w:lvl>
  </w:abstractNum>
  <w:abstractNum w:abstractNumId="15">
    <w:nsid w:val="7644A45C"/>
    <w:multiLevelType w:val="hybridMultilevel"/>
    <w:lvl w:ilvl="0">
      <w:lvlJc w:val="left"/>
      <w:lvlText w:val="(%1)"/>
      <w:numFmt w:val="lowerLetter"/>
      <w:start w:val="1"/>
    </w:lvl>
  </w:abstractNum>
  <w:abstractNum w:abstractNumId="16">
    <w:nsid w:val="32FFF902"/>
    <w:multiLevelType w:val="hybridMultilevel"/>
    <w:lvl w:ilvl="0">
      <w:lvlJc w:val="left"/>
      <w:lvlText w:val="(%1)"/>
      <w:numFmt w:val="lowerLetter"/>
      <w:start w:val="1"/>
    </w:lvl>
  </w:abstractNum>
  <w:abstractNum w:abstractNumId="17">
    <w:nsid w:val="684A481A"/>
    <w:multiLevelType w:val="hybridMultilevel"/>
    <w:lvl w:ilvl="0">
      <w:lvlJc w:val="left"/>
      <w:lvlText w:val="(%1)"/>
      <w:numFmt w:val="lowerLetter"/>
      <w:start w:val="2"/>
    </w:lvl>
  </w:abstractNum>
  <w:abstractNum w:abstractNumId="18">
    <w:nsid w:val="579478FE"/>
    <w:multiLevelType w:val="hybridMultilevel"/>
    <w:lvl w:ilvl="0">
      <w:lvlJc w:val="left"/>
      <w:lvlText w:val="•"/>
      <w:numFmt w:val="bullet"/>
      <w:start w:val="1"/>
    </w:lvl>
  </w:abstractNum>
  <w:abstractNum w:abstractNumId="19">
    <w:nsid w:val="749ABB43"/>
    <w:multiLevelType w:val="hybridMultilevel"/>
    <w:lvl w:ilvl="0">
      <w:lvlJc w:val="left"/>
      <w:lvlText w:val="(%1)"/>
      <w:numFmt w:val="lowerLetter"/>
      <w:start w:val="1"/>
    </w:lvl>
  </w:abstractNum>
  <w:abstractNum w:abstractNumId="20">
    <w:nsid w:val="3DC240FB"/>
    <w:multiLevelType w:val="hybridMultilevel"/>
    <w:lvl w:ilvl="0">
      <w:lvlJc w:val="left"/>
      <w:lvlText w:val="(%1)"/>
      <w:numFmt w:val="lowerLetter"/>
      <w:start w:val="1"/>
    </w:lvl>
  </w:abstractNum>
  <w:abstractNum w:abstractNumId="21">
    <w:nsid w:val="1BA026FA"/>
    <w:multiLevelType w:val="hybridMultilevel"/>
    <w:lvl w:ilvl="0">
      <w:lvlJc w:val="left"/>
      <w:lvlText w:val="(%1)"/>
      <w:numFmt w:val="lowerLetter"/>
      <w:start w:val="1"/>
    </w:lvl>
  </w:abstractNum>
  <w:abstractNum w:abstractNumId="22">
    <w:nsid w:val="79A1DEAA"/>
    <w:multiLevelType w:val="hybridMultilevel"/>
    <w:lvl w:ilvl="0">
      <w:lvlJc w:val="left"/>
      <w:lvlText w:val="(%1)"/>
      <w:numFmt w:val="lowerLetter"/>
      <w:start w:val="1"/>
    </w:lvl>
  </w:abstractNum>
  <w:abstractNum w:abstractNumId="23">
    <w:nsid w:val="75C6C33A"/>
    <w:multiLevelType w:val="hybridMultilevel"/>
    <w:lvl w:ilvl="0">
      <w:lvlJc w:val="left"/>
      <w:lvlText w:val="(%1)"/>
      <w:numFmt w:val="lowerLetter"/>
      <w:start w:val="1"/>
    </w:lvl>
  </w:abstractNum>
  <w:abstractNum w:abstractNumId="24">
    <w:nsid w:val="12E685FB"/>
    <w:multiLevelType w:val="hybridMultilevel"/>
    <w:lvl w:ilvl="0">
      <w:lvlJc w:val="left"/>
      <w:lvlText w:val="(%1)"/>
      <w:numFmt w:val="lowerLetter"/>
      <w:start w:val="1"/>
    </w:lvl>
  </w:abstractNum>
  <w:abstractNum w:abstractNumId="25">
    <w:nsid w:val="70C6A529"/>
    <w:multiLevelType w:val="hybridMultilevel"/>
    <w:lvl w:ilvl="0">
      <w:lvlJc w:val="left"/>
      <w:lvlText w:val="(%1)"/>
      <w:numFmt w:val="lowerLetter"/>
      <w:start w:val="1"/>
    </w:lvl>
  </w:abstractNum>
  <w:abstractNum w:abstractNumId="26">
    <w:nsid w:val="520EEDD1"/>
    <w:multiLevelType w:val="hybridMultilevel"/>
    <w:lvl w:ilvl="0">
      <w:lvlJc w:val="left"/>
      <w:lvlText w:val="(%1)"/>
      <w:numFmt w:val="lowerLetter"/>
      <w:start w:val="1"/>
    </w:lvl>
  </w:abstractNum>
  <w:abstractNum w:abstractNumId="27">
    <w:nsid w:val="374A3FE6"/>
    <w:multiLevelType w:val="hybridMultilevel"/>
    <w:lvl w:ilvl="0">
      <w:lvlJc w:val="left"/>
      <w:lvlText w:val="(%1)"/>
      <w:numFmt w:val="lowerLetter"/>
      <w:start w:val="1"/>
    </w:lvl>
  </w:abstractNum>
  <w:abstractNum w:abstractNumId="28">
    <w:nsid w:val="4F4EF005"/>
    <w:multiLevelType w:val="hybridMultilevel"/>
    <w:lvl w:ilvl="0">
      <w:lvlJc w:val="left"/>
      <w:lvlText w:val="•"/>
      <w:numFmt w:val="bullet"/>
      <w:start w:val="1"/>
    </w:lvl>
  </w:abstractNum>
  <w:abstractNum w:abstractNumId="29">
    <w:nsid w:val="23F9C13C"/>
    <w:multiLevelType w:val="hybridMultilevel"/>
    <w:lvl w:ilvl="0">
      <w:lvlJc w:val="left"/>
      <w:lvlText w:val="(%1)"/>
      <w:numFmt w:val="lowerLetter"/>
      <w:start w:val="1"/>
    </w:lvl>
  </w:abstractNum>
  <w:abstractNum w:abstractNumId="30">
    <w:nsid w:val="649BB77C"/>
    <w:multiLevelType w:val="hybridMultilevel"/>
    <w:lvl w:ilvl="0">
      <w:lvlJc w:val="left"/>
      <w:lvlText w:val="(%1)"/>
      <w:numFmt w:val="lowerLetter"/>
      <w:start w:val="1"/>
    </w:lvl>
  </w:abstractNum>
  <w:abstractNum w:abstractNumId="31">
    <w:nsid w:val="275AC794"/>
    <w:multiLevelType w:val="hybridMultilevel"/>
    <w:lvl w:ilvl="0">
      <w:lvlJc w:val="left"/>
      <w:lvlText w:val="(%1)"/>
      <w:numFmt w:val="lowerLetter"/>
      <w:start w:val="1"/>
    </w:lvl>
  </w:abstractNum>
  <w:abstractNum w:abstractNumId="32">
    <w:nsid w:val="39386575"/>
    <w:multiLevelType w:val="hybridMultilevel"/>
    <w:lvl w:ilvl="0">
      <w:lvlJc w:val="left"/>
      <w:lvlText w:val="(%1)"/>
      <w:numFmt w:val="lowerLetter"/>
      <w:start w:val="1"/>
    </w:lvl>
  </w:abstractNum>
  <w:abstractNum w:abstractNumId="33">
    <w:nsid w:val="1CF10FD8"/>
    <w:multiLevelType w:val="hybridMultilevel"/>
    <w:lvl w:ilvl="0">
      <w:lvlJc w:val="left"/>
      <w:lvlText w:val="(%1)"/>
      <w:numFmt w:val="lowerLetter"/>
      <w:start w:val="1"/>
    </w:lvl>
  </w:abstractNum>
  <w:abstractNum w:abstractNumId="34">
    <w:nsid w:val="180115BE"/>
    <w:multiLevelType w:val="hybridMultilevel"/>
    <w:lvl w:ilvl="0">
      <w:lvlJc w:val="left"/>
      <w:lvlText w:val="(%1)"/>
      <w:numFmt w:val="lowerLetter"/>
      <w:start w:val="1"/>
    </w:lvl>
  </w:abstractNum>
  <w:abstractNum w:abstractNumId="35">
    <w:nsid w:val="235BA861"/>
    <w:multiLevelType w:val="hybridMultilevel"/>
    <w:lvl w:ilvl="0">
      <w:lvlJc w:val="left"/>
      <w:lvlText w:val="(%1)"/>
      <w:numFmt w:val="lowerLetter"/>
      <w:start w:val="1"/>
    </w:lvl>
  </w:abstractNum>
  <w:abstractNum w:abstractNumId="36">
    <w:nsid w:val="47398C89"/>
    <w:multiLevelType w:val="hybridMultilevel"/>
    <w:lvl w:ilvl="0">
      <w:lvlJc w:val="left"/>
      <w:lvlText w:val="•"/>
      <w:numFmt w:val="bullet"/>
      <w:start w:val="1"/>
    </w:lvl>
  </w:abstractNum>
  <w:abstractNum w:abstractNumId="37">
    <w:nsid w:val="354FE9F9"/>
    <w:multiLevelType w:val="hybridMultilevel"/>
    <w:lvl w:ilvl="0">
      <w:lvlJc w:val="left"/>
      <w:lvlText w:val="(%1)"/>
      <w:numFmt w:val="lowerLetter"/>
      <w:start w:val="1"/>
    </w:lvl>
  </w:abstractNum>
  <w:abstractNum w:abstractNumId="38">
    <w:nsid w:val="15B5AF5C"/>
    <w:multiLevelType w:val="hybridMultilevel"/>
    <w:lvl w:ilvl="0">
      <w:lvlJc w:val="left"/>
      <w:lvlText w:val="•"/>
      <w:numFmt w:val="bullet"/>
      <w:start w:val="1"/>
    </w:lvl>
  </w:abstractNum>
  <w:abstractNum w:abstractNumId="39">
    <w:nsid w:val="741226BB"/>
    <w:multiLevelType w:val="hybridMultilevel"/>
    <w:lvl w:ilvl="0">
      <w:lvlJc w:val="left"/>
      <w:lvlText w:val="(%1)"/>
      <w:numFmt w:val="lowerLetter"/>
      <w:start w:val="1"/>
    </w:lvl>
  </w:abstractNum>
  <w:abstractNum w:abstractNumId="40">
    <w:nsid w:val="D34B6A8"/>
    <w:multiLevelType w:val="hybridMultilevel"/>
    <w:lvl w:ilvl="0">
      <w:lvlJc w:val="left"/>
      <w:lvlText w:val="(%1)"/>
      <w:numFmt w:val="lowerLetter"/>
      <w:start w:val="1"/>
    </w:lvl>
  </w:abstractNum>
  <w:abstractNum w:abstractNumId="41">
    <w:nsid w:val="10233C99"/>
    <w:multiLevelType w:val="hybridMultilevel"/>
    <w:lvl w:ilvl="0">
      <w:lvlJc w:val="left"/>
      <w:lvlText w:val="(%1)"/>
      <w:numFmt w:val="lowerLetter"/>
      <w:start w:val="1"/>
    </w:lvl>
  </w:abstractNum>
  <w:abstractNum w:abstractNumId="42">
    <w:nsid w:val="3F6AB60F"/>
    <w:multiLevelType w:val="hybridMultilevel"/>
    <w:lvl w:ilvl="0">
      <w:lvlJc w:val="left"/>
      <w:lvlText w:val="(%1)"/>
      <w:numFmt w:val="lowerLetter"/>
      <w:start w:val="7"/>
    </w:lvl>
  </w:abstractNum>
  <w:abstractNum w:abstractNumId="43">
    <w:nsid w:val="61574095"/>
    <w:multiLevelType w:val="hybridMultilevel"/>
    <w:lvl w:ilvl="0">
      <w:lvlJc w:val="left"/>
      <w:lvlText w:val="(%1)"/>
      <w:numFmt w:val="lowerLetter"/>
      <w:start w:val="1"/>
    </w:lvl>
  </w:abstractNum>
  <w:abstractNum w:abstractNumId="44">
    <w:nsid w:val="7E0C57B1"/>
    <w:multiLevelType w:val="hybridMultilevel"/>
    <w:lvl w:ilvl="0">
      <w:lvlJc w:val="left"/>
      <w:lvlText w:val="(%1)"/>
      <w:numFmt w:val="decimal"/>
      <w:start w:val="1"/>
    </w:lvl>
  </w:abstractNum>
  <w:abstractNum w:abstractNumId="45">
    <w:nsid w:val="77AE35EB"/>
    <w:multiLevelType w:val="hybridMultilevel"/>
    <w:lvl w:ilvl="0">
      <w:lvlJc w:val="left"/>
      <w:lvlText w:val="(%1)"/>
      <w:numFmt w:val="decimal"/>
      <w:start w:val="3"/>
    </w:lvl>
  </w:abstractNum>
  <w:abstractNum w:abstractNumId="46">
    <w:nsid w:val="579BE4F1"/>
    <w:multiLevelType w:val="hybridMultilevel"/>
    <w:lvl w:ilvl="0">
      <w:lvlJc w:val="left"/>
      <w:lvlText w:val="(%1)"/>
      <w:numFmt w:val="decimal"/>
      <w:start w:val="2"/>
    </w:lvl>
  </w:abstractNum>
  <w:abstractNum w:abstractNumId="47">
    <w:nsid w:val="310C50B3"/>
    <w:multiLevelType w:val="hybridMultilevel"/>
    <w:lvl w:ilvl="0">
      <w:lvlJc w:val="left"/>
      <w:lvlText w:val="(%1)"/>
      <w:numFmt w:val="lowerLetter"/>
      <w:start w:val="1"/>
    </w:lvl>
  </w:abstractNum>
  <w:abstractNum w:abstractNumId="48">
    <w:nsid w:val="5FF87E05"/>
    <w:multiLevelType w:val="hybridMultilevel"/>
    <w:lvl w:ilvl="0">
      <w:lvlJc w:val="left"/>
      <w:lvlText w:val="(%1)"/>
      <w:numFmt w:val="lowerLetter"/>
      <w:start w:val="1"/>
    </w:lvl>
  </w:abstractNum>
  <w:abstractNum w:abstractNumId="49">
    <w:nsid w:val="2F305DEF"/>
    <w:multiLevelType w:val="hybridMultilevel"/>
    <w:lvl w:ilvl="0">
      <w:lvlJc w:val="left"/>
      <w:lvlText w:val="(%1)"/>
      <w:numFmt w:val="decimal"/>
      <w:start w:val="5"/>
    </w:lvl>
  </w:abstractNum>
  <w:abstractNum w:abstractNumId="50">
    <w:nsid w:val="25A70BF7"/>
    <w:multiLevelType w:val="hybridMultilevel"/>
    <w:lvl w:ilvl="0">
      <w:lvlJc w:val="left"/>
      <w:lvlText w:val="(%1)"/>
      <w:numFmt w:val="decimal"/>
      <w:start w:val="7"/>
    </w:lvl>
  </w:abstractNum>
  <w:abstractNum w:abstractNumId="51">
    <w:nsid w:val="1DBABF00"/>
    <w:multiLevelType w:val="hybridMultilevel"/>
    <w:lvl w:ilvl="0">
      <w:lvlJc w:val="left"/>
      <w:lvlText w:val="(%1)"/>
      <w:numFmt w:val="decimal"/>
      <w:start w:val="7"/>
    </w:lvl>
  </w:abstractNum>
  <w:abstractNum w:abstractNumId="52">
    <w:nsid w:val="4AD084E9"/>
    <w:multiLevelType w:val="hybridMultilevel"/>
    <w:lvl w:ilvl="0">
      <w:lvlJc w:val="left"/>
      <w:lvlText w:val="(%1)"/>
      <w:numFmt w:val="lowerLetter"/>
      <w:start w:val="1"/>
    </w:lvl>
  </w:abstractNum>
  <w:abstractNum w:abstractNumId="53">
    <w:nsid w:val="1F48EAA1"/>
    <w:multiLevelType w:val="hybridMultilevel"/>
    <w:lvl w:ilvl="0">
      <w:lvlJc w:val="left"/>
      <w:lvlText w:val="(%1)"/>
      <w:numFmt w:val="lowerLetter"/>
      <w:start w:val="4"/>
    </w:lvl>
  </w:abstractNum>
  <w:abstractNum w:abstractNumId="54">
    <w:nsid w:val="1381823A"/>
    <w:multiLevelType w:val="hybridMultilevel"/>
    <w:lvl w:ilvl="0">
      <w:lvlJc w:val="left"/>
      <w:lvlText w:val="(%1)"/>
      <w:numFmt w:val="decimal"/>
      <w:start w:val="6"/>
    </w:lvl>
  </w:abstractNum>
  <w:abstractNum w:abstractNumId="55">
    <w:nsid w:val="5DB70AE5"/>
    <w:multiLevelType w:val="hybridMultilevel"/>
    <w:lvl w:ilvl="0">
      <w:lvlJc w:val="left"/>
      <w:lvlText w:val="(%1)"/>
      <w:numFmt w:val="lowerLetter"/>
      <w:start w:val="1"/>
    </w:lvl>
  </w:abstractNum>
  <w:abstractNum w:abstractNumId="56">
    <w:nsid w:val="100F8FCA"/>
    <w:multiLevelType w:val="hybridMultilevel"/>
    <w:lvl w:ilvl="0">
      <w:lvlJc w:val="left"/>
      <w:lvlText w:val="(%1)"/>
      <w:numFmt w:val="lowerLetter"/>
      <w:start w:val="1"/>
    </w:lvl>
  </w:abstractNum>
  <w:abstractNum w:abstractNumId="57">
    <w:nsid w:val="6590700B"/>
    <w:multiLevelType w:val="hybridMultilevel"/>
    <w:lvl w:ilvl="0">
      <w:lvlJc w:val="left"/>
      <w:lvlText w:val="(%1)"/>
      <w:numFmt w:val="lowerLetter"/>
      <w:start w:val="7"/>
    </w:lvl>
  </w:abstractNum>
  <w:abstractNum w:abstractNumId="58">
    <w:nsid w:val="15014ACB"/>
    <w:multiLevelType w:val="hybridMultilevel"/>
    <w:lvl w:ilvl="0">
      <w:lvlJc w:val="left"/>
      <w:lvlText w:val="(%1)"/>
      <w:numFmt w:val="lowerLetter"/>
      <w:start w:val="8"/>
    </w:lvl>
  </w:abstractNum>
  <w:abstractNum w:abstractNumId="59">
    <w:nsid w:val="5F5E7FD0"/>
    <w:multiLevelType w:val="hybridMultilevel"/>
    <w:lvl w:ilvl="0">
      <w:lvlJc w:val="left"/>
      <w:lvlText w:val="(%1)"/>
      <w:numFmt w:val="decimal"/>
      <w:start w:val="3"/>
    </w:lvl>
  </w:abstractNum>
  <w:abstractNum w:abstractNumId="60">
    <w:nsid w:val="98A3148"/>
    <w:multiLevelType w:val="hybridMultilevel"/>
    <w:lvl w:ilvl="0">
      <w:lvlJc w:val="left"/>
      <w:lvlText w:val="(%1)"/>
      <w:numFmt w:val="decimal"/>
      <w:start w:val="4"/>
    </w:lvl>
  </w:abstractNum>
  <w:abstractNum w:abstractNumId="61">
    <w:nsid w:val="799D0247"/>
    <w:multiLevelType w:val="hybridMultilevel"/>
    <w:lvl w:ilvl="0">
      <w:lvlJc w:val="left"/>
      <w:lvlText w:val="(%1)"/>
      <w:numFmt w:val="decimal"/>
      <w:start w:val="6"/>
    </w:lvl>
  </w:abstractNum>
  <w:abstractNum w:abstractNumId="62">
    <w:nsid w:val="6B94764"/>
    <w:multiLevelType w:val="hybridMultilevel"/>
    <w:lvl w:ilvl="0">
      <w:lvlJc w:val="left"/>
      <w:lvlText w:val="(%1)"/>
      <w:numFmt w:val="lowerLetter"/>
      <w:start w:val="1"/>
    </w:lvl>
  </w:abstractNum>
  <w:abstractNum w:abstractNumId="63">
    <w:nsid w:val="42C296BD"/>
    <w:multiLevelType w:val="hybridMultilevel"/>
    <w:lvl w:ilvl="0">
      <w:lvlJc w:val="left"/>
      <w:lvlText w:val="(%1)"/>
      <w:numFmt w:val="decimal"/>
      <w:start w:val="3"/>
    </w:lvl>
  </w:abstractNum>
  <w:abstractNum w:abstractNumId="64">
    <w:nsid w:val="168E121F"/>
    <w:multiLevelType w:val="hybridMultilevel"/>
    <w:lvl w:ilvl="0">
      <w:lvlJc w:val="left"/>
      <w:lvlText w:val="(%1)"/>
      <w:numFmt w:val="decimal"/>
      <w:start w:val="2"/>
    </w:lvl>
  </w:abstractNum>
  <w:abstractNum w:abstractNumId="65">
    <w:nsid w:val="1EBA5D23"/>
    <w:multiLevelType w:val="hybridMultilevel"/>
    <w:lvl w:ilvl="0">
      <w:lvlJc w:val="left"/>
      <w:lvlText w:val="(%1)"/>
      <w:numFmt w:val="lowerLetter"/>
      <w:start w:val="1"/>
    </w:lvl>
  </w:abstractNum>
  <w:abstractNum w:abstractNumId="66">
    <w:nsid w:val="661E3F1E"/>
    <w:multiLevelType w:val="hybridMultilevel"/>
    <w:lvl w:ilvl="0">
      <w:lvlJc w:val="left"/>
      <w:lvlText w:val="(%1)"/>
      <w:numFmt w:val="lowerLetter"/>
      <w:start w:val="1"/>
    </w:lvl>
  </w:abstractNum>
  <w:abstractNum w:abstractNumId="67">
    <w:nsid w:val="5DC79EA8"/>
    <w:multiLevelType w:val="hybridMultilevel"/>
    <w:lvl w:ilvl="0">
      <w:lvlJc w:val="left"/>
      <w:lvlText w:val="(%1)"/>
      <w:numFmt w:val="decimal"/>
      <w:start w:val="2"/>
    </w:lvl>
  </w:abstractNum>
  <w:abstractNum w:abstractNumId="68">
    <w:nsid w:val="540A471C"/>
    <w:multiLevelType w:val="hybridMultilevel"/>
    <w:lvl w:ilvl="0">
      <w:lvlJc w:val="left"/>
      <w:lvlText w:val="(%1)"/>
      <w:numFmt w:val="lowerLetter"/>
      <w:start w:val="1"/>
    </w:lvl>
  </w:abstractNum>
  <w:abstractNum w:abstractNumId="69">
    <w:nsid w:val="7BD3EE7B"/>
    <w:multiLevelType w:val="hybridMultilevel"/>
    <w:lvl w:ilvl="0">
      <w:lvlJc w:val="left"/>
      <w:lvlText w:val="•"/>
      <w:numFmt w:val="bullet"/>
      <w:start w:val="1"/>
    </w:lvl>
  </w:abstractNum>
  <w:abstractNum w:abstractNumId="70">
    <w:nsid w:val="51D9C564"/>
    <w:multiLevelType w:val="hybridMultilevel"/>
    <w:lvl w:ilvl="0">
      <w:lvlJc w:val="left"/>
      <w:lvlText w:val="•"/>
      <w:numFmt w:val="bullet"/>
      <w:start w:val="1"/>
    </w:lvl>
  </w:abstractNum>
  <w:abstractNum w:abstractNumId="71">
    <w:nsid w:val="613EFDC5"/>
    <w:multiLevelType w:val="hybridMultilevel"/>
    <w:lvl w:ilvl="0">
      <w:lvlJc w:val="left"/>
      <w:lvlText w:val="•"/>
      <w:numFmt w:val="bullet"/>
      <w:start w:val="1"/>
    </w:lvl>
  </w:abstractNum>
  <w:abstractNum w:abstractNumId="72">
    <w:nsid w:val="BF72B14"/>
    <w:multiLevelType w:val="hybridMultilevel"/>
    <w:lvl w:ilvl="0">
      <w:lvlJc w:val="left"/>
      <w:lvlText w:val="•"/>
      <w:numFmt w:val="bullet"/>
      <w:start w:val="1"/>
    </w:lvl>
  </w:abstractNum>
  <w:abstractNum w:abstractNumId="73">
    <w:nsid w:val="11447B73"/>
    <w:multiLevelType w:val="hybridMultilevel"/>
    <w:lvl w:ilvl="0">
      <w:lvlJc w:val="left"/>
      <w:lvlText w:val="(%1)"/>
      <w:numFmt w:val="decimal"/>
      <w:start w:val="2"/>
    </w:lvl>
  </w:abstractNum>
  <w:abstractNum w:abstractNumId="74">
    <w:nsid w:val="42963E5A"/>
    <w:multiLevelType w:val="hybridMultilevel"/>
    <w:lvl w:ilvl="0">
      <w:lvlJc w:val="left"/>
      <w:lvlText w:val="*"/>
      <w:numFmt w:val="bullet"/>
      <w:start w:val="1"/>
    </w:lvl>
  </w:abstractNum>
  <w:abstractNum w:abstractNumId="75">
    <w:nsid w:val="A0382C5"/>
    <w:multiLevelType w:val="hybridMultilevel"/>
    <w:lvl w:ilvl="0">
      <w:lvlJc w:val="left"/>
      <w:lvlText w:val="*"/>
      <w:numFmt w:val="bullet"/>
      <w:start w:val="1"/>
    </w:lvl>
  </w:abstractNum>
  <w:abstractNum w:abstractNumId="76">
    <w:nsid w:val="8F2B15E"/>
    <w:multiLevelType w:val="hybridMultilevel"/>
    <w:lvl w:ilvl="0">
      <w:lvlJc w:val="left"/>
      <w:lvlText w:val="%1."/>
      <w:numFmt w:val="decimal"/>
      <w:start w:val="1"/>
    </w:lvl>
    <w:lvl w:ilvl="1">
      <w:lvlJc w:val="left"/>
      <w:lvlText w:val="%2)"/>
      <w:numFmt w:val="lowerLetter"/>
      <w:start w:val="1"/>
    </w:lvl>
  </w:abstractNum>
  <w:abstractNum w:abstractNumId="77">
    <w:nsid w:val="1A32234B"/>
    <w:multiLevelType w:val="hybridMultilevel"/>
    <w:lvl w:ilvl="0">
      <w:lvlJc w:val="left"/>
      <w:lvlText w:val="%1."/>
      <w:numFmt w:val="decimal"/>
      <w:start w:val="1"/>
    </w:lvl>
    <w:lvl w:ilvl="1">
      <w:lvlJc w:val="left"/>
      <w:lvlText w:val="%2)"/>
      <w:numFmt w:val="lowerLetter"/>
      <w:start w:val="1"/>
    </w:lvl>
  </w:abstractNum>
  <w:abstractNum w:abstractNumId="78">
    <w:nsid w:val="3B0FD379"/>
    <w:multiLevelType w:val="hybridMultilevel"/>
    <w:lvl w:ilvl="0">
      <w:lvlJc w:val="left"/>
      <w:lvlText w:val="%1."/>
      <w:numFmt w:val="decimal"/>
      <w:start w:val="1"/>
    </w:lvl>
  </w:abstractNum>
  <w:abstractNum w:abstractNumId="79">
    <w:nsid w:val="68EB2F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2019-12-11T07:48:00Z</dcterms:created>
  <dcterms:modified xsi:type="dcterms:W3CDTF">2019-12-11T07:48:00Z</dcterms:modified>
</cp:coreProperties>
</file>