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1144"/>
        <w:spacing w:after="0"/>
        <w:rPr>
          <w:sz w:val="20"/>
          <w:szCs w:val="20"/>
          <w:color w:val="auto"/>
        </w:rPr>
      </w:pPr>
      <w:r>
        <w:rPr>
          <w:rFonts w:ascii="Times New Roman" w:cs="Times New Roman" w:eastAsia="Times New Roman" w:hAnsi="Times New Roman"/>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48265-3000</w:t>
      </w:r>
    </w:p>
    <w:p>
      <w:pPr>
        <w:spacing w:after="0" w:line="31" w:lineRule="exact"/>
        <w:rPr>
          <w:sz w:val="24"/>
          <w:szCs w:val="24"/>
          <w:color w:val="auto"/>
        </w:rPr>
      </w:pPr>
    </w:p>
    <w:p>
      <w:pPr>
        <w:sectPr>
          <w:pgSz w:w="11900" w:h="16838" w:orient="portrait"/>
          <w:cols w:equalWidth="0" w:num="2">
            <w:col w:w="7184" w:space="720"/>
            <w:col w:w="312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GM</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August 16, 2022, the Board of Directors (the “Board”) of General Motors Company (the “Company”) authorized a quarterly dividend of $0.09 per share on the Company’s common stock, and on August 18, 2022, declared the first of such quarterly dividends payable on September 15, 2022, to all common stockholders of record as of the close of trading on August 31, 2022.</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addition, on August 19, 2022, the Company announced that it intends to opportunistically resume share repurchases under its share repurchase program. On August 16, 2022, the Board increased the capacity under the Company’s existing share repurchase program to $5.0 billion, up from the $3.3 billion previously remaining under the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relating to these matters is attached as Exhibit 99.1 hereto.</w:t>
      </w:r>
    </w:p>
    <w:p>
      <w:pPr>
        <w:spacing w:after="0" w:line="22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Cautionary Note on Forward-Looking Statements: </w:t>
      </w:r>
      <w:r>
        <w:rPr>
          <w:rFonts w:ascii="Times New Roman" w:cs="Times New Roman" w:eastAsia="Times New Roman" w:hAnsi="Times New Roman"/>
          <w:sz w:val="17"/>
          <w:szCs w:val="17"/>
          <w:color w:val="auto"/>
        </w:rPr>
        <w:t>This Current Report on Form 8-K includes “forward-looking statements” within the meaning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 federal securities laws. Forward-looking statements are any statements other than statements of historical fact and represent our current judgment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 may differ materially due to a variety of important factors, many of which are described in our Annual Report on Form 10-K and our subsequent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General Motors Company, dated August 19, 2022</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432"/>
        </w:trPr>
        <w:tc>
          <w:tcPr>
            <w:tcW w:w="3620" w:type="dxa"/>
            <w:vAlign w:val="bottom"/>
          </w:tcPr>
          <w:p>
            <w:pPr>
              <w:spacing w:after="0"/>
              <w:rPr>
                <w:sz w:val="24"/>
                <w:szCs w:val="24"/>
                <w:color w:val="auto"/>
              </w:rPr>
            </w:pPr>
          </w:p>
        </w:tc>
        <w:tc>
          <w:tcPr>
            <w:tcW w:w="74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John S. Kim</w:t>
            </w:r>
          </w:p>
        </w:tc>
      </w:tr>
      <w:tr>
        <w:trPr>
          <w:trHeight w:val="205"/>
        </w:trPr>
        <w:tc>
          <w:tcPr>
            <w:tcW w:w="36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John S. Kim</w:t>
            </w:r>
          </w:p>
        </w:tc>
      </w:tr>
      <w:tr>
        <w:trPr>
          <w:trHeight w:val="24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19, 2022</w:t>
            </w:r>
          </w:p>
        </w:tc>
        <w:tc>
          <w:tcPr>
            <w:tcW w:w="244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GM Announces Return of Capital to Shareholders</w:t>
      </w:r>
    </w:p>
    <w:p>
      <w:pPr>
        <w:spacing w:after="0" w:line="22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DETROIT </w:t>
      </w:r>
      <w:r>
        <w:rPr>
          <w:rFonts w:ascii="Times New Roman" w:cs="Times New Roman" w:eastAsia="Times New Roman" w:hAnsi="Times New Roman"/>
          <w:sz w:val="18"/>
          <w:szCs w:val="18"/>
          <w:color w:val="auto"/>
        </w:rPr>
        <w:t>– General Motors Co. (NYSE: GM) announced today that its Board of Directors has authorized the reinstatement of a quarterly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on the company’s outstanding common stock at a rate of $0.09 per share. The first dividend will be paid on Sept. 15, 2022, to shareholders of record as of the close of business on Aug. 31, 2022.</w:t>
      </w:r>
    </w:p>
    <w:p>
      <w:pPr>
        <w:spacing w:after="0" w:line="17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GM also announced it will resume opportunistic share repurchases. This week, the Board increased the capacity under the company’s existing repurchase program to $5.0 billion of common stock, up from the $3.3 billion previously remaining under the program.</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“GM is investing more than $35 billion through 2025 to advance our growth plan, including rapidly expanding our electric vehicle portfolio and creating a domestic battery manufacturing infrastructure,” said Mary Barra, GM Chair and CEO. “Progress on these key strategic initiatives has improved our visibility and strengthened our confidence in our capacity to fund growth while resuming the return of capital to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growth milestones include:</w:t>
      </w:r>
    </w:p>
    <w:p>
      <w:pPr>
        <w:spacing w:after="0" w:line="131" w:lineRule="exact"/>
        <w:rPr>
          <w:sz w:val="20"/>
          <w:szCs w:val="20"/>
          <w:color w:val="auto"/>
        </w:rPr>
      </w:pPr>
    </w:p>
    <w:p>
      <w:pPr>
        <w:ind w:left="960" w:right="7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largest single investment announcement in the company’s history: more than $7 billion in four Michigan manufacturing sites, including a new Ultium Cells LLC plant in Lansing, that will create 4,000 new jobs and retain 1,000</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launches of the GMC HUMMER EV Pickup and Cadillac LYRIQ, the first vehicles developed on GM’s Ultium Platform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customer demand for the GMC HUMMER EV Pickup and SUV, the Cadillac LYRIQ and the Chevrolet Silverado EV</w:t>
      </w:r>
    </w:p>
    <w:p>
      <w:pPr>
        <w:spacing w:after="0" w:line="13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customer deliveries for the BrightDrop Zevo 600 electric delivery vehicle, with volume commitments from leading companies including FedEx, Walmart, Verizon and Merchants Fleet</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Ultium Cells plant in Warren, Ohio is ready to come on-line this month; significant construction progress has been made at the Ultium Cells plants in Spring Hill, Tennessee, and Lansing, Michigan, which open in 2023 and 2024, respectively</w:t>
      </w:r>
    </w:p>
    <w:p>
      <w:pPr>
        <w:spacing w:after="0" w:line="67" w:lineRule="exact"/>
        <w:rPr>
          <w:rFonts w:ascii="Times New Roman" w:cs="Times New Roman" w:eastAsia="Times New Roman" w:hAnsi="Times New Roman"/>
          <w:sz w:val="18"/>
          <w:szCs w:val="18"/>
          <w:color w:val="auto"/>
        </w:rPr>
      </w:pPr>
    </w:p>
    <w:p>
      <w:pPr>
        <w:ind w:left="960" w:right="6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these Ultium Cells plants are expected to create 6,000 construction jobs and 5,100 operations jobs when they are at full capacity, and the location of a fourth U.S. cell manufacturing plant will be announced soon</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execution of binding agreements to secure all the battery raw material GM requires to scale EV production to more than 1 million units of annual capacity in North America by 2025</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 launch of a fully driverless commercial ride share service in San Francisco by Cruise, GM’s majority-owned subsidiary</w:t>
      </w:r>
    </w:p>
    <w:p>
      <w:pPr>
        <w:sectPr>
          <w:pgSz w:w="11900" w:h="16838" w:orient="portrait"/>
          <w:cols w:equalWidth="0" w:num="1">
            <w:col w:w="11020"/>
          </w:cols>
          <w:pgMar w:left="440" w:top="117" w:right="439" w:bottom="1440" w:gutter="0" w:footer="0" w:header="0"/>
        </w:sectPr>
      </w:pPr>
    </w:p>
    <w:bookmarkStart w:id="4" w:name="page5"/>
    <w:bookmarkEnd w:id="4"/>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“GM’s consistently strong earnings, margins and cash flow, our investment-grade balance sheet, and the achievement of several significant milestones in our growth strategy enables us to invest aggressively to accelerate our all-electric future while also supporting the return of excess free cash flow to shareholders, aligned with our long-term capital allocation strategy,” said Paul Jacobson, GM chief financial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suspended its quarterly dividend in April of 2020 in response to uncertainty driven by the global coronavirus pandemic.</w:t>
      </w:r>
    </w:p>
    <w:p>
      <w:pPr>
        <w:spacing w:after="0" w:line="2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Cautionary Note on Forward-Looking Statements</w:t>
      </w:r>
      <w:r>
        <w:rPr>
          <w:rFonts w:ascii="Times New Roman" w:cs="Times New Roman" w:eastAsia="Times New Roman" w:hAnsi="Times New Roman"/>
          <w:sz w:val="18"/>
          <w:szCs w:val="18"/>
          <w:color w:val="auto"/>
        </w:rPr>
        <w:t>: This press release contains forward-looking statements that represent our current judgment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possible future events.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A list and description of these factors can be found in our Annual Report on Form 10-K and our subsequent filings with the U.S. Securities and Exchange Commission. 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5"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Motors </w:t>
      </w:r>
      <w:r>
        <w:rPr>
          <w:rFonts w:ascii="Times New Roman" w:cs="Times New Roman" w:eastAsia="Times New Roman" w:hAnsi="Times New Roman"/>
          <w:sz w:val="18"/>
          <w:szCs w:val="18"/>
          <w:color w:val="auto"/>
        </w:rPr>
        <w:t>(NYSE:GM) is a global company focused on advancing an all-electric future that is inclusive and accessible to all. At the heart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strategy is the Ultium battery platform, which powers everything from mass-market to high-performance vehicles. General Motors, its subsidiaries and its joint venture entities sell vehicles under the </w:t>
      </w:r>
      <w:r>
        <w:rPr>
          <w:rFonts w:ascii="Times New Roman" w:cs="Times New Roman" w:eastAsia="Times New Roman" w:hAnsi="Times New Roman"/>
          <w:sz w:val="18"/>
          <w:szCs w:val="18"/>
          <w:u w:val="single" w:color="auto"/>
          <w:color w:val="auto"/>
        </w:rPr>
        <w:t>Chevrolet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Buick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Cadillac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Baojun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Wuling</w:t>
      </w:r>
      <w:r>
        <w:rPr>
          <w:rFonts w:ascii="Times New Roman" w:cs="Times New Roman" w:eastAsia="Times New Roman" w:hAnsi="Times New Roman"/>
          <w:sz w:val="18"/>
          <w:szCs w:val="18"/>
          <w:color w:val="auto"/>
        </w:rPr>
        <w:t xml:space="preserve"> brands. More information on the company and its subsidiaries, including </w:t>
      </w:r>
      <w:r>
        <w:rPr>
          <w:rFonts w:ascii="Times New Roman" w:cs="Times New Roman" w:eastAsia="Times New Roman" w:hAnsi="Times New Roman"/>
          <w:sz w:val="18"/>
          <w:szCs w:val="18"/>
          <w:u w:val="single" w:color="auto"/>
          <w:color w:val="auto"/>
        </w:rPr>
        <w:t>OnStar</w:t>
      </w:r>
      <w:r>
        <w:rPr>
          <w:rFonts w:ascii="Times New Roman" w:cs="Times New Roman" w:eastAsia="Times New Roman" w:hAnsi="Times New Roman"/>
          <w:sz w:val="18"/>
          <w:szCs w:val="18"/>
          <w:color w:val="auto"/>
        </w:rPr>
        <w:t xml:space="preserve">, a global leader in vehicle safety and security services, can be found at </w:t>
      </w:r>
      <w:r>
        <w:rPr>
          <w:rFonts w:ascii="Times New Roman" w:cs="Times New Roman" w:eastAsia="Times New Roman" w:hAnsi="Times New Roman"/>
          <w:sz w:val="18"/>
          <w:szCs w:val="18"/>
          <w:u w:val="single" w:color="auto"/>
          <w:color w:val="auto"/>
        </w:rPr>
        <w:t>https://www.gm.com.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500" w:type="dxa"/>
            <w:vAlign w:val="bottom"/>
          </w:tcPr>
          <w:p>
            <w:pPr>
              <w:spacing w:after="0"/>
              <w:rPr>
                <w:sz w:val="20"/>
                <w:szCs w:val="20"/>
                <w:color w:val="auto"/>
              </w:rPr>
            </w:pPr>
          </w:p>
        </w:tc>
      </w:tr>
      <w:tr>
        <w:trPr>
          <w:trHeight w:val="297"/>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GM Communications</w:t>
            </w: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james.cain@gm.com</w:t>
            </w:r>
          </w:p>
        </w:tc>
      </w:tr>
      <w:tr>
        <w:trPr>
          <w:trHeight w:val="237"/>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Jim Cain</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Ph. 313.407.2843</w:t>
            </w:r>
          </w:p>
        </w:tc>
      </w:tr>
      <w:tr>
        <w:trPr>
          <w:trHeight w:val="427"/>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1500" w:type="dxa"/>
            <w:vAlign w:val="bottom"/>
          </w:tcPr>
          <w:p>
            <w:pPr>
              <w:spacing w:after="0"/>
              <w:rPr>
                <w:sz w:val="24"/>
                <w:szCs w:val="24"/>
                <w:color w:val="auto"/>
              </w:rPr>
            </w:pPr>
          </w:p>
        </w:tc>
      </w:tr>
      <w:tr>
        <w:trPr>
          <w:trHeight w:val="216"/>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Ashish Kohli</w:t>
            </w:r>
          </w:p>
        </w:tc>
        <w:tc>
          <w:tcPr>
            <w:tcW w:w="1500" w:type="dxa"/>
            <w:vAlign w:val="bottom"/>
          </w:tcPr>
          <w:p>
            <w:pPr>
              <w:spacing w:after="0"/>
              <w:rPr>
                <w:sz w:val="18"/>
                <w:szCs w:val="18"/>
                <w:color w:val="auto"/>
              </w:rPr>
            </w:pPr>
          </w:p>
        </w:tc>
      </w:tr>
      <w:tr>
        <w:trPr>
          <w:trHeight w:val="194"/>
        </w:trPr>
        <w:tc>
          <w:tcPr>
            <w:tcW w:w="16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ashish.kohli@gm.com</w:t>
            </w:r>
          </w:p>
        </w:tc>
        <w:tc>
          <w:tcPr>
            <w:tcW w:w="4120" w:type="dxa"/>
            <w:vAlign w:val="bottom"/>
            <w:gridSpan w:val="2"/>
          </w:tcPr>
          <w:p>
            <w:pPr>
              <w:spacing w:after="0"/>
              <w:rPr>
                <w:sz w:val="16"/>
                <w:szCs w:val="16"/>
                <w:color w:val="auto"/>
              </w:rPr>
            </w:pPr>
          </w:p>
        </w:tc>
        <w:tc>
          <w:tcPr>
            <w:tcW w:w="1500" w:type="dxa"/>
            <w:vAlign w:val="bottom"/>
          </w:tcPr>
          <w:p>
            <w:pPr>
              <w:spacing w:after="0"/>
              <w:rPr>
                <w:sz w:val="16"/>
                <w:szCs w:val="16"/>
                <w:color w:val="auto"/>
              </w:rPr>
            </w:pPr>
          </w:p>
        </w:tc>
      </w:tr>
      <w:tr>
        <w:trPr>
          <w:trHeight w:val="218"/>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 847.964.3459</w:t>
            </w:r>
          </w:p>
        </w:tc>
        <w:tc>
          <w:tcPr>
            <w:tcW w:w="1500" w:type="dxa"/>
            <w:vAlign w:val="bottom"/>
          </w:tcPr>
          <w:p>
            <w:pPr>
              <w:spacing w:after="0"/>
              <w:rPr>
                <w:sz w:val="18"/>
                <w:szCs w:val="18"/>
                <w:color w:val="auto"/>
              </w:rPr>
            </w:pPr>
          </w:p>
        </w:tc>
      </w:tr>
      <w:tr>
        <w:trPr>
          <w:trHeight w:val="216"/>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1500" w:type="dxa"/>
            <w:vAlign w:val="bottom"/>
          </w:tcPr>
          <w:p>
            <w:pPr>
              <w:spacing w:after="0"/>
              <w:rPr>
                <w:sz w:val="18"/>
                <w:szCs w:val="18"/>
                <w:color w:val="auto"/>
              </w:rPr>
            </w:pPr>
          </w:p>
        </w:tc>
      </w:tr>
      <w:tr>
        <w:trPr>
          <w:trHeight w:val="216"/>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Heifler</w:t>
            </w:r>
          </w:p>
        </w:tc>
        <w:tc>
          <w:tcPr>
            <w:tcW w:w="1500" w:type="dxa"/>
            <w:vAlign w:val="bottom"/>
          </w:tcPr>
          <w:p>
            <w:pPr>
              <w:spacing w:after="0"/>
              <w:rPr>
                <w:sz w:val="18"/>
                <w:szCs w:val="18"/>
                <w:color w:val="auto"/>
              </w:rPr>
            </w:pPr>
          </w:p>
        </w:tc>
      </w:tr>
      <w:tr>
        <w:trPr>
          <w:trHeight w:val="194"/>
        </w:trPr>
        <w:tc>
          <w:tcPr>
            <w:tcW w:w="184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michael.heifler@gm.com</w:t>
            </w:r>
          </w:p>
        </w:tc>
        <w:tc>
          <w:tcPr>
            <w:tcW w:w="39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7"/>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 313.418.0220</w:t>
            </w:r>
          </w:p>
        </w:tc>
        <w:tc>
          <w:tcPr>
            <w:tcW w:w="1500" w:type="dxa"/>
            <w:vAlign w:val="bottom"/>
          </w:tcPr>
          <w:p>
            <w:pPr>
              <w:spacing w:after="0"/>
              <w:rPr>
                <w:sz w:val="20"/>
                <w:szCs w:val="20"/>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2022-08-19T07:15:16Z</dcterms:created>
  <dcterms:modified xsi:type="dcterms:W3CDTF">2022-08-19T07:15:16Z</dcterms:modified>
</cp:coreProperties>
</file>