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393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ectPr>
          <w:pgSz w:w="11900" w:h="16838" w:orient="portrait"/>
          <w:cols w:equalWidth="0" w:num="1">
            <w:col w:w="11420"/>
          </w:cols>
          <w:pgMar w:left="240" w:top="226" w:right="239" w:bottom="391"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6"/>
          </w:tcPr>
          <w:p>
            <w:pPr>
              <w:jc w:val="center"/>
              <w:ind w:right="592"/>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20" w:type="dxa"/>
            <w:vAlign w:val="bottom"/>
            <w:gridSpan w:val="3"/>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Millikin Michael P</w:t>
              </w:r>
            </w:hyperlink>
          </w:p>
        </w:tc>
        <w:tc>
          <w:tcPr>
            <w:tcW w:w="1300" w:type="dxa"/>
            <w:vAlign w:val="bottom"/>
          </w:tcPr>
          <w:p>
            <w:pPr>
              <w:spacing w:after="0"/>
              <w:rPr>
                <w:sz w:val="11"/>
                <w:szCs w:val="11"/>
                <w:color w:val="auto"/>
              </w:rPr>
            </w:pPr>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1300" w:type="dxa"/>
            <w:vAlign w:val="bottom"/>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06/07/2010</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(First)</w:t>
            </w:r>
          </w:p>
        </w:tc>
        <w:tc>
          <w:tcPr>
            <w:tcW w:w="1300" w:type="dxa"/>
            <w:vAlign w:val="bottom"/>
          </w:tcPr>
          <w:p>
            <w:pPr>
              <w:ind w:left="26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0000FF"/>
              </w:rPr>
              <w:t>300 RENAISSANCE CENTER</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M/C: 482-C25-A36</w:t>
      </w:r>
    </w:p>
    <w:p>
      <w:pPr>
        <w:spacing w:after="0" w:line="300"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8"/>
          <w:szCs w:val="18"/>
          <w:color w:val="0000FF"/>
        </w:rPr>
        <w:t>DETROIT</w:t>
      </w:r>
      <w:r>
        <w:rPr>
          <w:sz w:val="20"/>
          <w:szCs w:val="20"/>
          <w:color w:val="auto"/>
        </w:rPr>
        <w:tab/>
      </w:r>
      <w:r>
        <w:rPr>
          <w:rFonts w:ascii="Arial" w:cs="Arial" w:eastAsia="Arial" w:hAnsi="Arial"/>
          <w:sz w:val="18"/>
          <w:szCs w:val="18"/>
          <w:color w:val="0000FF"/>
        </w:rPr>
        <w:t>MI</w:t>
      </w:r>
      <w:r>
        <w:rPr>
          <w:sz w:val="20"/>
          <w:szCs w:val="20"/>
          <w:color w:val="auto"/>
        </w:rPr>
        <w:tab/>
      </w:r>
      <w:r>
        <w:rPr>
          <w:rFonts w:ascii="Arial" w:cs="Arial" w:eastAsia="Arial" w:hAnsi="Arial"/>
          <w:sz w:val="15"/>
          <w:szCs w:val="15"/>
          <w:color w:val="0000FF"/>
        </w:rPr>
        <w:t>48265-3000</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NO SYMBOL</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2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3"/>
                <w:szCs w:val="3"/>
                <w:color w:val="auto"/>
              </w:rPr>
            </w:pPr>
          </w:p>
        </w:tc>
        <w:tc>
          <w:tcPr>
            <w:tcW w:w="26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42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68"/>
        </w:trPr>
        <w:tc>
          <w:tcPr>
            <w:tcW w:w="420" w:type="dxa"/>
            <w:vAlign w:val="bottom"/>
            <w:vMerge w:val="continue"/>
          </w:tcPr>
          <w:p>
            <w:pPr>
              <w:spacing w:after="0"/>
              <w:rPr>
                <w:sz w:val="5"/>
                <w:szCs w:val="5"/>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200" w:type="dxa"/>
            <w:vAlign w:val="bottom"/>
            <w:vMerge w:val="continue"/>
          </w:tcPr>
          <w:p>
            <w:pPr>
              <w:spacing w:after="0"/>
              <w:rPr>
                <w:sz w:val="5"/>
                <w:szCs w:val="5"/>
                <w:color w:val="auto"/>
              </w:rPr>
            </w:pPr>
          </w:p>
        </w:tc>
        <w:tc>
          <w:tcPr>
            <w:tcW w:w="2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2900" w:type="dxa"/>
            <w:vAlign w:val="bottom"/>
            <w:gridSpan w:val="2"/>
            <w:vMerge w:val="restart"/>
          </w:tcPr>
          <w:p>
            <w:pPr>
              <w:ind w:left="460"/>
              <w:spacing w:after="0"/>
              <w:rPr>
                <w:sz w:val="20"/>
                <w:szCs w:val="20"/>
                <w:color w:val="auto"/>
              </w:rPr>
            </w:pPr>
            <w:r>
              <w:rPr>
                <w:rFonts w:ascii="Arial" w:cs="Arial" w:eastAsia="Arial" w:hAnsi="Arial"/>
                <w:sz w:val="18"/>
                <w:szCs w:val="18"/>
                <w:color w:val="0000FF"/>
              </w:rPr>
              <w:t>Vice President &amp; GC</w:t>
            </w: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420" w:type="dxa"/>
            <w:vAlign w:val="bottom"/>
          </w:tcPr>
          <w:p>
            <w:pPr>
              <w:spacing w:after="0"/>
              <w:rPr>
                <w:sz w:val="21"/>
                <w:szCs w:val="21"/>
                <w:color w:val="auto"/>
              </w:rPr>
            </w:pPr>
          </w:p>
        </w:tc>
        <w:tc>
          <w:tcPr>
            <w:tcW w:w="29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200" w:lineRule="exact"/>
        <w:rPr>
          <w:sz w:val="24"/>
          <w:szCs w:val="24"/>
          <w:color w:val="auto"/>
        </w:rPr>
      </w:pPr>
    </w:p>
    <w:p>
      <w:pPr>
        <w:sectPr>
          <w:pgSz w:w="11900" w:h="16838" w:orient="portrait"/>
          <w:cols w:equalWidth="0" w:num="2">
            <w:col w:w="4720" w:space="480"/>
            <w:col w:w="6220"/>
          </w:cols>
          <w:pgMar w:left="240" w:top="226" w:right="239" w:bottom="391"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None</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820"/>
              <w:spacing w:after="0"/>
              <w:rPr>
                <w:sz w:val="20"/>
                <w:szCs w:val="20"/>
                <w:color w:val="auto"/>
              </w:rPr>
            </w:pPr>
            <w:r>
              <w:rPr>
                <w:rFonts w:ascii="Arial" w:cs="Arial" w:eastAsia="Arial" w:hAnsi="Arial"/>
                <w:sz w:val="18"/>
                <w:szCs w:val="18"/>
                <w:color w:val="0000FF"/>
              </w:rPr>
              <w:t>0</w:t>
            </w:r>
          </w:p>
        </w:tc>
        <w:tc>
          <w:tcPr>
            <w:tcW w:w="900" w:type="dxa"/>
            <w:vAlign w:val="bottom"/>
          </w:tcPr>
          <w:p>
            <w:pPr>
              <w:jc w:val="right"/>
              <w:ind w:right="41"/>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jc w:val="right"/>
              <w:ind w:right="698"/>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right"/>
              <w:ind w:right="61"/>
              <w:spacing w:after="0"/>
              <w:rPr>
                <w:sz w:val="20"/>
                <w:szCs w:val="20"/>
                <w:color w:val="auto"/>
              </w:rPr>
            </w:pPr>
            <w:r>
              <w:rPr>
                <w:rFonts w:ascii="Arial" w:cs="Arial" w:eastAsia="Arial" w:hAnsi="Arial"/>
                <w:sz w:val="18"/>
                <w:szCs w:val="18"/>
                <w:color w:val="0000FF"/>
              </w:rPr>
              <w:t>7,867</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right"/>
              <w:ind w:right="61"/>
              <w:spacing w:after="0"/>
              <w:rPr>
                <w:sz w:val="20"/>
                <w:szCs w:val="20"/>
                <w:color w:val="auto"/>
              </w:rPr>
            </w:pPr>
            <w:r>
              <w:rPr>
                <w:rFonts w:ascii="Arial" w:cs="Arial" w:eastAsia="Arial" w:hAnsi="Arial"/>
                <w:sz w:val="18"/>
                <w:szCs w:val="18"/>
                <w:color w:val="0000FF"/>
              </w:rPr>
              <w:t>1,244</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(5)</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right"/>
              <w:ind w:right="61"/>
              <w:spacing w:after="0"/>
              <w:rPr>
                <w:sz w:val="20"/>
                <w:szCs w:val="20"/>
                <w:color w:val="auto"/>
              </w:rPr>
            </w:pPr>
            <w:r>
              <w:rPr>
                <w:rFonts w:ascii="Arial" w:cs="Arial" w:eastAsia="Arial" w:hAnsi="Arial"/>
                <w:sz w:val="18"/>
                <w:szCs w:val="18"/>
                <w:color w:val="0000FF"/>
              </w:rPr>
              <w:t>1,866</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(6)</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(6)</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right"/>
              <w:ind w:right="61"/>
              <w:spacing w:after="0"/>
              <w:rPr>
                <w:sz w:val="20"/>
                <w:szCs w:val="20"/>
                <w:color w:val="auto"/>
              </w:rPr>
            </w:pPr>
            <w:r>
              <w:rPr>
                <w:rFonts w:ascii="Arial" w:cs="Arial" w:eastAsia="Arial" w:hAnsi="Arial"/>
                <w:sz w:val="18"/>
                <w:szCs w:val="18"/>
                <w:color w:val="0000FF"/>
              </w:rPr>
              <w:t>1,866</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(7)</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right"/>
              <w:ind w:right="61"/>
              <w:spacing w:after="0"/>
              <w:rPr>
                <w:sz w:val="20"/>
                <w:szCs w:val="20"/>
                <w:color w:val="auto"/>
              </w:rPr>
            </w:pPr>
            <w:r>
              <w:rPr>
                <w:rFonts w:ascii="Arial" w:cs="Arial" w:eastAsia="Arial" w:hAnsi="Arial"/>
                <w:sz w:val="18"/>
                <w:szCs w:val="18"/>
                <w:color w:val="0000FF"/>
              </w:rPr>
              <w:t>1,866</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(8)</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(8)</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right"/>
              <w:ind w:right="61"/>
              <w:spacing w:after="0"/>
              <w:rPr>
                <w:sz w:val="20"/>
                <w:szCs w:val="20"/>
                <w:color w:val="auto"/>
              </w:rPr>
            </w:pPr>
            <w:r>
              <w:rPr>
                <w:rFonts w:ascii="Arial" w:cs="Arial" w:eastAsia="Arial" w:hAnsi="Arial"/>
                <w:sz w:val="18"/>
                <w:szCs w:val="18"/>
                <w:color w:val="0000FF"/>
              </w:rPr>
              <w:t>4,433</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00" w:firstLine="9"/>
        <w:spacing w:after="0" w:line="270"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Restricted Stock Units ("RSUs") were awarded on March 15, 2010, pursuant to the General Motors Company 2009 Long-Term Incentive Plan (the "GMLTIP"). The RSUs will vest on the third anniversary of the award date provided the executive remains continuously employed through that date. RSU awards will be settled when they vest except that until all GM's obligations under Treasury Regulation 31 CFR 30.1 (Q-1) (the "TARP Obligations") have been repaid, awards will be settled after vesting in increments of 25% for each 25% of the TARP Obligations that have been repaid. Each RSU represents a right to receive one share of the Company's common stock upon settlement, provided, however, that if a settlement date occurs prior to the date that is six months following a consummation of an initial public offering of the Company's common stock, the RSUs will be settled by the delivery of cash in an amount equal to the Fair Market Value (as defined in the GMLTIP) of the Company's common stock as of the applicable settlement date. The RSUs do not have an expiration or exercise date or a conversion or exercise price.</w:t>
      </w:r>
    </w:p>
    <w:p>
      <w:pPr>
        <w:spacing w:after="0" w:line="13" w:lineRule="exact"/>
        <w:rPr>
          <w:rFonts w:ascii="Arial" w:cs="Arial" w:eastAsia="Arial" w:hAnsi="Arial"/>
          <w:sz w:val="12"/>
          <w:szCs w:val="12"/>
          <w:color w:val="008000"/>
        </w:rPr>
      </w:pPr>
    </w:p>
    <w:p>
      <w:pPr>
        <w:jc w:val="both"/>
        <w:ind w:left="40" w:right="100" w:firstLine="9"/>
        <w:spacing w:after="0" w:line="270"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Under the General Motors Company Salary Stock Plan (the "GMSSP") each Salary Stock Unit ("SSU") is fully vested upon grant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of the SSU's grant. The GMSSP provides that grants are settled in three equal annual installments beginning on the one year anniversary of the date of the grant. All of the SSUs granted in 2009 are deemed to have been granted, nunc pro tunc, on March 31, 2009, June 30, 2009, September 30, 2009 and December 31, 2009 in four grants of equal amounts, each of which will be settled in three equal annual installments, beginning on the first year anniversary of the deemed issuance date (for example, on March 31, 2010 for the first deemed grant). The SSUs do not have an expiration or exercise date.</w:t>
      </w:r>
    </w:p>
    <w:p>
      <w:pPr>
        <w:spacing w:after="0" w:line="13"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are deemed to have been granted March 31, 2009 and will be settled in three equal annual installments beginning March 31, 2010.</w:t>
      </w:r>
    </w:p>
    <w:p>
      <w:pPr>
        <w:spacing w:after="0" w:line="41" w:lineRule="exact"/>
        <w:rPr>
          <w:rFonts w:ascii="Arial" w:cs="Arial" w:eastAsia="Arial" w:hAnsi="Arial"/>
          <w:sz w:val="14"/>
          <w:szCs w:val="14"/>
          <w:color w:val="008000"/>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SSUs do not have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are deemed to have been granted June 30, 2009 and will be settled in three equal annual installments beginning June 30,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are deemed to have been granted September 30, 2009 and will be settled in three equal annual installments beginning September 30,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are deemed to have been granted December 31, 2009 and will be settled in three equal annual installments beginning December 31,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were granted March 31, 2010 and will be settled in three equal annual installments beginning March 31, 2011.</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06/07/2010</w:t>
            </w:r>
          </w:p>
        </w:tc>
        <w:tc>
          <w:tcPr>
            <w:tcW w:w="0" w:type="dxa"/>
            <w:vAlign w:val="bottom"/>
          </w:tcPr>
          <w:p>
            <w:pPr>
              <w:spacing w:after="0"/>
              <w:rPr>
                <w:sz w:val="1"/>
                <w:szCs w:val="1"/>
                <w:color w:val="auto"/>
              </w:rPr>
            </w:pPr>
          </w:p>
        </w:tc>
      </w:tr>
      <w:tr>
        <w:trPr>
          <w:trHeight w:val="88"/>
        </w:trPr>
        <w:tc>
          <w:tcPr>
            <w:tcW w:w="1440" w:type="dxa"/>
            <w:vAlign w:val="bottom"/>
            <w:vMerge w:val="restart"/>
          </w:tcPr>
          <w:p>
            <w:pPr>
              <w:spacing w:after="0" w:line="196" w:lineRule="exact"/>
              <w:rPr>
                <w:sz w:val="20"/>
                <w:szCs w:val="20"/>
                <w:color w:val="auto"/>
              </w:rPr>
            </w:pPr>
            <w:r>
              <w:rPr>
                <w:rFonts w:ascii="Arial" w:cs="Arial" w:eastAsia="Arial" w:hAnsi="Arial"/>
                <w:sz w:val="18"/>
                <w:szCs w:val="18"/>
                <w:color w:val="0000FF"/>
                <w:w w:val="97"/>
              </w:rPr>
              <w:t>fact for Mr. Millikin</w:t>
            </w:r>
          </w:p>
        </w:tc>
        <w:tc>
          <w:tcPr>
            <w:tcW w:w="7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440" w:type="dxa"/>
            <w:vAlign w:val="bottom"/>
            <w:tcBorders>
              <w:bottom w:val="single" w:sz="8" w:color="auto"/>
            </w:tcBorders>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39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92157" TargetMode="External"/><Relationship Id="rId12"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2019-12-16T23:27:17Z</dcterms:created>
  <dcterms:modified xsi:type="dcterms:W3CDTF">2019-12-16T23:27:17Z</dcterms:modified>
</cp:coreProperties>
</file>