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Cyprus Nick</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3,864</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19,084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1,325</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17,759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4,818</w:t>
            </w:r>
            <w:r>
              <w:rPr>
                <w:rFonts w:ascii="Arial" w:cs="Arial" w:eastAsia="Arial" w:hAnsi="Arial"/>
                <w:sz w:val="22"/>
                <w:szCs w:val="22"/>
                <w:color w:val="008000"/>
                <w:w w:val="85"/>
                <w:vertAlign w:val="superscript"/>
              </w:rPr>
              <w:t>(5)</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22,577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1,658</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20,919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8"/>
              </w:rPr>
              <w:t>13,794</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34,713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7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3,864</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3,864</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3,864</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4,818</w:t>
            </w:r>
            <w:r>
              <w:rPr>
                <w:rFonts w:ascii="Arial" w:cs="Arial" w:eastAsia="Arial" w:hAnsi="Arial"/>
                <w:sz w:val="22"/>
                <w:szCs w:val="22"/>
                <w:color w:val="008000"/>
                <w:vertAlign w:val="superscript"/>
              </w:rPr>
              <w:t>(5)</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4,818</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9,636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6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deemed to have been issued, nunc pro tunc, on Septembere 30, 2009 pursuant to the Company's Salary Stock Plan (the "GMSSP") and vested upon grant. The portion of this award currently payable was settled on September 30, 2011 in shares of the Company's Common Stock, less a portion withheld for taxes.</w:t>
      </w:r>
    </w:p>
    <w:p>
      <w:pPr>
        <w:spacing w:after="0" w:line="25" w:lineRule="exact"/>
        <w:rPr>
          <w:rFonts w:ascii="Arial" w:cs="Arial" w:eastAsia="Arial" w:hAnsi="Arial"/>
          <w:sz w:val="13"/>
          <w:szCs w:val="13"/>
          <w:color w:val="008000"/>
        </w:rPr>
      </w:pPr>
    </w:p>
    <w:p>
      <w:pPr>
        <w:ind w:left="40" w:right="20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2009 the employee received a grant of 3,864 SSUs, of which 1,288 SSUs were scheduled to be payable on September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11,592 SSUs granted on September 30, 2009, of which 3,864 SSUs became payable on September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$20.30.</w:t>
      </w:r>
    </w:p>
    <w:p>
      <w:pPr>
        <w:spacing w:after="0" w:line="25"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September 30, 2010 pursuant to the GMSSP and vested upon grant. The portion of this award currently payable was settled on September 30, 2011 in shares of the Company's Common Stock, less a portion withheld for taxes.</w:t>
      </w:r>
    </w:p>
    <w:p>
      <w:pPr>
        <w:spacing w:after="0" w:line="15" w:lineRule="exact"/>
        <w:rPr>
          <w:rFonts w:ascii="Arial" w:cs="Arial" w:eastAsia="Arial" w:hAnsi="Arial"/>
          <w:sz w:val="13"/>
          <w:szCs w:val="13"/>
          <w:color w:val="008000"/>
        </w:rPr>
      </w:pPr>
    </w:p>
    <w:p>
      <w:pPr>
        <w:ind w:left="40" w:right="32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4,818 SSUs, of which 1,606 SSUs were scheduled to be payable on September 30, 2011. Pursuant to the terms of the GMSSP, each issued and outstanding SSUs was automatically converted upon the effectiveness of the Stock Split into three SSUs, so that the employee was credited with a total of 14,454 SSUs granted on September 30, 2010, of which 4,818 SSUs became payable on September 30, 2011.</w:t>
      </w:r>
    </w:p>
    <w:p>
      <w:pPr>
        <w:spacing w:after="0" w:line="25" w:lineRule="exact"/>
        <w:rPr>
          <w:rFonts w:ascii="Arial" w:cs="Arial" w:eastAsia="Arial" w:hAnsi="Arial"/>
          <w:sz w:val="13"/>
          <w:szCs w:val="13"/>
          <w:color w:val="008000"/>
        </w:rPr>
      </w:pPr>
    </w:p>
    <w:p>
      <w:pPr>
        <w:ind w:left="40" w:right="1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91"/>
        </w:trPr>
        <w:tc>
          <w:tcPr>
            <w:tcW w:w="1340" w:type="dxa"/>
            <w:vAlign w:val="bottom"/>
            <w:vMerge w:val="restart"/>
          </w:tcPr>
          <w:p>
            <w:pPr>
              <w:spacing w:after="0" w:line="193" w:lineRule="exact"/>
              <w:rPr>
                <w:sz w:val="20"/>
                <w:szCs w:val="20"/>
                <w:color w:val="auto"/>
              </w:rPr>
            </w:pPr>
            <w:r>
              <w:rPr>
                <w:rFonts w:ascii="Arial" w:cs="Arial" w:eastAsia="Arial" w:hAnsi="Arial"/>
                <w:sz w:val="17"/>
                <w:szCs w:val="17"/>
                <w:color w:val="0000FF"/>
                <w:w w:val="94"/>
              </w:rPr>
              <w:t>fact for Mr. Cyprus</w:t>
            </w:r>
          </w:p>
        </w:tc>
        <w:tc>
          <w:tcPr>
            <w:tcW w:w="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2019-12-17T00:50:12Z</dcterms:created>
  <dcterms:modified xsi:type="dcterms:W3CDTF">2019-12-17T00:50:12Z</dcterms:modified>
</cp:coreProperties>
</file>