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20"/>
          </w:cols>
          <w:pgMar w:left="240" w:top="230" w:right="63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230"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Release and Charts Dated December 1,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December 1, 2010, General Motors Company (GM) issued a news release announcing November sales. The release and charts are attached as Exhibit 99.1.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2020" w:type="dxa"/>
            <w:vAlign w:val="bottom"/>
          </w:tcPr>
          <w:p>
            <w:pPr>
              <w:spacing w:after="0"/>
              <w:rPr>
                <w:sz w:val="24"/>
                <w:szCs w:val="24"/>
                <w:color w:val="auto"/>
              </w:rPr>
            </w:pPr>
          </w:p>
        </w:tc>
        <w:tc>
          <w:tcPr>
            <w:tcW w:w="3640" w:type="dxa"/>
            <w:vAlign w:val="bottom"/>
            <w:gridSpan w:val="4"/>
          </w:tcPr>
          <w:p>
            <w:pPr>
              <w:ind w:left="1580"/>
              <w:spacing w:after="0"/>
              <w:rPr>
                <w:sz w:val="20"/>
                <w:szCs w:val="20"/>
                <w:color w:val="auto"/>
              </w:rPr>
            </w:pPr>
            <w:r>
              <w:rPr>
                <w:rFonts w:ascii="Arial" w:cs="Arial" w:eastAsia="Arial" w:hAnsi="Arial"/>
                <w:sz w:val="14"/>
                <w:szCs w:val="14"/>
                <w:color w:val="auto"/>
              </w:rPr>
              <w:t>Description</w:t>
            </w:r>
          </w:p>
        </w:tc>
        <w:tc>
          <w:tcPr>
            <w:tcW w:w="3200" w:type="dxa"/>
            <w:vAlign w:val="bottom"/>
            <w:gridSpan w:val="3"/>
          </w:tcPr>
          <w:p>
            <w:pPr>
              <w:ind w:left="1820"/>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640" w:type="dxa"/>
            <w:vAlign w:val="bottom"/>
            <w:gridSpan w:val="4"/>
          </w:tcPr>
          <w:p>
            <w:pPr>
              <w:ind w:left="1580"/>
              <w:spacing w:after="0"/>
              <w:rPr>
                <w:sz w:val="20"/>
                <w:szCs w:val="20"/>
                <w:color w:val="auto"/>
              </w:rPr>
            </w:pPr>
            <w:r>
              <w:rPr>
                <w:rFonts w:ascii="Arial" w:cs="Arial" w:eastAsia="Arial" w:hAnsi="Arial"/>
                <w:sz w:val="18"/>
                <w:szCs w:val="18"/>
                <w:color w:val="auto"/>
                <w:w w:val="97"/>
              </w:rPr>
              <w:t>Sales Release and Charts</w:t>
            </w: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40" w:type="dxa"/>
            <w:vAlign w:val="bottom"/>
            <w:gridSpan w:val="4"/>
          </w:tcPr>
          <w:p>
            <w:pPr>
              <w:ind w:left="1580"/>
              <w:spacing w:after="0"/>
              <w:rPr>
                <w:sz w:val="20"/>
                <w:szCs w:val="20"/>
                <w:color w:val="auto"/>
              </w:rPr>
            </w:pPr>
            <w:r>
              <w:rPr>
                <w:rFonts w:ascii="Arial" w:cs="Arial" w:eastAsia="Arial" w:hAnsi="Arial"/>
                <w:sz w:val="18"/>
                <w:szCs w:val="18"/>
                <w:color w:val="auto"/>
              </w:rPr>
              <w:t>Dated December 1, 2010</w:t>
            </w:r>
          </w:p>
        </w:tc>
        <w:tc>
          <w:tcPr>
            <w:tcW w:w="3200" w:type="dxa"/>
            <w:vAlign w:val="bottom"/>
            <w:gridSpan w:val="3"/>
          </w:tcPr>
          <w:p>
            <w:pPr>
              <w:ind w:left="182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1,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158115</wp:posOffset>
            </wp:positionV>
            <wp:extent cx="319849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8495" cy="5143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Motors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Detroit, Mich.,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media.gm.com</w:t>
      </w:r>
    </w:p>
    <w:p>
      <w:pPr>
        <w:spacing w:after="0" w:line="178" w:lineRule="exact"/>
        <w:rPr>
          <w:sz w:val="20"/>
          <w:szCs w:val="20"/>
          <w:color w:val="auto"/>
        </w:rPr>
      </w:pPr>
    </w:p>
    <w:p>
      <w:pPr>
        <w:sectPr>
          <w:pgSz w:w="11900" w:h="16838" w:orient="portrait"/>
          <w:cols w:equalWidth="0" w:num="3">
            <w:col w:w="3300" w:space="720"/>
            <w:col w:w="3040" w:space="720"/>
            <w:col w:w="3640"/>
          </w:cols>
          <w:pgMar w:left="240" w:top="125"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For Release: 10:45 a.m. EST</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1, 2010</w:t>
      </w:r>
    </w:p>
    <w:p>
      <w:pPr>
        <w:sectPr>
          <w:pgSz w:w="11900" w:h="16838" w:orient="portrait"/>
          <w:cols w:equalWidth="0" w:num="1">
            <w:col w:w="11420"/>
          </w:cols>
          <w:pgMar w:left="240" w:top="125" w:right="239" w:bottom="1440" w:gutter="0" w:footer="0" w:header="0"/>
          <w:type w:val="continuous"/>
        </w:sect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Motors Sales Increase 21 Percent in November</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four brands are on track to gain market share for the year</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Chevrolet monthly sales rise 18 percent; year-to-date sales are up 17 percent</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Buick monthly sales increase 36 percent; year-to-date sales are up 54 percent</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GMC monthly sales improve 30 percent; year-to-date sales are up 28 percent</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Cadillac monthly sales increase 21 percent; year-to-date sales are up 38 percent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DETROIT – General Motors dealers reported 168,704 total sales in November, a 21-percent increase from the prior year for the company’s four brands. The gains were the result of balanced contributions from Chevrolet, Buick, GMC and Cadillac cars, crossovers and trucks. With sales for GM’s four brands up 22 percent through November, GM is on track to gain market share for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November retail sales for the company’s brands rose 20 percent compared to a year earlier.</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“Each brand came to the party in November,” said Don Johnson, vice president, U.S. sales operations. “These results show that our brands continue to gain momentum with consumers who want stylish, fuel-efficient vehicles.”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month, combined sales of the Chevrolet Equinox, GMC Terrain and Cadillac SRX increased 56 percent, while the combined sales for the Buick Enclave, GMC Acadia and Chevrolet Traverse rose 38 percent versus last year. Combined, GM’s crossovers improved 39 percent during the month, and are up 51 percent year to date.</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Combined sales of the Chevrolet Avalanche, Chevrolet Silverado and GMC Sierra full-size pickups increased 16 percent for the month and are 16 percent higher year to date, compared to 2009.</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Passenger car deliveries increased 17 percent during November, driven by improving demand for the Chevrolet Cruze (8,066 unit sales) and Buick Regal (1,979 unit sales). Strong increases from Chevrolet Aveo (up 47 percent), Chevrolet Impala (up 19 percent) and Buick LaCrosse (up 20 percent) also helped drive the year-over-year improvement.</w:t>
      </w:r>
    </w:p>
    <w:p>
      <w:pPr>
        <w:sectPr>
          <w:pgSz w:w="11900" w:h="16838" w:orient="portrait"/>
          <w:cols w:equalWidth="0" w:num="1">
            <w:col w:w="11420"/>
          </w:cols>
          <w:pgMar w:left="240" w:top="125" w:right="239" w:bottom="1440" w:gutter="0" w:footer="0" w:header="0"/>
          <w:type w:val="continuous"/>
        </w:sectPr>
      </w:pPr>
    </w:p>
    <w:bookmarkStart w:id="5" w:name="page6"/>
    <w:bookmarkEnd w:id="5"/>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“November sales results are consistent with our expectations and show that the plan we laid out earlier this year to steadily grow in the U.S. market is working,” Johnson said. Sales for GM’s four brands have increased 22 percent through November, while the industry has increased approximately 11 percent.</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Month-end dealer inventory in the U.S. stood at about 536,000 units, which is about 21,000 higher compared to October, and about 98,000 higher than November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Key Facts and Brand Results: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total sales for GM’s four brands are up 22 percent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retail sales for GM’s four brands are up 15 percent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GM’s four brands have sold 103,014 more vehicles year-to-date than were sold with eight brands through November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GM sells the most stylish, fuel-efficient crossovers in the U.S. market, with sales up 51 percent in 2010</w:t>
      </w:r>
    </w:p>
    <w:p>
      <w:pPr>
        <w:spacing w:after="0" w:line="90"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delivered 117,588 total vehicles in November, an 18-percent increase year over year. Retail sales for Chevrolet rose 13 percent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on the strength of improving Cruze sales, and strong Silverado and Equinox retail sales, which were up 15 and 51 percent respectively. Year-to-date total Chevrolet sales are up 17 percent.</w:t>
      </w:r>
    </w:p>
    <w:p>
      <w:pPr>
        <w:spacing w:after="0" w:line="59" w:lineRule="exact"/>
        <w:rPr>
          <w:rFonts w:ascii="Arial" w:cs="Arial" w:eastAsia="Arial" w:hAnsi="Arial"/>
          <w:sz w:val="18"/>
          <w:szCs w:val="18"/>
          <w:i w:val="1"/>
          <w:iCs w:val="1"/>
          <w:color w:val="auto"/>
        </w:rPr>
      </w:pPr>
    </w:p>
    <w:p>
      <w:pPr>
        <w:ind w:left="900" w:hanging="446"/>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the fastest growing major automotive brand in the United States, reported 11,725 total sales, a 36-percent increase compared to a 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ago. This includes a 37- percent rise in year-over-year retail sales – the 14th consecutive month of year-over-year sales gains for the brand. Total Buick sales are up 54 percent for the calendar year to date.</w:t>
      </w:r>
    </w:p>
    <w:p>
      <w:pPr>
        <w:spacing w:after="0" w:line="59" w:lineRule="exact"/>
        <w:rPr>
          <w:rFonts w:ascii="Arial" w:cs="Arial" w:eastAsia="Arial" w:hAnsi="Arial"/>
          <w:sz w:val="18"/>
          <w:szCs w:val="18"/>
          <w:i w:val="1"/>
          <w:iCs w:val="1"/>
          <w:color w:val="auto"/>
        </w:rPr>
      </w:pPr>
    </w:p>
    <w:p>
      <w:pPr>
        <w:ind w:left="900" w:right="60" w:hanging="446"/>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GMC</w:t>
      </w:r>
      <w:r>
        <w:rPr>
          <w:rFonts w:ascii="Arial" w:cs="Arial" w:eastAsia="Arial" w:hAnsi="Arial"/>
          <w:sz w:val="18"/>
          <w:szCs w:val="18"/>
          <w:i w:val="1"/>
          <w:iCs w:val="1"/>
          <w:color w:val="auto"/>
        </w:rPr>
        <w:t>: GMC reported total sales of 27,590, a 30-percent increase compared to the same month last year. This marks the 14th consecutive month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year-over-year sales increases. Retail sales were 29 percent higher than last year, spurred by Sierra, Acadia and Terrain – up 16 percent, 76 percent and 55 percent, respectively. For the year, GMC total sales are up 28 percent.</w:t>
      </w:r>
    </w:p>
    <w:p>
      <w:pPr>
        <w:spacing w:after="0" w:line="59" w:lineRule="exact"/>
        <w:rPr>
          <w:rFonts w:ascii="Arial" w:cs="Arial" w:eastAsia="Arial" w:hAnsi="Arial"/>
          <w:sz w:val="18"/>
          <w:szCs w:val="18"/>
          <w:i w:val="1"/>
          <w:iCs w:val="1"/>
          <w:color w:val="auto"/>
        </w:rPr>
      </w:pPr>
    </w:p>
    <w:p>
      <w:pPr>
        <w:ind w:left="900" w:right="60" w:hanging="446"/>
        <w:spacing w:after="0" w:line="256"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the fastest-growing luxury brand in the United States, reported total sales of 11,801 for November – 21 percent higher than last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November, with retail sales increasing 46 percent. November was the 10th consecutive month of year-over-year total and retail sales gains. SRX retail sales were up 39 percent, compared to a year ago. CTS retail sales rose 97 percent, driven by strong demand for the all-new CTS Coupe. Total sales for Cadillac are up 38 percent for the year.</w:t>
      </w:r>
    </w:p>
    <w:p>
      <w:pPr>
        <w:spacing w:after="0" w:line="62" w:lineRule="exact"/>
        <w:rPr>
          <w:rFonts w:ascii="Arial" w:cs="Arial" w:eastAsia="Arial" w:hAnsi="Arial"/>
          <w:sz w:val="18"/>
          <w:szCs w:val="18"/>
          <w:i w:val="1"/>
          <w:iCs w:val="1"/>
          <w:color w:val="auto"/>
        </w:rPr>
      </w:pPr>
    </w:p>
    <w:p>
      <w:pPr>
        <w:ind w:left="900" w:hanging="446"/>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47,330 for the month.</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209,000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tom.e.henderson@gm.com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ectPr>
          <w:pgSz w:w="11900" w:h="16838" w:orient="portrait"/>
          <w:cols w:equalWidth="0" w:num="1">
            <w:col w:w="10219"/>
          </w:cols>
          <w:pgMar w:left="240" w:top="280"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November 2010 -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37"/>
              <w:spacing w:after="0"/>
              <w:rPr>
                <w:sz w:val="20"/>
                <w:szCs w:val="20"/>
                <w:color w:val="auto"/>
              </w:rPr>
            </w:pPr>
            <w:r>
              <w:rPr>
                <w:rFonts w:ascii="Arial" w:cs="Arial" w:eastAsia="Arial" w:hAnsi="Arial"/>
                <w:sz w:val="14"/>
                <w:szCs w:val="14"/>
                <w:color w:val="auto"/>
                <w:w w:val="86"/>
              </w:rPr>
              <w:t>(Calendar Year-to-Date)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980" w:type="dxa"/>
            <w:vAlign w:val="bottom"/>
            <w:gridSpan w:val="3"/>
          </w:tcPr>
          <w:p>
            <w:pPr>
              <w:spacing w:after="0" w:line="159" w:lineRule="exact"/>
              <w:rPr>
                <w:sz w:val="20"/>
                <w:szCs w:val="20"/>
                <w:color w:val="auto"/>
              </w:rPr>
            </w:pPr>
            <w:r>
              <w:rPr>
                <w:rFonts w:ascii="Arial" w:cs="Arial" w:eastAsia="Arial" w:hAnsi="Arial"/>
                <w:sz w:val="14"/>
                <w:szCs w:val="14"/>
                <w:color w:val="auto"/>
              </w:rPr>
              <w:t>*S/D Curr: 24</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280"/>
              <w:spacing w:after="0" w:line="159" w:lineRule="exact"/>
              <w:rPr>
                <w:sz w:val="20"/>
                <w:szCs w:val="20"/>
                <w:color w:val="auto"/>
              </w:rPr>
            </w:pPr>
            <w:r>
              <w:rPr>
                <w:rFonts w:ascii="Arial" w:cs="Arial" w:eastAsia="Arial" w:hAnsi="Arial"/>
                <w:sz w:val="14"/>
                <w:szCs w:val="14"/>
                <w:color w:val="auto"/>
                <w:w w:val="83"/>
              </w:rPr>
              <w:t>November</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center"/>
              <w:ind w:left="337"/>
              <w:spacing w:after="0" w:line="159" w:lineRule="exact"/>
              <w:rPr>
                <w:sz w:val="20"/>
                <w:szCs w:val="20"/>
                <w:color w:val="auto"/>
              </w:rPr>
            </w:pPr>
            <w:r>
              <w:rPr>
                <w:rFonts w:ascii="Arial" w:cs="Arial" w:eastAsia="Arial" w:hAnsi="Arial"/>
                <w:sz w:val="14"/>
                <w:szCs w:val="14"/>
                <w:color w:val="auto"/>
                <w:w w:val="86"/>
              </w:rPr>
              <w:t>January - November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200"/>
              <w:spacing w:after="0" w:line="131" w:lineRule="exact"/>
              <w:rPr>
                <w:sz w:val="20"/>
                <w:szCs w:val="20"/>
                <w:color w:val="auto"/>
              </w:rPr>
            </w:pPr>
            <w:r>
              <w:rPr>
                <w:rFonts w:ascii="Arial" w:cs="Arial" w:eastAsia="Arial" w:hAnsi="Arial"/>
                <w:sz w:val="14"/>
                <w:szCs w:val="14"/>
                <w:color w:val="auto"/>
                <w:w w:val="99"/>
              </w:rPr>
              <w:t>% Chg</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980" w:type="dxa"/>
            <w:vAlign w:val="bottom"/>
            <w:gridSpan w:val="3"/>
          </w:tcPr>
          <w:p>
            <w:pPr>
              <w:spacing w:after="0" w:line="159" w:lineRule="exact"/>
              <w:rPr>
                <w:sz w:val="20"/>
                <w:szCs w:val="20"/>
                <w:color w:val="auto"/>
              </w:rPr>
            </w:pPr>
            <w:r>
              <w:rPr>
                <w:rFonts w:ascii="Arial" w:cs="Arial" w:eastAsia="Arial" w:hAnsi="Arial"/>
                <w:sz w:val="14"/>
                <w:szCs w:val="14"/>
                <w:color w:val="auto"/>
              </w:rPr>
              <w:t>*S/D Prev: 23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24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2"/>
              </w:rPr>
              <w:t>per S/D</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4"/>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168,739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151,427</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1,991,042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1,875,981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168,704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139,672</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1,978,995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1,621,982</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253,999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598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%Chg</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%Chg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24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92"/>
              </w:rPr>
              <w:t>per S/D</w:t>
            </w:r>
          </w:p>
        </w:tc>
        <w:tc>
          <w:tcPr>
            <w:tcW w:w="2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4"/>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Buick Total</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138,294</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90,069</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11,801</w:t>
            </w:r>
          </w:p>
        </w:tc>
        <w:tc>
          <w:tcPr>
            <w:tcW w:w="620" w:type="dxa"/>
            <w:vAlign w:val="bottom"/>
          </w:tcPr>
          <w:p>
            <w:pPr>
              <w:jc w:val="right"/>
              <w:spacing w:after="0"/>
              <w:rPr>
                <w:sz w:val="20"/>
                <w:szCs w:val="20"/>
                <w:color w:val="auto"/>
              </w:rPr>
            </w:pPr>
            <w:r>
              <w:rPr>
                <w:rFonts w:ascii="Arial" w:cs="Arial" w:eastAsia="Arial" w:hAnsi="Arial"/>
                <w:sz w:val="18"/>
                <w:szCs w:val="18"/>
                <w:color w:val="auto"/>
              </w:rPr>
              <w:t>9,721</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760" w:type="dxa"/>
            <w:vAlign w:val="bottom"/>
          </w:tcPr>
          <w:p>
            <w:pPr>
              <w:jc w:val="right"/>
              <w:spacing w:after="0"/>
              <w:rPr>
                <w:sz w:val="20"/>
                <w:szCs w:val="20"/>
                <w:color w:val="auto"/>
              </w:rPr>
            </w:pPr>
            <w:r>
              <w:rPr>
                <w:rFonts w:ascii="Arial" w:cs="Arial" w:eastAsia="Arial" w:hAnsi="Arial"/>
                <w:sz w:val="18"/>
                <w:szCs w:val="18"/>
                <w:color w:val="auto"/>
              </w:rPr>
              <w:t>130,207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94,347</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117,588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100,023</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1,417,672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1,209,007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640" w:type="dxa"/>
            <w:vAlign w:val="bottom"/>
          </w:tcPr>
          <w:p>
            <w:pPr>
              <w:jc w:val="right"/>
              <w:spacing w:after="0"/>
              <w:rPr>
                <w:sz w:val="20"/>
                <w:szCs w:val="20"/>
                <w:color w:val="auto"/>
              </w:rPr>
            </w:pPr>
            <w:r>
              <w:rPr>
                <w:rFonts w:ascii="Arial" w:cs="Arial" w:eastAsia="Arial" w:hAnsi="Arial"/>
                <w:sz w:val="18"/>
                <w:szCs w:val="18"/>
                <w:color w:val="auto"/>
              </w:rPr>
              <w:t>27,590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21,301</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760" w:type="dxa"/>
            <w:vAlign w:val="bottom"/>
          </w:tcPr>
          <w:p>
            <w:pPr>
              <w:jc w:val="right"/>
              <w:spacing w:after="0"/>
              <w:rPr>
                <w:sz w:val="20"/>
                <w:szCs w:val="20"/>
                <w:color w:val="auto"/>
              </w:rPr>
            </w:pPr>
            <w:r>
              <w:rPr>
                <w:rFonts w:ascii="Arial" w:cs="Arial" w:eastAsia="Arial" w:hAnsi="Arial"/>
                <w:sz w:val="18"/>
                <w:szCs w:val="18"/>
                <w:color w:val="auto"/>
              </w:rPr>
              <w:t>292,822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228,559</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168,704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139,672</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1,978,995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1,621,982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760" w:type="dxa"/>
            <w:vAlign w:val="bottom"/>
          </w:tcPr>
          <w:p>
            <w:pPr>
              <w:jc w:val="right"/>
              <w:spacing w:after="0"/>
              <w:rPr>
                <w:sz w:val="20"/>
                <w:szCs w:val="20"/>
                <w:color w:val="auto"/>
              </w:rPr>
            </w:pPr>
            <w:r>
              <w:rPr>
                <w:rFonts w:ascii="Arial" w:cs="Arial" w:eastAsia="Arial" w:hAnsi="Arial"/>
                <w:sz w:val="18"/>
                <w:szCs w:val="18"/>
                <w:color w:val="auto"/>
              </w:rPr>
              <w:t>3,774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8,721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169,890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67,576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253,999</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168,739</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151,427</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1,991,042</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1,875,981</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Twenty-four selling days for the November period this year and twenty-three for last year.</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32"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November 2010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620"/>
              <w:spacing w:after="0" w:line="159" w:lineRule="exact"/>
              <w:rPr>
                <w:sz w:val="20"/>
                <w:szCs w:val="20"/>
                <w:color w:val="auto"/>
              </w:rPr>
            </w:pPr>
            <w:r>
              <w:rPr>
                <w:rFonts w:ascii="Arial" w:cs="Arial" w:eastAsia="Arial" w:hAnsi="Arial"/>
                <w:sz w:val="14"/>
                <w:szCs w:val="14"/>
                <w:color w:val="auto"/>
              </w:rPr>
              <w:t>November</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Borders>
              <w:bottom w:val="single" w:sz="8" w:color="auto"/>
            </w:tcBorders>
            <w:gridSpan w:val="4"/>
          </w:tcPr>
          <w:p>
            <w:pPr>
              <w:jc w:val="right"/>
              <w:ind w:right="180"/>
              <w:spacing w:after="0" w:line="159" w:lineRule="exact"/>
              <w:rPr>
                <w:sz w:val="20"/>
                <w:szCs w:val="20"/>
                <w:color w:val="auto"/>
              </w:rPr>
            </w:pPr>
            <w:r>
              <w:rPr>
                <w:rFonts w:ascii="Arial" w:cs="Arial" w:eastAsia="Arial" w:hAnsi="Arial"/>
                <w:sz w:val="14"/>
                <w:szCs w:val="14"/>
                <w:color w:val="auto"/>
              </w:rPr>
              <w:t>January - November</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20"/>
              <w:spacing w:after="0" w:line="131" w:lineRule="exact"/>
              <w:rPr>
                <w:sz w:val="20"/>
                <w:szCs w:val="20"/>
                <w:color w:val="auto"/>
              </w:rPr>
            </w:pPr>
            <w:r>
              <w:rPr>
                <w:rFonts w:ascii="Arial" w:cs="Arial" w:eastAsia="Arial" w:hAnsi="Arial"/>
                <w:sz w:val="14"/>
                <w:szCs w:val="14"/>
                <w:color w:val="auto"/>
                <w:w w:val="99"/>
              </w:rPr>
              <w:t>% Chg</w:t>
            </w:r>
          </w:p>
        </w:tc>
        <w:tc>
          <w:tcPr>
            <w:tcW w:w="540" w:type="dxa"/>
            <w:vAlign w:val="bottom"/>
          </w:tcPr>
          <w:p>
            <w:pPr>
              <w:jc w:val="right"/>
              <w:spacing w:after="0" w:line="131" w:lineRule="exact"/>
              <w:rPr>
                <w:sz w:val="20"/>
                <w:szCs w:val="20"/>
                <w:color w:val="auto"/>
              </w:rPr>
            </w:pPr>
            <w:r>
              <w:rPr>
                <w:rFonts w:ascii="Arial" w:cs="Arial" w:eastAsia="Arial" w:hAnsi="Arial"/>
                <w:sz w:val="14"/>
                <w:szCs w:val="14"/>
                <w:color w:val="auto"/>
                <w:w w:val="83"/>
              </w:rPr>
              <w:t>%Chg per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22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S/D</w:t>
            </w: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2010</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Enclave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3,810</w:t>
            </w:r>
          </w:p>
        </w:tc>
        <w:tc>
          <w:tcPr>
            <w:tcW w:w="620" w:type="dxa"/>
            <w:vAlign w:val="bottom"/>
          </w:tcPr>
          <w:p>
            <w:pPr>
              <w:jc w:val="right"/>
              <w:spacing w:after="0"/>
              <w:rPr>
                <w:sz w:val="20"/>
                <w:szCs w:val="20"/>
                <w:color w:val="auto"/>
              </w:rPr>
            </w:pPr>
            <w:r>
              <w:rPr>
                <w:rFonts w:ascii="Arial" w:cs="Arial" w:eastAsia="Arial" w:hAnsi="Arial"/>
                <w:sz w:val="18"/>
                <w:szCs w:val="18"/>
                <w:color w:val="auto"/>
              </w:rPr>
              <w:t>3,056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48,792</w:t>
            </w:r>
          </w:p>
        </w:tc>
        <w:tc>
          <w:tcPr>
            <w:tcW w:w="760" w:type="dxa"/>
            <w:vAlign w:val="bottom"/>
          </w:tcPr>
          <w:p>
            <w:pPr>
              <w:jc w:val="right"/>
              <w:spacing w:after="0"/>
              <w:rPr>
                <w:sz w:val="20"/>
                <w:szCs w:val="20"/>
                <w:color w:val="auto"/>
              </w:rPr>
            </w:pPr>
            <w:r>
              <w:rPr>
                <w:rFonts w:ascii="Arial" w:cs="Arial" w:eastAsia="Arial" w:hAnsi="Arial"/>
                <w:sz w:val="18"/>
                <w:szCs w:val="18"/>
                <w:color w:val="auto"/>
              </w:rPr>
              <w:t>37,701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Lucerne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1,866</w:t>
            </w:r>
          </w:p>
        </w:tc>
        <w:tc>
          <w:tcPr>
            <w:tcW w:w="620" w:type="dxa"/>
            <w:vAlign w:val="bottom"/>
          </w:tcPr>
          <w:p>
            <w:pPr>
              <w:jc w:val="right"/>
              <w:spacing w:after="0"/>
              <w:rPr>
                <w:sz w:val="20"/>
                <w:szCs w:val="20"/>
                <w:color w:val="auto"/>
              </w:rPr>
            </w:pPr>
            <w:r>
              <w:rPr>
                <w:rFonts w:ascii="Arial" w:cs="Arial" w:eastAsia="Arial" w:hAnsi="Arial"/>
                <w:sz w:val="18"/>
                <w:szCs w:val="18"/>
                <w:color w:val="auto"/>
              </w:rPr>
              <w:t>2,171</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24,197</w:t>
            </w:r>
          </w:p>
        </w:tc>
        <w:tc>
          <w:tcPr>
            <w:tcW w:w="760" w:type="dxa"/>
            <w:vAlign w:val="bottom"/>
          </w:tcPr>
          <w:p>
            <w:pPr>
              <w:jc w:val="right"/>
              <w:spacing w:after="0"/>
              <w:rPr>
                <w:sz w:val="20"/>
                <w:szCs w:val="20"/>
                <w:color w:val="auto"/>
              </w:rPr>
            </w:pPr>
            <w:r>
              <w:rPr>
                <w:rFonts w:ascii="Arial" w:cs="Arial" w:eastAsia="Arial" w:hAnsi="Arial"/>
                <w:sz w:val="18"/>
                <w:szCs w:val="18"/>
                <w:color w:val="auto"/>
              </w:rPr>
              <w:t>29,085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Rainier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Regal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1,979</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9,267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Rendezvous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Terraza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CTS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40,485</w:t>
            </w:r>
          </w:p>
        </w:tc>
        <w:tc>
          <w:tcPr>
            <w:tcW w:w="760" w:type="dxa"/>
            <w:vAlign w:val="bottom"/>
          </w:tcPr>
          <w:p>
            <w:pPr>
              <w:jc w:val="right"/>
              <w:spacing w:after="0"/>
              <w:rPr>
                <w:sz w:val="20"/>
                <w:szCs w:val="20"/>
                <w:color w:val="auto"/>
              </w:rPr>
            </w:pPr>
            <w:r>
              <w:rPr>
                <w:rFonts w:ascii="Arial" w:cs="Arial" w:eastAsia="Arial" w:hAnsi="Arial"/>
                <w:sz w:val="18"/>
                <w:szCs w:val="18"/>
                <w:color w:val="auto"/>
              </w:rPr>
              <w:t>34,637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Escalade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1,347</w:t>
            </w:r>
          </w:p>
        </w:tc>
        <w:tc>
          <w:tcPr>
            <w:tcW w:w="620" w:type="dxa"/>
            <w:vAlign w:val="bottom"/>
          </w:tcPr>
          <w:p>
            <w:pPr>
              <w:jc w:val="right"/>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13,832</w:t>
            </w:r>
          </w:p>
        </w:tc>
        <w:tc>
          <w:tcPr>
            <w:tcW w:w="760" w:type="dxa"/>
            <w:vAlign w:val="bottom"/>
          </w:tcPr>
          <w:p>
            <w:pPr>
              <w:jc w:val="right"/>
              <w:spacing w:after="0"/>
              <w:rPr>
                <w:sz w:val="20"/>
                <w:szCs w:val="20"/>
                <w:color w:val="auto"/>
              </w:rPr>
            </w:pPr>
            <w:r>
              <w:rPr>
                <w:rFonts w:ascii="Arial" w:cs="Arial" w:eastAsia="Arial" w:hAnsi="Arial"/>
                <w:sz w:val="18"/>
                <w:szCs w:val="18"/>
                <w:color w:val="auto"/>
              </w:rPr>
              <w:t>14,736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Escalade ESV</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Escalade EXT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1,816</w:t>
            </w:r>
          </w:p>
        </w:tc>
        <w:tc>
          <w:tcPr>
            <w:tcW w:w="760" w:type="dxa"/>
            <w:vAlign w:val="bottom"/>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SRX</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62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4,144</w:t>
            </w:r>
          </w:p>
        </w:tc>
        <w:tc>
          <w:tcPr>
            <w:tcW w:w="760" w:type="dxa"/>
            <w:vAlign w:val="bottom"/>
          </w:tcPr>
          <w:p>
            <w:pPr>
              <w:jc w:val="right"/>
              <w:spacing w:after="0"/>
              <w:rPr>
                <w:sz w:val="20"/>
                <w:szCs w:val="20"/>
                <w:color w:val="auto"/>
              </w:rPr>
            </w:pPr>
            <w:r>
              <w:rPr>
                <w:rFonts w:ascii="Arial" w:cs="Arial" w:eastAsia="Arial" w:hAnsi="Arial"/>
                <w:sz w:val="18"/>
                <w:szCs w:val="18"/>
                <w:color w:val="auto"/>
              </w:rPr>
              <w:t>5,677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XLR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Cadillac Total</w:t>
            </w:r>
          </w:p>
        </w:tc>
        <w:tc>
          <w:tcPr>
            <w:tcW w:w="640" w:type="dxa"/>
            <w:vAlign w:val="bottom"/>
          </w:tcPr>
          <w:p>
            <w:pPr>
              <w:jc w:val="right"/>
              <w:spacing w:after="0"/>
              <w:rPr>
                <w:sz w:val="20"/>
                <w:szCs w:val="20"/>
                <w:color w:val="auto"/>
              </w:rPr>
            </w:pPr>
            <w:r>
              <w:rPr>
                <w:rFonts w:ascii="Arial" w:cs="Arial" w:eastAsia="Arial" w:hAnsi="Arial"/>
                <w:sz w:val="18"/>
                <w:szCs w:val="18"/>
                <w:color w:val="auto"/>
              </w:rPr>
              <w:t>11,801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9,721</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130,207</w:t>
            </w:r>
          </w:p>
        </w:tc>
        <w:tc>
          <w:tcPr>
            <w:tcW w:w="760" w:type="dxa"/>
            <w:vAlign w:val="bottom"/>
          </w:tcPr>
          <w:p>
            <w:pPr>
              <w:jc w:val="right"/>
              <w:spacing w:after="0"/>
              <w:rPr>
                <w:sz w:val="20"/>
                <w:szCs w:val="20"/>
                <w:color w:val="auto"/>
              </w:rPr>
            </w:pPr>
            <w:r>
              <w:rPr>
                <w:rFonts w:ascii="Arial" w:cs="Arial" w:eastAsia="Arial" w:hAnsi="Arial"/>
                <w:sz w:val="18"/>
                <w:szCs w:val="18"/>
                <w:color w:val="auto"/>
              </w:rPr>
              <w:t>94,347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Avalanche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Aveo</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3,262</w:t>
            </w:r>
          </w:p>
        </w:tc>
        <w:tc>
          <w:tcPr>
            <w:tcW w:w="620" w:type="dxa"/>
            <w:vAlign w:val="bottom"/>
          </w:tcPr>
          <w:p>
            <w:pPr>
              <w:jc w:val="right"/>
              <w:spacing w:after="0"/>
              <w:rPr>
                <w:sz w:val="20"/>
                <w:szCs w:val="20"/>
                <w:color w:val="auto"/>
              </w:rPr>
            </w:pPr>
            <w:r>
              <w:rPr>
                <w:rFonts w:ascii="Arial" w:cs="Arial" w:eastAsia="Arial" w:hAnsi="Arial"/>
                <w:sz w:val="18"/>
                <w:szCs w:val="18"/>
                <w:color w:val="auto"/>
              </w:rPr>
              <w:t>2,212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44,586</w:t>
            </w:r>
          </w:p>
        </w:tc>
        <w:tc>
          <w:tcPr>
            <w:tcW w:w="760" w:type="dxa"/>
            <w:vAlign w:val="bottom"/>
          </w:tcPr>
          <w:p>
            <w:pPr>
              <w:jc w:val="right"/>
              <w:spacing w:after="0"/>
              <w:rPr>
                <w:sz w:val="20"/>
                <w:szCs w:val="20"/>
                <w:color w:val="auto"/>
              </w:rPr>
            </w:pPr>
            <w:r>
              <w:rPr>
                <w:rFonts w:ascii="Arial" w:cs="Arial" w:eastAsia="Arial" w:hAnsi="Arial"/>
                <w:sz w:val="18"/>
                <w:szCs w:val="18"/>
                <w:color w:val="auto"/>
              </w:rPr>
              <w:t>35,157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Camaro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Chevy C/T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Cobalt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5,112</w:t>
            </w:r>
          </w:p>
        </w:tc>
        <w:tc>
          <w:tcPr>
            <w:tcW w:w="44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96,740</w:t>
            </w:r>
          </w:p>
        </w:tc>
        <w:tc>
          <w:tcPr>
            <w:tcW w:w="760" w:type="dxa"/>
            <w:vAlign w:val="bottom"/>
          </w:tcPr>
          <w:p>
            <w:pPr>
              <w:jc w:val="right"/>
              <w:spacing w:after="0"/>
              <w:rPr>
                <w:sz w:val="20"/>
                <w:szCs w:val="20"/>
                <w:color w:val="auto"/>
              </w:rPr>
            </w:pPr>
            <w:r>
              <w:rPr>
                <w:rFonts w:ascii="Arial" w:cs="Arial" w:eastAsia="Arial" w:hAnsi="Arial"/>
                <w:sz w:val="18"/>
                <w:szCs w:val="18"/>
                <w:color w:val="auto"/>
              </w:rPr>
              <w:t>96,052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Corvette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62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11,645</w:t>
            </w:r>
          </w:p>
        </w:tc>
        <w:tc>
          <w:tcPr>
            <w:tcW w:w="760" w:type="dxa"/>
            <w:vAlign w:val="bottom"/>
          </w:tcPr>
          <w:p>
            <w:pPr>
              <w:jc w:val="right"/>
              <w:spacing w:after="0"/>
              <w:rPr>
                <w:sz w:val="20"/>
                <w:szCs w:val="20"/>
                <w:color w:val="auto"/>
              </w:rPr>
            </w:pPr>
            <w:r>
              <w:rPr>
                <w:rFonts w:ascii="Arial" w:cs="Arial" w:eastAsia="Arial" w:hAnsi="Arial"/>
                <w:sz w:val="18"/>
                <w:szCs w:val="18"/>
                <w:color w:val="auto"/>
              </w:rPr>
              <w:t>12,901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Equinox</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15,387</w:t>
            </w:r>
          </w:p>
        </w:tc>
        <w:tc>
          <w:tcPr>
            <w:tcW w:w="620" w:type="dxa"/>
            <w:vAlign w:val="bottom"/>
          </w:tcPr>
          <w:p>
            <w:pPr>
              <w:jc w:val="right"/>
              <w:spacing w:after="0"/>
              <w:rPr>
                <w:sz w:val="20"/>
                <w:szCs w:val="20"/>
                <w:color w:val="auto"/>
              </w:rPr>
            </w:pPr>
            <w:r>
              <w:rPr>
                <w:rFonts w:ascii="Arial" w:cs="Arial" w:eastAsia="Arial" w:hAnsi="Arial"/>
                <w:sz w:val="18"/>
                <w:szCs w:val="18"/>
                <w:color w:val="auto"/>
              </w:rPr>
              <w:t>9,587</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127,215</w:t>
            </w:r>
          </w:p>
        </w:tc>
        <w:tc>
          <w:tcPr>
            <w:tcW w:w="760" w:type="dxa"/>
            <w:vAlign w:val="bottom"/>
          </w:tcPr>
          <w:p>
            <w:pPr>
              <w:jc w:val="right"/>
              <w:spacing w:after="0"/>
              <w:rPr>
                <w:sz w:val="20"/>
                <w:szCs w:val="20"/>
                <w:color w:val="auto"/>
              </w:rPr>
            </w:pPr>
            <w:r>
              <w:rPr>
                <w:rFonts w:ascii="Arial" w:cs="Arial" w:eastAsia="Arial" w:hAnsi="Arial"/>
                <w:sz w:val="18"/>
                <w:szCs w:val="18"/>
                <w:color w:val="auto"/>
              </w:rPr>
              <w:t>73,437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HHR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4,118</w:t>
            </w:r>
          </w:p>
        </w:tc>
        <w:tc>
          <w:tcPr>
            <w:tcW w:w="620" w:type="dxa"/>
            <w:vAlign w:val="bottom"/>
          </w:tcPr>
          <w:p>
            <w:pPr>
              <w:jc w:val="right"/>
              <w:spacing w:after="0"/>
              <w:rPr>
                <w:sz w:val="20"/>
                <w:szCs w:val="20"/>
                <w:color w:val="auto"/>
              </w:rPr>
            </w:pPr>
            <w:r>
              <w:rPr>
                <w:rFonts w:ascii="Arial" w:cs="Arial" w:eastAsia="Arial" w:hAnsi="Arial"/>
                <w:sz w:val="18"/>
                <w:szCs w:val="18"/>
                <w:color w:val="auto"/>
              </w:rPr>
              <w:t>4,720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71,371</w:t>
            </w:r>
          </w:p>
        </w:tc>
        <w:tc>
          <w:tcPr>
            <w:tcW w:w="760" w:type="dxa"/>
            <w:vAlign w:val="bottom"/>
          </w:tcPr>
          <w:p>
            <w:pPr>
              <w:jc w:val="right"/>
              <w:spacing w:after="0"/>
              <w:rPr>
                <w:sz w:val="20"/>
                <w:szCs w:val="20"/>
                <w:color w:val="auto"/>
              </w:rPr>
            </w:pPr>
            <w:r>
              <w:rPr>
                <w:rFonts w:ascii="Arial" w:cs="Arial" w:eastAsia="Arial" w:hAnsi="Arial"/>
                <w:sz w:val="18"/>
                <w:szCs w:val="18"/>
                <w:color w:val="auto"/>
              </w:rPr>
              <w:t>67,402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Kodiak 4/5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-98.1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1,189</w:t>
            </w:r>
          </w:p>
        </w:tc>
        <w:tc>
          <w:tcPr>
            <w:tcW w:w="760" w:type="dxa"/>
            <w:vAlign w:val="bottom"/>
          </w:tcPr>
          <w:p>
            <w:pPr>
              <w:jc w:val="right"/>
              <w:spacing w:after="0"/>
              <w:rPr>
                <w:sz w:val="20"/>
                <w:szCs w:val="20"/>
                <w:color w:val="auto"/>
              </w:rPr>
            </w:pPr>
            <w:r>
              <w:rPr>
                <w:rFonts w:ascii="Arial" w:cs="Arial" w:eastAsia="Arial" w:hAnsi="Arial"/>
                <w:sz w:val="18"/>
                <w:szCs w:val="18"/>
                <w:color w:val="auto"/>
              </w:rPr>
              <w:t>3,965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Malibu</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11,651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11,113</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187,250</w:t>
            </w:r>
          </w:p>
        </w:tc>
        <w:tc>
          <w:tcPr>
            <w:tcW w:w="760" w:type="dxa"/>
            <w:vAlign w:val="bottom"/>
          </w:tcPr>
          <w:p>
            <w:pPr>
              <w:jc w:val="right"/>
              <w:spacing w:after="0"/>
              <w:rPr>
                <w:sz w:val="20"/>
                <w:szCs w:val="20"/>
                <w:color w:val="auto"/>
              </w:rPr>
            </w:pPr>
            <w:r>
              <w:rPr>
                <w:rFonts w:ascii="Arial" w:cs="Arial" w:eastAsia="Arial" w:hAnsi="Arial"/>
                <w:sz w:val="18"/>
                <w:szCs w:val="18"/>
                <w:color w:val="auto"/>
              </w:rPr>
              <w:t>142,194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Monte Carlo</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Silverado-C/K Pickup</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25,619</w:t>
            </w:r>
          </w:p>
        </w:tc>
        <w:tc>
          <w:tcPr>
            <w:tcW w:w="620" w:type="dxa"/>
            <w:vAlign w:val="bottom"/>
          </w:tcPr>
          <w:p>
            <w:pPr>
              <w:jc w:val="right"/>
              <w:spacing w:after="0"/>
              <w:rPr>
                <w:sz w:val="20"/>
                <w:szCs w:val="20"/>
                <w:color w:val="auto"/>
              </w:rPr>
            </w:pPr>
            <w:r>
              <w:rPr>
                <w:rFonts w:ascii="Arial" w:cs="Arial" w:eastAsia="Arial" w:hAnsi="Arial"/>
                <w:sz w:val="18"/>
                <w:szCs w:val="18"/>
                <w:color w:val="auto"/>
              </w:rPr>
              <w:t>22,101</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327,617</w:t>
            </w:r>
          </w:p>
        </w:tc>
        <w:tc>
          <w:tcPr>
            <w:tcW w:w="760" w:type="dxa"/>
            <w:vAlign w:val="bottom"/>
          </w:tcPr>
          <w:p>
            <w:pPr>
              <w:jc w:val="right"/>
              <w:spacing w:after="0"/>
              <w:rPr>
                <w:sz w:val="20"/>
                <w:szCs w:val="20"/>
                <w:color w:val="auto"/>
              </w:rPr>
            </w:pPr>
            <w:r>
              <w:rPr>
                <w:rFonts w:ascii="Arial" w:cs="Arial" w:eastAsia="Arial" w:hAnsi="Arial"/>
                <w:sz w:val="18"/>
                <w:szCs w:val="18"/>
                <w:color w:val="auto"/>
              </w:rPr>
              <w:t>283,243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Tahoe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6,325</w:t>
            </w:r>
          </w:p>
        </w:tc>
        <w:tc>
          <w:tcPr>
            <w:tcW w:w="620" w:type="dxa"/>
            <w:vAlign w:val="bottom"/>
          </w:tcPr>
          <w:p>
            <w:pPr>
              <w:jc w:val="right"/>
              <w:spacing w:after="0"/>
              <w:rPr>
                <w:sz w:val="20"/>
                <w:szCs w:val="20"/>
                <w:color w:val="auto"/>
              </w:rPr>
            </w:pPr>
            <w:r>
              <w:rPr>
                <w:rFonts w:ascii="Arial" w:cs="Arial" w:eastAsia="Arial" w:hAnsi="Arial"/>
                <w:sz w:val="18"/>
                <w:szCs w:val="18"/>
                <w:color w:val="auto"/>
              </w:rPr>
              <w:t>6,528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68,193</w:t>
            </w:r>
          </w:p>
        </w:tc>
        <w:tc>
          <w:tcPr>
            <w:tcW w:w="760" w:type="dxa"/>
            <w:vAlign w:val="bottom"/>
          </w:tcPr>
          <w:p>
            <w:pPr>
              <w:jc w:val="right"/>
              <w:spacing w:after="0"/>
              <w:rPr>
                <w:sz w:val="20"/>
                <w:szCs w:val="20"/>
                <w:color w:val="auto"/>
              </w:rPr>
            </w:pPr>
            <w:r>
              <w:rPr>
                <w:rFonts w:ascii="Arial" w:cs="Arial" w:eastAsia="Arial" w:hAnsi="Arial"/>
                <w:sz w:val="18"/>
                <w:szCs w:val="18"/>
                <w:color w:val="auto"/>
              </w:rPr>
              <w:t>63,971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Traverse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9,954</w:t>
            </w:r>
          </w:p>
        </w:tc>
        <w:tc>
          <w:tcPr>
            <w:tcW w:w="620" w:type="dxa"/>
            <w:vAlign w:val="bottom"/>
          </w:tcPr>
          <w:p>
            <w:pPr>
              <w:jc w:val="right"/>
              <w:spacing w:after="0"/>
              <w:rPr>
                <w:sz w:val="20"/>
                <w:szCs w:val="20"/>
                <w:color w:val="auto"/>
              </w:rPr>
            </w:pPr>
            <w:r>
              <w:rPr>
                <w:rFonts w:ascii="Arial" w:cs="Arial" w:eastAsia="Arial" w:hAnsi="Arial"/>
                <w:sz w:val="18"/>
                <w:szCs w:val="18"/>
                <w:color w:val="auto"/>
              </w:rPr>
              <w:t>7,054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96,221</w:t>
            </w:r>
          </w:p>
        </w:tc>
        <w:tc>
          <w:tcPr>
            <w:tcW w:w="760" w:type="dxa"/>
            <w:vAlign w:val="bottom"/>
          </w:tcPr>
          <w:p>
            <w:pPr>
              <w:jc w:val="right"/>
              <w:spacing w:after="0"/>
              <w:rPr>
                <w:sz w:val="20"/>
                <w:szCs w:val="20"/>
                <w:color w:val="auto"/>
              </w:rPr>
            </w:pPr>
            <w:r>
              <w:rPr>
                <w:rFonts w:ascii="Arial" w:cs="Arial" w:eastAsia="Arial" w:hAnsi="Arial"/>
                <w:sz w:val="18"/>
                <w:szCs w:val="18"/>
                <w:color w:val="auto"/>
              </w:rPr>
              <w:t>82,210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Chevrolet Total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117,588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100,023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1,417,672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1,209,007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Acadia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Canyon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62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7,166</w:t>
            </w:r>
          </w:p>
        </w:tc>
        <w:tc>
          <w:tcPr>
            <w:tcW w:w="760" w:type="dxa"/>
            <w:vAlign w:val="bottom"/>
          </w:tcPr>
          <w:p>
            <w:pPr>
              <w:jc w:val="right"/>
              <w:spacing w:after="0"/>
              <w:rPr>
                <w:sz w:val="20"/>
                <w:szCs w:val="20"/>
                <w:color w:val="auto"/>
              </w:rPr>
            </w:pPr>
            <w:r>
              <w:rPr>
                <w:rFonts w:ascii="Arial" w:cs="Arial" w:eastAsia="Arial" w:hAnsi="Arial"/>
                <w:sz w:val="18"/>
                <w:szCs w:val="18"/>
                <w:color w:val="auto"/>
              </w:rPr>
              <w:t>9,481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Envoy</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GMC C/T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GMC W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Savana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62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12,792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11,118</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Sierra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Terrain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5,902</w:t>
            </w:r>
          </w:p>
        </w:tc>
        <w:tc>
          <w:tcPr>
            <w:tcW w:w="620" w:type="dxa"/>
            <w:vAlign w:val="bottom"/>
          </w:tcPr>
          <w:p>
            <w:pPr>
              <w:jc w:val="right"/>
              <w:spacing w:after="0"/>
              <w:rPr>
                <w:sz w:val="20"/>
                <w:szCs w:val="20"/>
                <w:color w:val="auto"/>
              </w:rPr>
            </w:pPr>
            <w:r>
              <w:rPr>
                <w:rFonts w:ascii="Arial" w:cs="Arial" w:eastAsia="Arial" w:hAnsi="Arial"/>
                <w:sz w:val="18"/>
                <w:szCs w:val="18"/>
                <w:color w:val="auto"/>
              </w:rPr>
              <w:t>3,683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51,216</w:t>
            </w:r>
          </w:p>
        </w:tc>
        <w:tc>
          <w:tcPr>
            <w:tcW w:w="760" w:type="dxa"/>
            <w:vAlign w:val="bottom"/>
          </w:tcPr>
          <w:p>
            <w:pPr>
              <w:jc w:val="right"/>
              <w:spacing w:after="0"/>
              <w:rPr>
                <w:sz w:val="20"/>
                <w:szCs w:val="20"/>
                <w:color w:val="auto"/>
              </w:rPr>
            </w:pPr>
            <w:r>
              <w:rPr>
                <w:rFonts w:ascii="Arial" w:cs="Arial" w:eastAsia="Arial" w:hAnsi="Arial"/>
                <w:sz w:val="18"/>
                <w:szCs w:val="18"/>
                <w:color w:val="auto"/>
              </w:rPr>
              <w:t>8,486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Topkick 4/5 Series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Topkick 6/7/8 Series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760" w:type="dxa"/>
            <w:vAlign w:val="bottom"/>
          </w:tcPr>
          <w:p>
            <w:pPr>
              <w:jc w:val="right"/>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Yukon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Yukon XL</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2,470</w:t>
            </w: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21,239</w:t>
            </w:r>
          </w:p>
        </w:tc>
        <w:tc>
          <w:tcPr>
            <w:tcW w:w="760" w:type="dxa"/>
            <w:vAlign w:val="bottom"/>
          </w:tcPr>
          <w:p>
            <w:pPr>
              <w:jc w:val="right"/>
              <w:spacing w:after="0"/>
              <w:rPr>
                <w:sz w:val="20"/>
                <w:szCs w:val="20"/>
                <w:color w:val="auto"/>
              </w:rPr>
            </w:pPr>
            <w:r>
              <w:rPr>
                <w:rFonts w:ascii="Arial" w:cs="Arial" w:eastAsia="Arial" w:hAnsi="Arial"/>
                <w:sz w:val="18"/>
                <w:szCs w:val="18"/>
                <w:color w:val="auto"/>
              </w:rPr>
              <w:t>14,866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GMC Total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27,590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420"/>
              <w:spacing w:after="0"/>
              <w:rPr>
                <w:sz w:val="20"/>
                <w:szCs w:val="20"/>
                <w:color w:val="auto"/>
              </w:rPr>
            </w:pPr>
            <w:r>
              <w:rPr>
                <w:rFonts w:ascii="Arial" w:cs="Arial" w:eastAsia="Arial" w:hAnsi="Arial"/>
                <w:sz w:val="18"/>
                <w:szCs w:val="18"/>
                <w:b w:val="1"/>
                <w:bCs w:val="1"/>
                <w:color w:val="auto"/>
              </w:rPr>
              <w:t>Brand 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168,704</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139,672</w:t>
            </w:r>
          </w:p>
        </w:tc>
        <w:tc>
          <w:tcPr>
            <w:tcW w:w="2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1,978,995</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1,621,982</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HUMMER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Pontiac Total</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7,426</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1,052</w:t>
            </w:r>
          </w:p>
        </w:tc>
        <w:tc>
          <w:tcPr>
            <w:tcW w:w="760" w:type="dxa"/>
            <w:vAlign w:val="bottom"/>
          </w:tcPr>
          <w:p>
            <w:pPr>
              <w:jc w:val="right"/>
              <w:spacing w:after="0"/>
              <w:rPr>
                <w:sz w:val="20"/>
                <w:szCs w:val="20"/>
                <w:color w:val="auto"/>
              </w:rPr>
            </w:pPr>
            <w:r>
              <w:rPr>
                <w:rFonts w:ascii="Arial" w:cs="Arial" w:eastAsia="Arial" w:hAnsi="Arial"/>
                <w:sz w:val="18"/>
                <w:szCs w:val="18"/>
                <w:color w:val="auto"/>
              </w:rPr>
              <w:t>169,890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Saab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Saturn Total</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6,613</w:t>
            </w:r>
          </w:p>
        </w:tc>
        <w:tc>
          <w:tcPr>
            <w:tcW w:w="760" w:type="dxa"/>
            <w:vAlign w:val="bottom"/>
          </w:tcPr>
          <w:p>
            <w:pPr>
              <w:jc w:val="right"/>
              <w:spacing w:after="0"/>
              <w:rPr>
                <w:sz w:val="20"/>
                <w:szCs w:val="20"/>
                <w:color w:val="auto"/>
              </w:rPr>
            </w:pPr>
            <w:r>
              <w:rPr>
                <w:rFonts w:ascii="Arial" w:cs="Arial" w:eastAsia="Arial" w:hAnsi="Arial"/>
                <w:sz w:val="18"/>
                <w:szCs w:val="18"/>
                <w:color w:val="auto"/>
              </w:rPr>
              <w:t>67,576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12,047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253,999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b w:val="1"/>
                <w:bCs w:val="1"/>
                <w:color w:val="auto"/>
              </w:rPr>
              <w:t>GM 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168,739</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151,427</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1,991,042</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1,875,981</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8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Page 1 of 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88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2019-12-11T08:11:35Z</dcterms:created>
  <dcterms:modified xsi:type="dcterms:W3CDTF">2019-12-11T08:11:35Z</dcterms:modified>
</cp:coreProperties>
</file>