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Carlisle Stephen K.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6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121,905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168,075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49,583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118,492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Common Stock was acquired upon the vesting of Performance Share Units granted to the Reporting Person on 2/12/2020, 10/1/2020, and 12/1/2020, respectively. The awards were earned based upon the achievement of certain financial targets.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Carlisle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77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2023-02-14T18:17:19Z</dcterms:created>
  <dcterms:modified xsi:type="dcterms:W3CDTF">2023-02-14T18:17:19Z</dcterms:modified>
</cp:coreProperties>
</file>