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Glidden Craig B.</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15" w:lineRule="auto"/>
        <w:rPr>
          <w:sz w:val="20"/>
          <w:szCs w:val="20"/>
          <w:color w:val="auto"/>
        </w:rPr>
      </w:pPr>
      <w:r>
        <w:rPr>
          <w:rFonts w:ascii="Arial" w:cs="Arial" w:eastAsia="Arial" w:hAnsi="Arial"/>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11/17/2021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85"/>
        <w:spacing w:after="0"/>
        <w:rPr>
          <w:sz w:val="20"/>
          <w:szCs w:val="20"/>
          <w:color w:val="auto"/>
        </w:rPr>
      </w:pPr>
      <w:r>
        <w:rPr>
          <w:rFonts w:ascii="Arial" w:cs="Arial" w:eastAsia="Arial" w:hAnsi="Arial"/>
          <w:sz w:val="17"/>
          <w:szCs w:val="17"/>
          <w:color w:val="0000FF"/>
        </w:rPr>
        <w:t>Executive Vice President &amp; GC</w:t>
      </w:r>
    </w:p>
    <w:p>
      <w:pPr>
        <w:spacing w:after="0" w:line="45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6"/>
          </w:tcPr>
          <w:p>
            <w:pPr>
              <w:ind w:left="140"/>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10"/>
          </w:tcPr>
          <w:p>
            <w:pPr>
              <w:ind w:left="4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48265-3000</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11/17/2021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7,204</w:t>
            </w:r>
            <w:r>
              <w:rPr>
                <w:rFonts w:ascii="Arial" w:cs="Arial" w:eastAsia="Arial" w:hAnsi="Arial"/>
                <w:sz w:val="22"/>
                <w:szCs w:val="22"/>
                <w:color w:val="008000"/>
                <w:w w:val="85"/>
                <w:vertAlign w:val="superscript"/>
              </w:rPr>
              <w:t>(1)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right="9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65</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w w:val="91"/>
              </w:rPr>
              <w:t>147,370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11/18/2021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3,000</w:t>
            </w:r>
            <w:r>
              <w:rPr>
                <w:rFonts w:ascii="Arial" w:cs="Arial" w:eastAsia="Arial" w:hAnsi="Arial"/>
                <w:sz w:val="22"/>
                <w:szCs w:val="22"/>
                <w:color w:val="008000"/>
                <w:w w:val="85"/>
                <w:vertAlign w:val="superscript"/>
              </w:rPr>
              <w:t>(1)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65.03</w:t>
            </w:r>
            <w:r>
              <w:rPr>
                <w:rFonts w:ascii="Arial" w:cs="Arial" w:eastAsia="Arial" w:hAnsi="Arial"/>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w w:val="91"/>
              </w:rPr>
              <w:t>144,370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in this Form 4 were effected pursuant to a Rule 10b5-1 trading plan.</w:t>
      </w:r>
    </w:p>
    <w:p>
      <w:pPr>
        <w:spacing w:after="0" w:line="50" w:lineRule="exact"/>
        <w:rPr>
          <w:rFonts w:ascii="Arial" w:cs="Arial" w:eastAsia="Arial" w:hAnsi="Arial"/>
          <w:sz w:val="13"/>
          <w:szCs w:val="13"/>
          <w:color w:val="008000"/>
        </w:rPr>
      </w:pPr>
    </w:p>
    <w:p>
      <w:pPr>
        <w:ind w:left="40" w:right="30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$65.00 to $65.02, inclusive. The Reporting Person undertakes to provide to the SEC, GM and any security holder, upon request, full information regarding the number of shares sold at each price point within the ranges set forth in this footnote.</w:t>
      </w:r>
    </w:p>
    <w:p>
      <w:pPr>
        <w:ind w:left="40" w:right="30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$65.00 to $65.11, inclusive. The Reporting Person undertakes to provide to the SEC, GM and any security holder, upon request, full information regarding the number of shares sold at each price point within the ranges set forth in this footnote.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11/19/2021</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 for Mr. Glidden</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0030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2021-11-19T16:19:53Z</dcterms:created>
  <dcterms:modified xsi:type="dcterms:W3CDTF">2021-11-19T16:19:53Z</dcterms:modified>
</cp:coreProperties>
</file>