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Suryadevara Dhivya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482-C23-A68</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48207</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Executive Vice President &amp;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25,617</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4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4"/>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gridSpan w:val="6"/>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30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8"/>
              </w:rPr>
              <w:t>2,210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Employee Stock Option (Right to Buy)</w:t>
            </w:r>
            <w:r>
              <w:rPr>
                <w:rFonts w:ascii="Arial" w:cs="Arial" w:eastAsia="Arial" w:hAnsi="Arial"/>
                <w:sz w:val="22"/>
                <w:szCs w:val="22"/>
                <w:color w:val="008000"/>
                <w:w w:val="94"/>
                <w:vertAlign w:val="superscript"/>
              </w:rPr>
              <w:t>(3)</w:t>
            </w:r>
          </w:p>
        </w:tc>
        <w:tc>
          <w:tcPr>
            <w:tcW w:w="130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02/28/2025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6"/>
              </w:rPr>
              <w:t>113,883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31.32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Employee Stock Option (Right to Buy)</w:t>
            </w:r>
            <w:r>
              <w:rPr>
                <w:rFonts w:ascii="Arial" w:cs="Arial" w:eastAsia="Arial" w:hAnsi="Arial"/>
                <w:sz w:val="22"/>
                <w:szCs w:val="22"/>
                <w:color w:val="008000"/>
                <w:w w:val="94"/>
                <w:vertAlign w:val="superscript"/>
              </w:rPr>
              <w:t>(4)</w:t>
            </w:r>
          </w:p>
        </w:tc>
        <w:tc>
          <w:tcPr>
            <w:tcW w:w="130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06/07/2027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7"/>
              </w:rPr>
              <w:t>36,898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34.34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Employee Stock Option (Right to Buy)</w:t>
            </w:r>
            <w:r>
              <w:rPr>
                <w:rFonts w:ascii="Arial" w:cs="Arial" w:eastAsia="Arial" w:hAnsi="Arial"/>
                <w:sz w:val="22"/>
                <w:szCs w:val="22"/>
                <w:color w:val="008000"/>
                <w:w w:val="94"/>
                <w:vertAlign w:val="superscript"/>
              </w:rPr>
              <w:t>(5)</w:t>
            </w:r>
          </w:p>
        </w:tc>
        <w:tc>
          <w:tcPr>
            <w:tcW w:w="130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02/13/2028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7"/>
              </w:rPr>
              <w:t>22,193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41.4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RSUs were awarded on February 10, 2016 and will vest on February 10, 2019. Each RSU represents a right to receive one share of the Company's Common Stock upon settlement.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July 28, 2015. 60% of the options have vested. 20% vest on February 15, 2019 upon GM meeting or exceeding the median Total Shareholder Return ("TSR") of the original equipment manufacturers, other than GM, as of the grant date in the Dow Jones Automobiles and Parts Titan 30 Index ("OEM Peer Group") for the period July 28, 2015 through December 31, 2018; and the remaining 20% will vest on February 15, 2020 upon GM meeting or exceeding the median TSR of the OEM Peer Group for the period July 28, 2015 through December 31, 2019.</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June 7, 2017 and began being settled in three equal, annual installments on February 14,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February 13, 2018 and will vest annually in three equal installments beginning February 13,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/s/ Tia Y. Turk, Attorney-in-</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09/11/2018</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8"/>
              </w:rPr>
              <w:t>Fact for Ms. Suryadevara</w:t>
            </w:r>
          </w:p>
        </w:tc>
        <w:tc>
          <w:tcPr>
            <w:tcW w:w="18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0" w:type="dxa"/>
            <w:vAlign w:val="bottom"/>
            <w:tcBorders>
              <w:top w:val="single" w:sz="8" w:color="auto"/>
              <w:bottom w:val="single" w:sz="8" w:color="auto"/>
            </w:tcBorders>
            <w:vMerge w:val="continue"/>
          </w:tcPr>
          <w:p>
            <w:pPr>
              <w:spacing w:after="0"/>
              <w:rPr>
                <w:sz w:val="7"/>
                <w:szCs w:val="7"/>
                <w:color w:val="auto"/>
              </w:rPr>
            </w:pPr>
          </w:p>
        </w:tc>
        <w:tc>
          <w:tcPr>
            <w:tcW w:w="18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51582"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2019-12-24T07:27:55Z</dcterms:created>
  <dcterms:modified xsi:type="dcterms:W3CDTF">2019-12-24T07:27:55Z</dcterms:modified>
</cp:coreProperties>
</file>