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PURSUANT TO SECTION 13 OR 15(d)</w:t>
      </w:r>
    </w:p>
    <w:p>
      <w:pPr>
        <w:spacing w:after="0" w:line="1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OF THE SECURITIES EXCHANGE ACT OF 1934</w:t>
      </w:r>
    </w:p>
    <w:p>
      <w:pPr>
        <w:spacing w:after="0" w:line="1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Date of Report (Date of earliest event reported) February 11,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1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5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tbl>
      <w:tblPr>
        <w:tblLayout w:type="fixed"/>
        <w:tblInd w:w="1140" w:type="dxa"/>
        <w:tblCellMar>
          <w:top w:w="0" w:type="dxa"/>
          <w:left w:w="0" w:type="dxa"/>
          <w:bottom w:w="0" w:type="dxa"/>
          <w:right w:w="0" w:type="dxa"/>
        </w:tblCellMar>
      </w:tblPr>
      <w:tr>
        <w:trPr>
          <w:trHeight w:val="238"/>
        </w:trPr>
        <w:tc>
          <w:tcPr>
            <w:tcW w:w="4100" w:type="dxa"/>
            <w:vAlign w:val="bottom"/>
          </w:tcPr>
          <w:p>
            <w:pPr>
              <w:jc w:val="center"/>
              <w:ind w:right="2401"/>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2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001-34960</w:t>
            </w:r>
          </w:p>
        </w:tc>
        <w:tc>
          <w:tcPr>
            <w:tcW w:w="2520" w:type="dxa"/>
            <w:vAlign w:val="bottom"/>
          </w:tcPr>
          <w:p>
            <w:pPr>
              <w:jc w:val="center"/>
              <w:ind w:left="1301"/>
              <w:spacing w:after="0"/>
              <w:rPr>
                <w:sz w:val="20"/>
                <w:szCs w:val="20"/>
                <w:color w:val="auto"/>
              </w:rPr>
            </w:pPr>
            <w:r>
              <w:rPr>
                <w:rFonts w:ascii="Times New Roman" w:cs="Times New Roman" w:eastAsia="Times New Roman" w:hAnsi="Times New Roman"/>
                <w:sz w:val="18"/>
                <w:szCs w:val="18"/>
                <w:b w:val="1"/>
                <w:bCs w:val="1"/>
                <w:color w:val="auto"/>
                <w:w w:val="98"/>
              </w:rPr>
              <w:t>27-0756180</w:t>
            </w:r>
          </w:p>
        </w:tc>
      </w:tr>
      <w:tr>
        <w:trPr>
          <w:trHeight w:val="178"/>
        </w:trPr>
        <w:tc>
          <w:tcPr>
            <w:tcW w:w="4100" w:type="dxa"/>
            <w:vAlign w:val="bottom"/>
          </w:tcPr>
          <w:p>
            <w:pPr>
              <w:jc w:val="center"/>
              <w:ind w:right="2381"/>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20" w:type="dxa"/>
            <w:vAlign w:val="bottom"/>
          </w:tcPr>
          <w:p>
            <w:pPr>
              <w:jc w:val="center"/>
              <w:ind w:left="130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100" w:type="dxa"/>
            <w:vAlign w:val="bottom"/>
          </w:tcPr>
          <w:p>
            <w:pPr>
              <w:jc w:val="center"/>
              <w:ind w:right="2381"/>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20" w:type="dxa"/>
            <w:vAlign w:val="bottom"/>
          </w:tcPr>
          <w:p>
            <w:pPr>
              <w:jc w:val="center"/>
              <w:ind w:left="13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23"/>
        </w:trPr>
        <w:tc>
          <w:tcPr>
            <w:tcW w:w="6500" w:type="dxa"/>
            <w:vAlign w:val="bottom"/>
            <w:gridSpan w:val="2"/>
          </w:tcPr>
          <w:p>
            <w:pPr>
              <w:jc w:val="center"/>
              <w:ind w:right="1022"/>
              <w:spacing w:after="0"/>
              <w:rPr>
                <w:sz w:val="20"/>
                <w:szCs w:val="20"/>
                <w:color w:val="auto"/>
              </w:rPr>
            </w:pPr>
            <w:r>
              <w:rPr>
                <w:rFonts w:ascii="Times New Roman" w:cs="Times New Roman" w:eastAsia="Times New Roman" w:hAnsi="Times New Roman"/>
                <w:sz w:val="18"/>
                <w:szCs w:val="18"/>
                <w:b w:val="1"/>
                <w:bCs w:val="1"/>
                <w:color w:val="auto"/>
                <w:w w:val="99"/>
              </w:rPr>
              <w:t>300 Renaissance Center, Detroit, Michigan</w:t>
            </w:r>
          </w:p>
        </w:tc>
        <w:tc>
          <w:tcPr>
            <w:tcW w:w="2520" w:type="dxa"/>
            <w:vAlign w:val="bottom"/>
          </w:tcPr>
          <w:p>
            <w:pPr>
              <w:jc w:val="center"/>
              <w:ind w:left="1301"/>
              <w:spacing w:after="0"/>
              <w:rPr>
                <w:sz w:val="20"/>
                <w:szCs w:val="20"/>
                <w:color w:val="auto"/>
              </w:rPr>
            </w:pPr>
            <w:r>
              <w:rPr>
                <w:rFonts w:ascii="Times New Roman" w:cs="Times New Roman" w:eastAsia="Times New Roman" w:hAnsi="Times New Roman"/>
                <w:sz w:val="18"/>
                <w:szCs w:val="18"/>
                <w:b w:val="1"/>
                <w:bCs w:val="1"/>
                <w:color w:val="auto"/>
                <w:w w:val="98"/>
              </w:rPr>
              <w:t>48265-3000</w:t>
            </w:r>
          </w:p>
        </w:tc>
      </w:tr>
      <w:tr>
        <w:trPr>
          <w:trHeight w:val="220"/>
        </w:trPr>
        <w:tc>
          <w:tcPr>
            <w:tcW w:w="410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00" w:type="dxa"/>
            <w:vAlign w:val="bottom"/>
          </w:tcPr>
          <w:p>
            <w:pPr>
              <w:spacing w:after="0"/>
              <w:rPr>
                <w:sz w:val="19"/>
                <w:szCs w:val="19"/>
                <w:color w:val="auto"/>
              </w:rPr>
            </w:pPr>
          </w:p>
        </w:tc>
        <w:tc>
          <w:tcPr>
            <w:tcW w:w="2520" w:type="dxa"/>
            <w:vAlign w:val="bottom"/>
          </w:tcPr>
          <w:p>
            <w:pPr>
              <w:jc w:val="center"/>
              <w:ind w:left="13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7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63"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365" w:lineRule="exact"/>
        <w:rPr>
          <w:rFonts w:ascii="MS PGothic" w:cs="MS PGothic" w:eastAsia="MS PGothic" w:hAnsi="MS PGothic"/>
          <w:sz w:val="14"/>
          <w:szCs w:val="14"/>
          <w:color w:val="auto"/>
        </w:rPr>
      </w:pPr>
    </w:p>
    <w:p>
      <w:pPr>
        <w:ind w:left="500" w:hanging="465"/>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365" w:lineRule="exact"/>
        <w:rPr>
          <w:rFonts w:ascii="MS PGothic" w:cs="MS PGothic" w:eastAsia="MS PGothic" w:hAnsi="MS PGothic"/>
          <w:sz w:val="14"/>
          <w:szCs w:val="14"/>
          <w:color w:val="auto"/>
        </w:rPr>
      </w:pPr>
    </w:p>
    <w:p>
      <w:pPr>
        <w:ind w:left="500" w:hanging="465"/>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365" w:lineRule="exact"/>
        <w:rPr>
          <w:rFonts w:ascii="MS PGothic" w:cs="MS PGothic" w:eastAsia="MS PGothic" w:hAnsi="MS PGothic"/>
          <w:sz w:val="14"/>
          <w:szCs w:val="14"/>
          <w:color w:val="auto"/>
        </w:rPr>
      </w:pPr>
    </w:p>
    <w:p>
      <w:pPr>
        <w:ind w:left="500" w:hanging="465"/>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55" w:lineRule="exact"/>
        <w:rPr>
          <w:sz w:val="24"/>
          <w:szCs w:val="24"/>
          <w:color w:val="auto"/>
        </w:rPr>
      </w:pPr>
    </w:p>
    <w:p>
      <w:pPr>
        <w:ind w:right="320" w:firstLine="36"/>
        <w:spacing w:after="0" w:line="26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86"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ectPr>
          <w:pgSz w:w="11900" w:h="16838" w:orient="portrait"/>
          <w:cols w:equalWidth="0" w:num="1">
            <w:col w:w="11260"/>
          </w:cols>
          <w:pgMar w:left="240" w:top="691" w:right="399" w:bottom="1440" w:gutter="0" w:footer="0" w:header="0"/>
        </w:sectPr>
      </w:pPr>
    </w:p>
    <w:bookmarkStart w:id="1" w:name="page2"/>
    <w:bookmarkEnd w:id="1"/>
    <w:p>
      <w:pPr>
        <w:ind w:left="1420" w:right="320" w:hanging="1377"/>
        <w:spacing w:after="0" w:line="273" w:lineRule="auto"/>
        <w:tabs>
          <w:tab w:leader="none" w:pos="1400" w:val="left"/>
        </w:tabs>
        <w:rPr>
          <w:sz w:val="20"/>
          <w:szCs w:val="20"/>
          <w:color w:val="auto"/>
        </w:rPr>
      </w:pPr>
      <w:r>
        <w:rPr>
          <w:rFonts w:ascii="Times New Roman" w:cs="Times New Roman" w:eastAsia="Times New Roman" w:hAnsi="Times New Roman"/>
          <w:sz w:val="20"/>
          <w:szCs w:val="20"/>
          <w:b w:val="1"/>
          <w:bCs w:val="1"/>
          <w:color w:val="auto"/>
        </w:rPr>
        <w:t>Item 5.02.</w:t>
      </w:r>
      <w:r>
        <w:rPr>
          <w:sz w:val="20"/>
          <w:szCs w:val="20"/>
          <w:color w:val="auto"/>
        </w:rPr>
        <w:tab/>
      </w:r>
      <w:r>
        <w:rPr>
          <w:rFonts w:ascii="Times New Roman" w:cs="Times New Roman" w:eastAsia="Times New Roman" w:hAnsi="Times New Roman"/>
          <w:sz w:val="20"/>
          <w:szCs w:val="20"/>
          <w:b w:val="1"/>
          <w:bCs w:val="1"/>
          <w:color w:val="auto"/>
        </w:rPr>
        <w:t>Departure of Directors or Certain Officers; Election of Directors; Appointment of Certain Officers; Compensatory Arrangements of Certain Officers.</w:t>
      </w:r>
    </w:p>
    <w:p>
      <w:pPr>
        <w:spacing w:after="0" w:line="197" w:lineRule="exact"/>
        <w:rPr>
          <w:sz w:val="20"/>
          <w:szCs w:val="20"/>
          <w:color w:val="auto"/>
        </w:rPr>
      </w:pPr>
    </w:p>
    <w:p>
      <w:pPr>
        <w:jc w:val="both"/>
        <w:ind w:firstLine="8"/>
        <w:spacing w:after="0" w:line="249" w:lineRule="auto"/>
        <w:tabs>
          <w:tab w:leader="none" w:pos="294" w:val="left"/>
        </w:tabs>
        <w:numPr>
          <w:ilvl w:val="0"/>
          <w:numId w:val="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On February 11, 2019, the Board of Directors (the “Board”) of General Motors Company (“GM”) elected Wesley G. "Wes" Bush as a member of the Board. The Board has determined that Mr. Bush is an independent director under New York Stock Exchange listing standards and GM’s independence guidelines, as set forth in its Corporate Governance Guidelines. Mr. Bush has not yet been named to any committees of the Board.</w:t>
      </w:r>
    </w:p>
    <w:p>
      <w:pPr>
        <w:spacing w:after="0" w:line="19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Like the other non-employee members of the Board, Mr. Bush will receive an annual retainer of $285,000 for his service on the Board (prorated to reflect the date his service began) and personal accident insurance and will participate in the company vehicle program.</w:t>
      </w:r>
    </w:p>
    <w:p>
      <w:pPr>
        <w:spacing w:after="0" w:line="1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Under the General Motors Company Deferred Compensation Plan for Non-Employee Directors (the “Plan”), Mr. Bush is required to defer 50% of his annual Board retainer into GM’s Deferred Share Units (“DSUs”) and may elect to defer all or 50% of his remaining Board compensation in additional DSUs. Amounts deferred and credited as DSUs under the Plan will not be available until after Mr. Bush retires or otherwise leaves the Board, at which time he will receive a cash payment or payments based on the number of DSUs in his account, valued at the average daily market price for the quarter immediately preceding payment.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copy of the press release announcing Mr. Bush’s election is attached hereto as Exhibit 99.1 and incorporated herein by reference.</w:t>
      </w:r>
    </w:p>
    <w:p>
      <w:pPr>
        <w:spacing w:after="0" w:line="387"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72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Exhibit</w:t>
            </w:r>
          </w:p>
        </w:tc>
        <w:tc>
          <w:tcPr>
            <w:tcW w:w="40" w:type="dxa"/>
            <w:vAlign w:val="bottom"/>
          </w:tcPr>
          <w:p>
            <w:pPr>
              <w:spacing w:after="0"/>
              <w:rPr>
                <w:sz w:val="22"/>
                <w:szCs w:val="22"/>
                <w:color w:val="auto"/>
              </w:rPr>
            </w:pPr>
          </w:p>
        </w:tc>
        <w:tc>
          <w:tcPr>
            <w:tcW w:w="9660" w:type="dxa"/>
            <w:vAlign w:val="bottom"/>
            <w:gridSpan w:val="2"/>
          </w:tcPr>
          <w:p>
            <w:pPr>
              <w:ind w:left="4340"/>
              <w:spacing w:after="0"/>
              <w:rPr>
                <w:sz w:val="20"/>
                <w:szCs w:val="20"/>
                <w:color w:val="auto"/>
              </w:rPr>
            </w:pPr>
            <w:r>
              <w:rPr>
                <w:rFonts w:ascii="Times New Roman" w:cs="Times New Roman" w:eastAsia="Times New Roman" w:hAnsi="Times New Roman"/>
                <w:sz w:val="20"/>
                <w:szCs w:val="20"/>
                <w:color w:val="auto"/>
              </w:rPr>
              <w:t>Description</w:t>
            </w:r>
          </w:p>
        </w:tc>
      </w:tr>
      <w:tr>
        <w:trPr>
          <w:trHeight w:val="426"/>
        </w:trPr>
        <w:tc>
          <w:tcPr>
            <w:tcW w:w="13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r>
      <w:tr>
        <w:trPr>
          <w:trHeight w:val="210"/>
        </w:trPr>
        <w:tc>
          <w:tcPr>
            <w:tcW w:w="1720" w:type="dxa"/>
            <w:vAlign w:val="bottom"/>
            <w:gridSpan w:val="2"/>
          </w:tcPr>
          <w:p>
            <w:pPr>
              <w:ind w:left="40"/>
              <w:spacing w:after="0" w:line="209" w:lineRule="exact"/>
              <w:rPr>
                <w:sz w:val="20"/>
                <w:szCs w:val="20"/>
                <w:color w:val="auto"/>
              </w:rPr>
            </w:pPr>
            <w:r>
              <w:rPr>
                <w:rFonts w:ascii="Times New Roman" w:cs="Times New Roman" w:eastAsia="Times New Roman" w:hAnsi="Times New Roman"/>
                <w:sz w:val="20"/>
                <w:szCs w:val="20"/>
                <w:color w:val="auto"/>
              </w:rPr>
              <w:t>Exhibit 99.1</w:t>
            </w:r>
          </w:p>
        </w:tc>
        <w:tc>
          <w:tcPr>
            <w:tcW w:w="40" w:type="dxa"/>
            <w:vAlign w:val="bottom"/>
          </w:tcPr>
          <w:p>
            <w:pPr>
              <w:spacing w:after="0"/>
              <w:rPr>
                <w:sz w:val="18"/>
                <w:szCs w:val="18"/>
                <w:color w:val="auto"/>
              </w:rPr>
            </w:pPr>
          </w:p>
        </w:tc>
        <w:tc>
          <w:tcPr>
            <w:tcW w:w="9660" w:type="dxa"/>
            <w:vAlign w:val="bottom"/>
            <w:gridSpan w:val="2"/>
          </w:tcPr>
          <w:p>
            <w:pPr>
              <w:spacing w:after="0" w:line="209" w:lineRule="exact"/>
              <w:rPr>
                <w:rFonts w:ascii="Times New Roman" w:cs="Times New Roman" w:eastAsia="Times New Roman" w:hAnsi="Times New Roman"/>
                <w:sz w:val="20"/>
                <w:szCs w:val="20"/>
                <w:color w:val="0000FF"/>
              </w:rPr>
            </w:pPr>
            <w:hyperlink w:anchor="page4">
              <w:r>
                <w:rPr>
                  <w:rFonts w:ascii="Times New Roman" w:cs="Times New Roman" w:eastAsia="Times New Roman" w:hAnsi="Times New Roman"/>
                  <w:sz w:val="20"/>
                  <w:szCs w:val="20"/>
                  <w:color w:val="0000FF"/>
                </w:rPr>
                <w:t>Press Release issued by General Motors Company, dated February 11, 2019.</w:t>
              </w:r>
            </w:hyperlink>
          </w:p>
        </w:tc>
      </w:tr>
      <w:tr>
        <w:trPr>
          <w:trHeight w:val="20"/>
        </w:trPr>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40" w:type="dxa"/>
            <w:vAlign w:val="bottom"/>
            <w:shd w:val="clear" w:color="auto" w:fill="0000FF"/>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bl>
    <w:p>
      <w:pPr>
        <w:sectPr>
          <w:pgSz w:w="11900" w:h="16838" w:orient="portrait"/>
          <w:cols w:equalWidth="0" w:num="1">
            <w:col w:w="11420"/>
          </w:cols>
          <w:pgMar w:left="240" w:top="747" w:right="23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20" w:lineRule="exact"/>
        <w:rPr>
          <w:sz w:val="20"/>
          <w:szCs w:val="20"/>
          <w:color w:val="auto"/>
        </w:rPr>
      </w:pPr>
    </w:p>
    <w:p>
      <w:pPr>
        <w:ind w:firstLine="446"/>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0"/>
          <w:szCs w:val="20"/>
          <w:u w:val="single" w:color="auto"/>
          <w:color w:val="auto"/>
        </w:rPr>
        <w:t>GENERAL MOTORS COMPANY</w:t>
      </w:r>
    </w:p>
    <w:p>
      <w:pPr>
        <w:spacing w:after="0" w:line="54"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0"/>
          <w:szCs w:val="20"/>
          <w:color w:val="auto"/>
        </w:rPr>
        <w:t>(Registrant)</w:t>
      </w:r>
    </w:p>
    <w:p>
      <w:pPr>
        <w:spacing w:after="0" w:line="324"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0"/>
          <w:szCs w:val="20"/>
          <w:color w:val="auto"/>
        </w:rPr>
        <w:t>/s/ Rick E.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31115</wp:posOffset>
            </wp:positionV>
            <wp:extent cx="3155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34" w:lineRule="exact"/>
        <w:rPr>
          <w:sz w:val="20"/>
          <w:szCs w:val="20"/>
          <w:color w:val="auto"/>
        </w:rPr>
      </w:pPr>
    </w:p>
    <w:p>
      <w:pPr>
        <w:ind w:left="5660"/>
        <w:spacing w:after="0"/>
        <w:tabs>
          <w:tab w:leader="none" w:pos="64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Rick E. Hansen</w:t>
      </w:r>
    </w:p>
    <w:p>
      <w:pPr>
        <w:spacing w:after="0" w:line="6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0"/>
          <w:szCs w:val="20"/>
          <w:color w:val="auto"/>
        </w:rPr>
        <w:t>Assistant General Counsel and</w:t>
      </w:r>
    </w:p>
    <w:p>
      <w:pPr>
        <w:spacing w:after="0" w:line="22"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0"/>
          <w:szCs w:val="20"/>
          <w:color w:val="auto"/>
        </w:rPr>
        <w:t>Corporate Secretary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11, 2019</w:t>
      </w:r>
    </w:p>
    <w:p>
      <w:pPr>
        <w:sectPr>
          <w:pgSz w:w="11900" w:h="16838" w:orient="portrait"/>
          <w:cols w:equalWidth="0" w:num="1">
            <w:col w:w="11280"/>
          </w:cols>
          <w:pgMar w:left="240" w:top="1247"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color w:val="auto"/>
        </w:rPr>
        <w:t>For Immediate Release: Monday, Feb. 11, 2019</w:t>
      </w:r>
    </w:p>
    <w:p>
      <w:pPr>
        <w:spacing w:after="0" w:line="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Wesley G. Bush Appointed to GM Board of Directors</w:t>
      </w:r>
    </w:p>
    <w:p>
      <w:pPr>
        <w:spacing w:after="0" w:line="241" w:lineRule="exact"/>
        <w:rPr>
          <w:sz w:val="20"/>
          <w:szCs w:val="20"/>
          <w:color w:val="auto"/>
        </w:rPr>
      </w:pPr>
    </w:p>
    <w:p>
      <w:pPr>
        <w:ind w:right="60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DETROIT — </w:t>
      </w:r>
      <w:r>
        <w:rPr>
          <w:rFonts w:ascii="Times New Roman" w:cs="Times New Roman" w:eastAsia="Times New Roman" w:hAnsi="Times New Roman"/>
          <w:sz w:val="20"/>
          <w:szCs w:val="20"/>
          <w:color w:val="auto"/>
        </w:rPr>
        <w:t>General Motors Co. announced the election of Wesley G. “Wes” Bush to its Board of Directors. A leader in engineering,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technology and manufacturing, Bush currently serves as the Chairman of Northrop Grumman’s Board of Directors.</w:t>
      </w:r>
    </w:p>
    <w:p>
      <w:pPr>
        <w:spacing w:after="0" w:line="170" w:lineRule="exact"/>
        <w:rPr>
          <w:sz w:val="20"/>
          <w:szCs w:val="20"/>
          <w:color w:val="auto"/>
        </w:rPr>
      </w:pPr>
    </w:p>
    <w:p>
      <w:pPr>
        <w:jc w:val="both"/>
        <w:ind w:right="260"/>
        <w:spacing w:after="0" w:line="254" w:lineRule="auto"/>
        <w:rPr>
          <w:sz w:val="20"/>
          <w:szCs w:val="20"/>
          <w:color w:val="auto"/>
        </w:rPr>
      </w:pPr>
      <w:r>
        <w:rPr>
          <w:rFonts w:ascii="Times New Roman" w:cs="Times New Roman" w:eastAsia="Times New Roman" w:hAnsi="Times New Roman"/>
          <w:sz w:val="20"/>
          <w:szCs w:val="20"/>
          <w:color w:val="auto"/>
        </w:rPr>
        <w:t>“Wes has a strong track record of creating shareholder value in a complex manufacturing enterprise known for its advanced engineering and technology,” said GM Chairman and CEO Mary Barra. “He will bring strong financial acumen, excellent strategic instincts and an ability to think broadly about complex business issues to our board.”</w:t>
      </w:r>
    </w:p>
    <w:p>
      <w:pPr>
        <w:spacing w:after="0" w:line="18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Bush, 57, served as chief executive officer of Northrop Grumman from 2010 through 2018 and as chairman since 2011. Prior to 2010, he served in various leadership roles, including as the company’s president and chief operating officer, corporate vice president and chief financial officer, and president of the company’s Space Technology sector. Bush also served in various leadership roles at TRW, prior to its acquisition by Northrop Grumman in 2001.</w:t>
      </w:r>
    </w:p>
    <w:p>
      <w:pPr>
        <w:spacing w:after="0" w:line="194" w:lineRule="exact"/>
        <w:rPr>
          <w:sz w:val="20"/>
          <w:szCs w:val="20"/>
          <w:color w:val="auto"/>
        </w:rPr>
      </w:pPr>
    </w:p>
    <w:p>
      <w:pPr>
        <w:ind w:right="560"/>
        <w:spacing w:after="0" w:line="269" w:lineRule="auto"/>
        <w:rPr>
          <w:sz w:val="20"/>
          <w:szCs w:val="20"/>
          <w:color w:val="auto"/>
        </w:rPr>
      </w:pPr>
      <w:r>
        <w:rPr>
          <w:rFonts w:ascii="Times New Roman" w:cs="Times New Roman" w:eastAsia="Times New Roman" w:hAnsi="Times New Roman"/>
          <w:sz w:val="20"/>
          <w:szCs w:val="20"/>
          <w:color w:val="auto"/>
        </w:rPr>
        <w:t>Bush earned a bachelor’s degree and a master’s degree in electrical engineering from the Massachusetts Institute of Technology. He also completed the UCLA Executive Management Program. He is a member of the National Academy of Engineering.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election of Bush to the board brings GM’s Board of Directors to 13 members, 12 of whom are non-employee directors.</w:t>
      </w:r>
    </w:p>
    <w:p>
      <w:pPr>
        <w:spacing w:after="0" w:line="21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General Motors </w:t>
      </w:r>
      <w:r>
        <w:rPr>
          <w:rFonts w:ascii="Times New Roman" w:cs="Times New Roman" w:eastAsia="Times New Roman" w:hAnsi="Times New Roman"/>
          <w:sz w:val="18"/>
          <w:szCs w:val="18"/>
          <w:color w:val="auto"/>
        </w:rPr>
        <w:t>(NYSE:GM) is committed to delivering safer, better and more sustainable ways for people to get around. General Motors, its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its joint venture entities sell vehicles under the Cadillac, Chevrolet, Baojun, Buick, GMC, Holden, Jiefang and Wuling brands. More information on the company and its subsidiaries, including OnStar, a global leader in vehicle safety and security services, Maven, its personal mobility brand, and Cruise, its autonomous vehicle ride-sharing company, can be found at http://www.gm.com.</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 Henderson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 Finance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Tom.e.henderson@gm.com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313-667-2702</w:t>
      </w:r>
    </w:p>
    <w:sectPr>
      <w:pgSz w:w="11900" w:h="16838" w:orient="portrait"/>
      <w:cols w:equalWidth="0" w:num="1">
        <w:col w:w="11360"/>
      </w:cols>
      <w:pgMar w:left="240" w:top="65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2019-12-28T16:41:57Z</dcterms:created>
  <dcterms:modified xsi:type="dcterms:W3CDTF">2019-12-28T16:41:57Z</dcterms:modified>
</cp:coreProperties>
</file>